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ED6630" w14:paraId="307EA03B" w14:textId="77777777">
        <w:trPr>
          <w:cantSplit/>
        </w:trPr>
        <w:tc>
          <w:tcPr>
            <w:tcW w:w="6345" w:type="dxa"/>
          </w:tcPr>
          <w:p w14:paraId="7F256C93" w14:textId="77777777" w:rsidR="00192E45" w:rsidRPr="00ED6630" w:rsidRDefault="00192E45" w:rsidP="00192E45">
            <w:pPr>
              <w:spacing w:before="400" w:after="48" w:line="240" w:lineRule="atLeast"/>
              <w:rPr>
                <w:rFonts w:ascii="Verdana" w:hAnsi="Verdana"/>
                <w:position w:val="6"/>
                <w:sz w:val="22"/>
                <w:szCs w:val="22"/>
              </w:rPr>
            </w:pPr>
            <w:r w:rsidRPr="00ED6630">
              <w:rPr>
                <w:rFonts w:ascii="Verdana" w:hAnsi="Verdana"/>
                <w:b/>
                <w:sz w:val="26"/>
                <w:szCs w:val="26"/>
              </w:rPr>
              <w:t>Radiocommunication Assembly (RA-19)</w:t>
            </w:r>
            <w:r w:rsidRPr="00ED6630">
              <w:rPr>
                <w:rFonts w:ascii="Verdana" w:hAnsi="Verdana"/>
                <w:b/>
                <w:sz w:val="22"/>
                <w:szCs w:val="22"/>
              </w:rPr>
              <w:br/>
            </w:r>
            <w:r w:rsidRPr="00ED6630">
              <w:rPr>
                <w:rFonts w:ascii="Verdana" w:hAnsi="Verdana"/>
                <w:b/>
                <w:bCs/>
                <w:sz w:val="20"/>
              </w:rPr>
              <w:t>Sharm el-Sheikh, Egypt, 21-25 October 2019</w:t>
            </w:r>
          </w:p>
        </w:tc>
        <w:tc>
          <w:tcPr>
            <w:tcW w:w="3686" w:type="dxa"/>
          </w:tcPr>
          <w:p w14:paraId="59C332BF" w14:textId="77777777" w:rsidR="00192E45" w:rsidRPr="00ED6630" w:rsidRDefault="00192E45" w:rsidP="00D262CE">
            <w:pPr>
              <w:spacing w:line="240" w:lineRule="atLeast"/>
              <w:jc w:val="right"/>
            </w:pPr>
            <w:r w:rsidRPr="00ED6630">
              <w:rPr>
                <w:noProof/>
                <w:lang w:eastAsia="en-GB"/>
              </w:rPr>
              <w:drawing>
                <wp:inline distT="0" distB="0" distL="0" distR="0" wp14:anchorId="13B1A770" wp14:editId="21713BD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ED6630" w14:paraId="750D339F" w14:textId="77777777">
        <w:trPr>
          <w:cantSplit/>
        </w:trPr>
        <w:tc>
          <w:tcPr>
            <w:tcW w:w="6345" w:type="dxa"/>
            <w:tcBorders>
              <w:bottom w:val="single" w:sz="12" w:space="0" w:color="auto"/>
            </w:tcBorders>
          </w:tcPr>
          <w:p w14:paraId="04D5BEEB" w14:textId="77777777" w:rsidR="00192E45" w:rsidRPr="00ED6630"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1709FBCA" w14:textId="77777777" w:rsidR="00192E45" w:rsidRPr="00ED6630" w:rsidRDefault="00192E45" w:rsidP="00192E45">
            <w:pPr>
              <w:spacing w:before="0" w:line="240" w:lineRule="atLeast"/>
              <w:rPr>
                <w:rFonts w:ascii="Verdana" w:hAnsi="Verdana"/>
                <w:szCs w:val="24"/>
              </w:rPr>
            </w:pPr>
          </w:p>
        </w:tc>
      </w:tr>
      <w:tr w:rsidR="00192E45" w:rsidRPr="00ED6630" w14:paraId="16B6F29B" w14:textId="77777777">
        <w:trPr>
          <w:cantSplit/>
        </w:trPr>
        <w:tc>
          <w:tcPr>
            <w:tcW w:w="6345" w:type="dxa"/>
            <w:tcBorders>
              <w:top w:val="single" w:sz="12" w:space="0" w:color="auto"/>
            </w:tcBorders>
          </w:tcPr>
          <w:p w14:paraId="1682404B" w14:textId="77777777" w:rsidR="00192E45" w:rsidRPr="00ED6630"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DE93585" w14:textId="77777777" w:rsidR="00192E45" w:rsidRPr="00ED6630" w:rsidRDefault="00192E45" w:rsidP="00192E45">
            <w:pPr>
              <w:spacing w:before="0" w:line="240" w:lineRule="atLeast"/>
              <w:rPr>
                <w:rFonts w:ascii="Verdana" w:hAnsi="Verdana"/>
                <w:sz w:val="20"/>
              </w:rPr>
            </w:pPr>
          </w:p>
        </w:tc>
      </w:tr>
      <w:tr w:rsidR="00192E45" w:rsidRPr="00ED6630" w14:paraId="107C2433" w14:textId="77777777">
        <w:trPr>
          <w:cantSplit/>
          <w:trHeight w:val="23"/>
        </w:trPr>
        <w:tc>
          <w:tcPr>
            <w:tcW w:w="6345" w:type="dxa"/>
            <w:vMerge w:val="restart"/>
          </w:tcPr>
          <w:p w14:paraId="0385DC22" w14:textId="77777777" w:rsidR="006904BD" w:rsidRPr="00ED6630"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ED6630">
              <w:rPr>
                <w:rFonts w:ascii="Verdana" w:hAnsi="Verdana"/>
                <w:b/>
                <w:sz w:val="20"/>
              </w:rPr>
              <w:t>PLENARY MEETING</w:t>
            </w:r>
          </w:p>
          <w:p w14:paraId="415AC431" w14:textId="77777777" w:rsidR="006904BD" w:rsidRPr="00ED6630" w:rsidRDefault="006904BD" w:rsidP="006904BD">
            <w:pPr>
              <w:tabs>
                <w:tab w:val="left" w:pos="851"/>
              </w:tabs>
              <w:spacing w:before="0" w:line="240" w:lineRule="atLeast"/>
              <w:rPr>
                <w:rFonts w:ascii="Verdana" w:hAnsi="Verdana"/>
                <w:b/>
                <w:sz w:val="20"/>
              </w:rPr>
            </w:pPr>
          </w:p>
          <w:p w14:paraId="52255C59" w14:textId="77777777" w:rsidR="00192E45" w:rsidRPr="00ED6630" w:rsidRDefault="00192E45" w:rsidP="006904BD">
            <w:pPr>
              <w:tabs>
                <w:tab w:val="left" w:pos="851"/>
              </w:tabs>
              <w:spacing w:before="0" w:line="240" w:lineRule="atLeast"/>
              <w:rPr>
                <w:rFonts w:ascii="Verdana" w:hAnsi="Verdana"/>
                <w:sz w:val="20"/>
              </w:rPr>
            </w:pPr>
          </w:p>
        </w:tc>
        <w:tc>
          <w:tcPr>
            <w:tcW w:w="3686" w:type="dxa"/>
          </w:tcPr>
          <w:p w14:paraId="7E54A648" w14:textId="77777777" w:rsidR="00192E45" w:rsidRPr="00ED6630" w:rsidRDefault="00192E45" w:rsidP="002A10D4">
            <w:pPr>
              <w:tabs>
                <w:tab w:val="left" w:pos="851"/>
              </w:tabs>
              <w:spacing w:before="0" w:line="240" w:lineRule="atLeast"/>
              <w:rPr>
                <w:rFonts w:ascii="Verdana" w:hAnsi="Verdana"/>
                <w:sz w:val="20"/>
              </w:rPr>
            </w:pPr>
            <w:r w:rsidRPr="00ED6630">
              <w:rPr>
                <w:rFonts w:ascii="Verdana" w:hAnsi="Verdana"/>
                <w:b/>
                <w:sz w:val="20"/>
              </w:rPr>
              <w:t>Document RA19/</w:t>
            </w:r>
            <w:r w:rsidR="00FC6B21" w:rsidRPr="00ED6630">
              <w:rPr>
                <w:rFonts w:ascii="Verdana" w:hAnsi="Verdana"/>
                <w:b/>
                <w:sz w:val="20"/>
              </w:rPr>
              <w:t>PLEN/</w:t>
            </w:r>
            <w:r w:rsidR="002A10D4" w:rsidRPr="00ED6630">
              <w:rPr>
                <w:rFonts w:ascii="Verdana" w:hAnsi="Verdana"/>
                <w:b/>
                <w:sz w:val="20"/>
              </w:rPr>
              <w:t>80</w:t>
            </w:r>
            <w:r w:rsidRPr="00ED6630">
              <w:rPr>
                <w:rFonts w:ascii="Verdana" w:hAnsi="Verdana"/>
                <w:b/>
                <w:sz w:val="20"/>
              </w:rPr>
              <w:t>-E</w:t>
            </w:r>
          </w:p>
        </w:tc>
      </w:tr>
      <w:tr w:rsidR="00192E45" w:rsidRPr="00ED6630" w14:paraId="76D57F52" w14:textId="77777777">
        <w:trPr>
          <w:cantSplit/>
          <w:trHeight w:val="23"/>
        </w:trPr>
        <w:tc>
          <w:tcPr>
            <w:tcW w:w="6345" w:type="dxa"/>
            <w:vMerge/>
          </w:tcPr>
          <w:p w14:paraId="05857EBD" w14:textId="77777777" w:rsidR="00192E45" w:rsidRPr="00ED6630"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6D5BD3B4" w14:textId="77777777" w:rsidR="00192E45" w:rsidRPr="00ED6630" w:rsidRDefault="00833707" w:rsidP="00FC6B21">
            <w:pPr>
              <w:tabs>
                <w:tab w:val="left" w:pos="993"/>
              </w:tabs>
              <w:spacing w:before="0"/>
              <w:rPr>
                <w:rFonts w:ascii="Verdana" w:hAnsi="Verdana"/>
                <w:sz w:val="20"/>
              </w:rPr>
            </w:pPr>
            <w:r w:rsidRPr="00ED6630">
              <w:rPr>
                <w:rFonts w:ascii="Verdana" w:hAnsi="Verdana"/>
                <w:b/>
                <w:sz w:val="20"/>
              </w:rPr>
              <w:t>31</w:t>
            </w:r>
            <w:r w:rsidR="00192E45" w:rsidRPr="00ED6630">
              <w:rPr>
                <w:rFonts w:ascii="Verdana" w:hAnsi="Verdana"/>
                <w:b/>
                <w:sz w:val="20"/>
              </w:rPr>
              <w:t xml:space="preserve"> </w:t>
            </w:r>
            <w:r w:rsidR="00FC6B21" w:rsidRPr="00ED6630">
              <w:rPr>
                <w:rFonts w:ascii="Verdana" w:hAnsi="Verdana"/>
                <w:b/>
                <w:sz w:val="20"/>
              </w:rPr>
              <w:t>October</w:t>
            </w:r>
            <w:r w:rsidR="00192E45" w:rsidRPr="00ED6630">
              <w:rPr>
                <w:rFonts w:ascii="Verdana" w:hAnsi="Verdana"/>
                <w:b/>
                <w:sz w:val="20"/>
              </w:rPr>
              <w:t xml:space="preserve"> 201</w:t>
            </w:r>
            <w:r w:rsidR="008E470E" w:rsidRPr="00ED6630">
              <w:rPr>
                <w:rFonts w:ascii="Verdana" w:hAnsi="Verdana"/>
                <w:b/>
                <w:sz w:val="20"/>
              </w:rPr>
              <w:t>9</w:t>
            </w:r>
          </w:p>
        </w:tc>
      </w:tr>
      <w:tr w:rsidR="00192E45" w:rsidRPr="00ED6630" w14:paraId="41064E61" w14:textId="77777777">
        <w:trPr>
          <w:cantSplit/>
          <w:trHeight w:val="23"/>
        </w:trPr>
        <w:tc>
          <w:tcPr>
            <w:tcW w:w="6345" w:type="dxa"/>
            <w:vMerge/>
          </w:tcPr>
          <w:p w14:paraId="77827262" w14:textId="77777777" w:rsidR="00192E45" w:rsidRPr="00ED6630"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626B14B5" w14:textId="77777777" w:rsidR="00192E45" w:rsidRPr="00ED6630" w:rsidRDefault="00192E45" w:rsidP="00192E45">
            <w:pPr>
              <w:tabs>
                <w:tab w:val="left" w:pos="993"/>
              </w:tabs>
              <w:spacing w:before="0" w:after="120"/>
              <w:rPr>
                <w:rFonts w:ascii="Verdana" w:hAnsi="Verdana"/>
                <w:sz w:val="20"/>
              </w:rPr>
            </w:pPr>
            <w:r w:rsidRPr="00ED6630">
              <w:rPr>
                <w:rFonts w:ascii="Verdana" w:hAnsi="Verdana"/>
                <w:b/>
                <w:sz w:val="20"/>
              </w:rPr>
              <w:t>Original: English</w:t>
            </w:r>
          </w:p>
        </w:tc>
      </w:tr>
      <w:tr w:rsidR="00FC6B21" w:rsidRPr="00ED6630" w14:paraId="6938C8B9" w14:textId="77777777">
        <w:trPr>
          <w:cantSplit/>
        </w:trPr>
        <w:tc>
          <w:tcPr>
            <w:tcW w:w="10031" w:type="dxa"/>
            <w:gridSpan w:val="2"/>
          </w:tcPr>
          <w:p w14:paraId="29F9A4EC" w14:textId="77777777" w:rsidR="00FC6B21" w:rsidRPr="00ED6630" w:rsidRDefault="00FC6B21" w:rsidP="00FC6B21">
            <w:pPr>
              <w:pStyle w:val="Title1"/>
              <w:spacing w:before="480"/>
            </w:pPr>
            <w:bookmarkStart w:id="5" w:name="dtitle1" w:colFirst="0" w:colLast="0"/>
            <w:bookmarkEnd w:id="4"/>
            <w:r w:rsidRPr="00ED6630">
              <w:t xml:space="preserve">summary report of the second plenary meeting of the </w:t>
            </w:r>
            <w:r w:rsidRPr="00ED6630">
              <w:br/>
              <w:t>radiocommunication assembly</w:t>
            </w:r>
          </w:p>
        </w:tc>
      </w:tr>
      <w:tr w:rsidR="00FC6B21" w:rsidRPr="00ED6630" w14:paraId="44F13272" w14:textId="77777777">
        <w:trPr>
          <w:cantSplit/>
        </w:trPr>
        <w:tc>
          <w:tcPr>
            <w:tcW w:w="10031" w:type="dxa"/>
            <w:gridSpan w:val="2"/>
          </w:tcPr>
          <w:p w14:paraId="42795CFD" w14:textId="77777777" w:rsidR="00FC6B21" w:rsidRPr="00ED6630" w:rsidRDefault="00FC6B21" w:rsidP="002A10D4">
            <w:pPr>
              <w:pStyle w:val="Title3"/>
              <w:rPr>
                <w:sz w:val="24"/>
                <w:szCs w:val="24"/>
              </w:rPr>
            </w:pPr>
            <w:bookmarkStart w:id="6" w:name="dtitle2" w:colFirst="0" w:colLast="0"/>
            <w:bookmarkEnd w:id="5"/>
            <w:r w:rsidRPr="00ED6630">
              <w:t>Tuesday, 22 October 2019, at 1400 hours</w:t>
            </w:r>
          </w:p>
        </w:tc>
      </w:tr>
      <w:tr w:rsidR="00FC6B21" w:rsidRPr="00ED6630" w14:paraId="699AAEAF" w14:textId="77777777">
        <w:trPr>
          <w:cantSplit/>
        </w:trPr>
        <w:tc>
          <w:tcPr>
            <w:tcW w:w="10031" w:type="dxa"/>
            <w:gridSpan w:val="2"/>
          </w:tcPr>
          <w:p w14:paraId="742925C3" w14:textId="77777777" w:rsidR="00FC6B21" w:rsidRPr="00ED6630" w:rsidRDefault="00FC6B21" w:rsidP="00FC6B21">
            <w:pPr>
              <w:pStyle w:val="Title3"/>
              <w:rPr>
                <w:sz w:val="24"/>
                <w:szCs w:val="24"/>
              </w:rPr>
            </w:pPr>
            <w:bookmarkStart w:id="7" w:name="dtitle3" w:colFirst="0" w:colLast="0"/>
            <w:bookmarkEnd w:id="6"/>
          </w:p>
        </w:tc>
      </w:tr>
    </w:tbl>
    <w:p w14:paraId="6E2C71B9" w14:textId="77777777" w:rsidR="00521E96" w:rsidRPr="00ED6630" w:rsidRDefault="00521E96" w:rsidP="000D1293">
      <w:bookmarkStart w:id="8" w:name="dbreak"/>
      <w:bookmarkEnd w:id="7"/>
      <w:bookmarkEnd w:id="8"/>
    </w:p>
    <w:tbl>
      <w:tblPr>
        <w:tblW w:w="5221" w:type="pct"/>
        <w:tblLook w:val="0000" w:firstRow="0" w:lastRow="0" w:firstColumn="0" w:lastColumn="0" w:noHBand="0" w:noVBand="0"/>
      </w:tblPr>
      <w:tblGrid>
        <w:gridCol w:w="523"/>
        <w:gridCol w:w="5858"/>
        <w:gridCol w:w="3684"/>
      </w:tblGrid>
      <w:tr w:rsidR="00D72731" w:rsidRPr="00ED6630" w14:paraId="244A80C2" w14:textId="77777777" w:rsidTr="008B174D">
        <w:tc>
          <w:tcPr>
            <w:tcW w:w="260" w:type="pct"/>
          </w:tcPr>
          <w:p w14:paraId="3A13B39A" w14:textId="77777777" w:rsidR="00D72731" w:rsidRPr="00ED6630" w:rsidRDefault="00D72731" w:rsidP="00D72731">
            <w:pPr>
              <w:rPr>
                <w:b/>
              </w:rPr>
            </w:pPr>
          </w:p>
        </w:tc>
        <w:tc>
          <w:tcPr>
            <w:tcW w:w="2910" w:type="pct"/>
          </w:tcPr>
          <w:p w14:paraId="20DDFC48" w14:textId="77777777" w:rsidR="00D72731" w:rsidRPr="00ED6630" w:rsidRDefault="00D72731" w:rsidP="00D72731">
            <w:pPr>
              <w:rPr>
                <w:b/>
              </w:rPr>
            </w:pPr>
          </w:p>
        </w:tc>
        <w:tc>
          <w:tcPr>
            <w:tcW w:w="1830" w:type="pct"/>
          </w:tcPr>
          <w:p w14:paraId="7F2407C1" w14:textId="77777777" w:rsidR="00D72731" w:rsidRPr="00ED6630" w:rsidRDefault="00D72731" w:rsidP="00833707">
            <w:pPr>
              <w:jc w:val="center"/>
              <w:rPr>
                <w:b/>
              </w:rPr>
            </w:pPr>
            <w:r w:rsidRPr="00ED6630">
              <w:rPr>
                <w:b/>
              </w:rPr>
              <w:t>Documents</w:t>
            </w:r>
          </w:p>
        </w:tc>
      </w:tr>
      <w:tr w:rsidR="00D72731" w:rsidRPr="00ED6630" w14:paraId="28379F86" w14:textId="77777777" w:rsidTr="008B174D">
        <w:tc>
          <w:tcPr>
            <w:tcW w:w="260" w:type="pct"/>
          </w:tcPr>
          <w:p w14:paraId="593A5FE0" w14:textId="77777777" w:rsidR="00D72731" w:rsidRPr="00ED6630" w:rsidRDefault="00D72731" w:rsidP="00ED6630">
            <w:pPr>
              <w:spacing w:before="80"/>
              <w:rPr>
                <w:b/>
              </w:rPr>
            </w:pPr>
            <w:r w:rsidRPr="00ED6630">
              <w:rPr>
                <w:b/>
              </w:rPr>
              <w:t>1</w:t>
            </w:r>
          </w:p>
        </w:tc>
        <w:tc>
          <w:tcPr>
            <w:tcW w:w="2910" w:type="pct"/>
          </w:tcPr>
          <w:p w14:paraId="2F7D0691" w14:textId="77777777" w:rsidR="00D72731" w:rsidRPr="00ED6630" w:rsidRDefault="00D72731" w:rsidP="00ED6630">
            <w:pPr>
              <w:spacing w:before="80"/>
            </w:pPr>
            <w:r w:rsidRPr="00ED6630">
              <w:t>Opening of the meeting</w:t>
            </w:r>
          </w:p>
        </w:tc>
        <w:tc>
          <w:tcPr>
            <w:tcW w:w="1830" w:type="pct"/>
          </w:tcPr>
          <w:p w14:paraId="6A71BB9E" w14:textId="0DBF10C3" w:rsidR="00D72731" w:rsidRPr="00ED6630" w:rsidRDefault="00E54B6E" w:rsidP="00ED6630">
            <w:pPr>
              <w:spacing w:before="80"/>
              <w:jc w:val="center"/>
            </w:pPr>
            <w:r>
              <w:t>–</w:t>
            </w:r>
          </w:p>
        </w:tc>
      </w:tr>
      <w:tr w:rsidR="00D72731" w:rsidRPr="00ED6630" w14:paraId="021938EE" w14:textId="77777777" w:rsidTr="00E54B6E">
        <w:tc>
          <w:tcPr>
            <w:tcW w:w="260" w:type="pct"/>
          </w:tcPr>
          <w:p w14:paraId="78EFAC92" w14:textId="77777777" w:rsidR="00D72731" w:rsidRPr="00ED6630" w:rsidRDefault="00D72731" w:rsidP="00ED6630">
            <w:pPr>
              <w:spacing w:before="80"/>
              <w:rPr>
                <w:b/>
              </w:rPr>
            </w:pPr>
            <w:r w:rsidRPr="00ED6630">
              <w:rPr>
                <w:b/>
              </w:rPr>
              <w:t>2</w:t>
            </w:r>
          </w:p>
        </w:tc>
        <w:tc>
          <w:tcPr>
            <w:tcW w:w="2910" w:type="pct"/>
          </w:tcPr>
          <w:p w14:paraId="1DBC5587" w14:textId="77777777" w:rsidR="00D72731" w:rsidRPr="00ED6630" w:rsidRDefault="00D72731" w:rsidP="00ED6630">
            <w:pPr>
              <w:spacing w:before="80"/>
            </w:pPr>
            <w:r w:rsidRPr="00ED6630">
              <w:t>Approval of the agenda</w:t>
            </w:r>
          </w:p>
          <w:p w14:paraId="5D29D284" w14:textId="77777777" w:rsidR="00277D94" w:rsidRPr="00ED6630" w:rsidRDefault="00277D94" w:rsidP="00ED6630">
            <w:pPr>
              <w:spacing w:before="80"/>
            </w:pPr>
            <w:r w:rsidRPr="00ED6630">
              <w:t>The agenda was adopted without change.</w:t>
            </w:r>
          </w:p>
        </w:tc>
        <w:tc>
          <w:tcPr>
            <w:tcW w:w="1830" w:type="pct"/>
            <w:vAlign w:val="center"/>
          </w:tcPr>
          <w:p w14:paraId="287DEDD1" w14:textId="77777777" w:rsidR="00D72731" w:rsidRPr="00ED6630" w:rsidRDefault="00E54B6E" w:rsidP="00E54B6E">
            <w:pPr>
              <w:spacing w:before="80"/>
              <w:jc w:val="center"/>
            </w:pPr>
            <w:hyperlink r:id="rId9" w:history="1">
              <w:r w:rsidR="00D72731" w:rsidRPr="00ED6630">
                <w:rPr>
                  <w:rStyle w:val="Hyperlink"/>
                </w:rPr>
                <w:t>ADM/15(Rev.1)</w:t>
              </w:r>
            </w:hyperlink>
          </w:p>
        </w:tc>
      </w:tr>
      <w:tr w:rsidR="00D72731" w:rsidRPr="00ED6630" w14:paraId="6DCC3FAC" w14:textId="77777777" w:rsidTr="00E54B6E">
        <w:tc>
          <w:tcPr>
            <w:tcW w:w="260" w:type="pct"/>
          </w:tcPr>
          <w:p w14:paraId="1CA9B950" w14:textId="77777777" w:rsidR="00D72731" w:rsidRPr="00ED6630" w:rsidRDefault="00D72731" w:rsidP="00ED6630">
            <w:pPr>
              <w:spacing w:before="80"/>
              <w:rPr>
                <w:b/>
              </w:rPr>
            </w:pPr>
            <w:r w:rsidRPr="00ED6630">
              <w:rPr>
                <w:b/>
              </w:rPr>
              <w:t>3</w:t>
            </w:r>
          </w:p>
        </w:tc>
        <w:tc>
          <w:tcPr>
            <w:tcW w:w="2910" w:type="pct"/>
          </w:tcPr>
          <w:p w14:paraId="3636E40B" w14:textId="77777777" w:rsidR="00277D94" w:rsidRPr="00ED6630" w:rsidRDefault="00D86386" w:rsidP="00ED6630">
            <w:pPr>
              <w:spacing w:before="80"/>
            </w:pPr>
            <w:r w:rsidRPr="00ED6630">
              <w:t>Composition</w:t>
            </w:r>
            <w:r w:rsidR="00D72731" w:rsidRPr="00ED6630">
              <w:t xml:space="preserve"> of Ad</w:t>
            </w:r>
            <w:r w:rsidR="00833707" w:rsidRPr="00ED6630">
              <w:t xml:space="preserve"> </w:t>
            </w:r>
            <w:r w:rsidR="00D72731" w:rsidRPr="00ED6630">
              <w:t>Hoc Group on Rec. ITU-R M.1036</w:t>
            </w:r>
          </w:p>
          <w:p w14:paraId="72D74A64" w14:textId="77777777" w:rsidR="00D72731" w:rsidRPr="00ED6630" w:rsidRDefault="00277D94" w:rsidP="00ED6630">
            <w:pPr>
              <w:spacing w:before="80"/>
            </w:pPr>
            <w:r w:rsidRPr="00ED6630">
              <w:t xml:space="preserve">The meeting agreed to nominate two persons to lead the discussion on the </w:t>
            </w:r>
            <w:r w:rsidR="00D86386" w:rsidRPr="00ED6630">
              <w:t>terrestrial</w:t>
            </w:r>
            <w:r w:rsidRPr="00ED6630">
              <w:t xml:space="preserve"> and satellite components of IMT.</w:t>
            </w:r>
          </w:p>
        </w:tc>
        <w:tc>
          <w:tcPr>
            <w:tcW w:w="1830" w:type="pct"/>
            <w:vAlign w:val="center"/>
          </w:tcPr>
          <w:p w14:paraId="484DDAB5" w14:textId="698DA335" w:rsidR="00D72731" w:rsidRPr="00ED6630" w:rsidRDefault="00E54B6E" w:rsidP="00E54B6E">
            <w:pPr>
              <w:spacing w:before="80"/>
              <w:jc w:val="center"/>
            </w:pPr>
            <w:r>
              <w:t>–</w:t>
            </w:r>
          </w:p>
        </w:tc>
      </w:tr>
      <w:tr w:rsidR="00277D94" w:rsidRPr="00ED6630" w14:paraId="7E5A9C20" w14:textId="77777777" w:rsidTr="00E54B6E">
        <w:tc>
          <w:tcPr>
            <w:tcW w:w="260" w:type="pct"/>
          </w:tcPr>
          <w:p w14:paraId="4FB3953B" w14:textId="77777777" w:rsidR="00277D94" w:rsidRPr="00ED6630" w:rsidRDefault="00277D94" w:rsidP="00ED6630">
            <w:pPr>
              <w:spacing w:before="80"/>
              <w:rPr>
                <w:b/>
              </w:rPr>
            </w:pPr>
            <w:r w:rsidRPr="00ED6630">
              <w:rPr>
                <w:b/>
              </w:rPr>
              <w:t>3.1</w:t>
            </w:r>
          </w:p>
        </w:tc>
        <w:tc>
          <w:tcPr>
            <w:tcW w:w="2910" w:type="pct"/>
          </w:tcPr>
          <w:p w14:paraId="3770DA11" w14:textId="5F52AFDE" w:rsidR="00277D94" w:rsidRPr="00ED6630" w:rsidRDefault="00277D94" w:rsidP="00ED6630">
            <w:pPr>
              <w:spacing w:before="80"/>
            </w:pPr>
            <w:r w:rsidRPr="00ED6630">
              <w:t>Chairman to lead aspects relating to the terrestrial component of IMT, in accordance with Doc. 5/3</w:t>
            </w:r>
            <w:r w:rsidR="00ED6630" w:rsidRPr="00ED6630">
              <w:t>(</w:t>
            </w:r>
            <w:r w:rsidRPr="00ED6630">
              <w:t>Rev.1</w:t>
            </w:r>
            <w:r w:rsidR="00ED6630" w:rsidRPr="00ED6630">
              <w:t>)</w:t>
            </w:r>
          </w:p>
          <w:p w14:paraId="7F6A8BA6" w14:textId="77777777" w:rsidR="00277D94" w:rsidRPr="00ED6630" w:rsidRDefault="00277D94" w:rsidP="00ED6630">
            <w:pPr>
              <w:spacing w:before="80"/>
            </w:pPr>
            <w:r w:rsidRPr="00ED6630">
              <w:t>The name, as agreed by the meeting, to lead this discussion is Mr M. Kraemer.</w:t>
            </w:r>
          </w:p>
        </w:tc>
        <w:tc>
          <w:tcPr>
            <w:tcW w:w="1830" w:type="pct"/>
            <w:vAlign w:val="center"/>
          </w:tcPr>
          <w:p w14:paraId="357C5877" w14:textId="1B25EC86" w:rsidR="00277D94" w:rsidRPr="00ED6630" w:rsidRDefault="00E54B6E" w:rsidP="00E54B6E">
            <w:pPr>
              <w:spacing w:before="80"/>
              <w:jc w:val="center"/>
              <w:rPr>
                <w:iCs/>
              </w:rPr>
            </w:pPr>
            <w:r>
              <w:t>–</w:t>
            </w:r>
          </w:p>
        </w:tc>
      </w:tr>
      <w:tr w:rsidR="00277D94" w:rsidRPr="00ED6630" w14:paraId="2E2A1A38" w14:textId="77777777" w:rsidTr="00E54B6E">
        <w:tc>
          <w:tcPr>
            <w:tcW w:w="260" w:type="pct"/>
          </w:tcPr>
          <w:p w14:paraId="75248217" w14:textId="77777777" w:rsidR="00277D94" w:rsidRPr="00ED6630" w:rsidRDefault="00277D94" w:rsidP="00ED6630">
            <w:pPr>
              <w:spacing w:before="80"/>
              <w:rPr>
                <w:b/>
              </w:rPr>
            </w:pPr>
            <w:r w:rsidRPr="00ED6630">
              <w:rPr>
                <w:b/>
              </w:rPr>
              <w:t>3.2</w:t>
            </w:r>
          </w:p>
        </w:tc>
        <w:tc>
          <w:tcPr>
            <w:tcW w:w="2910" w:type="pct"/>
          </w:tcPr>
          <w:p w14:paraId="149F9FF9" w14:textId="34FDE2F5" w:rsidR="00277D94" w:rsidRPr="00ED6630" w:rsidRDefault="00277D94" w:rsidP="00ED6630">
            <w:pPr>
              <w:tabs>
                <w:tab w:val="clear" w:pos="1134"/>
                <w:tab w:val="left" w:pos="643"/>
              </w:tabs>
              <w:spacing w:before="80"/>
            </w:pPr>
            <w:r w:rsidRPr="00ED6630">
              <w:t>Vice-Chairman to lead aspects relating to the satellite component of IMT, in accordance with Doc 5/3</w:t>
            </w:r>
            <w:r w:rsidR="00ED6630" w:rsidRPr="00ED6630">
              <w:t>(</w:t>
            </w:r>
            <w:r w:rsidRPr="00ED6630">
              <w:t>Rev.1</w:t>
            </w:r>
            <w:r w:rsidR="00ED6630" w:rsidRPr="00ED6630">
              <w:t>)</w:t>
            </w:r>
          </w:p>
          <w:p w14:paraId="4AC8D16C" w14:textId="77777777" w:rsidR="00277D94" w:rsidRPr="00ED6630" w:rsidRDefault="00277D94" w:rsidP="00ED6630">
            <w:pPr>
              <w:spacing w:before="80"/>
            </w:pPr>
            <w:r w:rsidRPr="00ED6630">
              <w:t>The name, as agreed by the meeting, to lead this discussion is Mr C. Hofer.</w:t>
            </w:r>
          </w:p>
        </w:tc>
        <w:tc>
          <w:tcPr>
            <w:tcW w:w="1830" w:type="pct"/>
            <w:vAlign w:val="center"/>
          </w:tcPr>
          <w:p w14:paraId="1516FE65" w14:textId="3B0C1D68" w:rsidR="00277D94" w:rsidRPr="00ED6630" w:rsidRDefault="00E54B6E" w:rsidP="00E54B6E">
            <w:pPr>
              <w:spacing w:before="80"/>
              <w:jc w:val="center"/>
              <w:rPr>
                <w:i/>
              </w:rPr>
            </w:pPr>
            <w:r>
              <w:t>–</w:t>
            </w:r>
          </w:p>
        </w:tc>
      </w:tr>
      <w:tr w:rsidR="00277D94" w:rsidRPr="00ED6630" w14:paraId="3894BB36" w14:textId="77777777" w:rsidTr="008B174D">
        <w:tc>
          <w:tcPr>
            <w:tcW w:w="260" w:type="pct"/>
          </w:tcPr>
          <w:p w14:paraId="203CB2A8" w14:textId="77777777" w:rsidR="00277D94" w:rsidRPr="00ED6630" w:rsidRDefault="00277D94" w:rsidP="00ED6630">
            <w:pPr>
              <w:spacing w:before="80"/>
              <w:rPr>
                <w:b/>
              </w:rPr>
            </w:pPr>
            <w:r w:rsidRPr="00ED6630">
              <w:rPr>
                <w:b/>
              </w:rPr>
              <w:t>3.3</w:t>
            </w:r>
          </w:p>
        </w:tc>
        <w:tc>
          <w:tcPr>
            <w:tcW w:w="2910" w:type="pct"/>
          </w:tcPr>
          <w:p w14:paraId="539EA87A" w14:textId="77777777" w:rsidR="00277D94" w:rsidRPr="00ED6630" w:rsidRDefault="00277D94" w:rsidP="00ED6630">
            <w:pPr>
              <w:tabs>
                <w:tab w:val="clear" w:pos="1134"/>
                <w:tab w:val="left" w:pos="643"/>
              </w:tabs>
              <w:spacing w:before="80"/>
            </w:pPr>
            <w:r w:rsidRPr="00ED6630">
              <w:t>Documents assigned to this group</w:t>
            </w:r>
          </w:p>
        </w:tc>
        <w:tc>
          <w:tcPr>
            <w:tcW w:w="1830" w:type="pct"/>
          </w:tcPr>
          <w:p w14:paraId="08B23B2C" w14:textId="77777777" w:rsidR="00277D94" w:rsidRPr="00ED6630" w:rsidRDefault="00E54B6E" w:rsidP="00ED6630">
            <w:pPr>
              <w:spacing w:before="80"/>
              <w:jc w:val="center"/>
              <w:rPr>
                <w:i/>
              </w:rPr>
            </w:pPr>
            <w:hyperlink r:id="rId10" w:history="1">
              <w:r w:rsidR="00BC33E4" w:rsidRPr="00ED6630">
                <w:rPr>
                  <w:rStyle w:val="Hyperlink"/>
                  <w:color w:val="auto"/>
                  <w:u w:val="none"/>
                </w:rPr>
                <w:t>5/</w:t>
              </w:r>
              <w:r w:rsidR="00BC33E4" w:rsidRPr="00ED6630">
                <w:rPr>
                  <w:rStyle w:val="Hyperlink"/>
                </w:rPr>
                <w:t>1009</w:t>
              </w:r>
            </w:hyperlink>
            <w:r w:rsidR="00BC33E4" w:rsidRPr="00ED6630">
              <w:t>, PLEN/</w:t>
            </w:r>
            <w:hyperlink r:id="rId11" w:history="1">
              <w:r w:rsidR="00BC33E4" w:rsidRPr="00ED6630">
                <w:rPr>
                  <w:rStyle w:val="Hyperlink"/>
                </w:rPr>
                <w:t>21(Rev.1)</w:t>
              </w:r>
            </w:hyperlink>
            <w:r w:rsidR="00BC33E4" w:rsidRPr="00ED6630">
              <w:t xml:space="preserve">, </w:t>
            </w:r>
            <w:hyperlink r:id="rId12" w:history="1">
              <w:r w:rsidR="00BC33E4" w:rsidRPr="00ED6630">
                <w:rPr>
                  <w:rStyle w:val="Hyperlink"/>
                </w:rPr>
                <w:t>23</w:t>
              </w:r>
            </w:hyperlink>
            <w:r w:rsidR="00BC33E4" w:rsidRPr="00ED6630">
              <w:t xml:space="preserve">, </w:t>
            </w:r>
            <w:hyperlink r:id="rId13" w:history="1">
              <w:r w:rsidR="00BC33E4" w:rsidRPr="00ED6630">
                <w:rPr>
                  <w:rStyle w:val="Hyperlink"/>
                </w:rPr>
                <w:t>24</w:t>
              </w:r>
            </w:hyperlink>
            <w:r w:rsidR="00BC33E4" w:rsidRPr="00ED6630">
              <w:t xml:space="preserve">, </w:t>
            </w:r>
            <w:hyperlink r:id="rId14" w:history="1">
              <w:r w:rsidR="00BC33E4" w:rsidRPr="00ED6630">
                <w:rPr>
                  <w:rStyle w:val="Hyperlink"/>
                </w:rPr>
                <w:t>25</w:t>
              </w:r>
            </w:hyperlink>
            <w:r w:rsidR="00BC33E4" w:rsidRPr="00ED6630">
              <w:t xml:space="preserve">, </w:t>
            </w:r>
            <w:hyperlink r:id="rId15" w:history="1">
              <w:r w:rsidR="00BC33E4" w:rsidRPr="00ED6630">
                <w:rPr>
                  <w:rStyle w:val="Hyperlink"/>
                </w:rPr>
                <w:t>30</w:t>
              </w:r>
            </w:hyperlink>
          </w:p>
        </w:tc>
      </w:tr>
      <w:tr w:rsidR="002A3650" w:rsidRPr="00ED6630" w14:paraId="7E2DD962" w14:textId="77777777" w:rsidTr="00E54B6E">
        <w:tc>
          <w:tcPr>
            <w:tcW w:w="260" w:type="pct"/>
          </w:tcPr>
          <w:p w14:paraId="3CDED13F" w14:textId="77777777" w:rsidR="002A3650" w:rsidRPr="00ED6630" w:rsidRDefault="00DA0011" w:rsidP="00ED6630">
            <w:pPr>
              <w:spacing w:before="80"/>
              <w:rPr>
                <w:b/>
              </w:rPr>
            </w:pPr>
            <w:r w:rsidRPr="00ED6630">
              <w:rPr>
                <w:b/>
              </w:rPr>
              <w:t>4</w:t>
            </w:r>
          </w:p>
        </w:tc>
        <w:tc>
          <w:tcPr>
            <w:tcW w:w="2910" w:type="pct"/>
          </w:tcPr>
          <w:p w14:paraId="4B0E346E" w14:textId="77777777" w:rsidR="002A3650" w:rsidRPr="00ED6630" w:rsidRDefault="002A3650" w:rsidP="00ED6630">
            <w:pPr>
              <w:spacing w:before="80"/>
            </w:pPr>
            <w:r w:rsidRPr="00ED6630">
              <w:t>Report from Committee 4</w:t>
            </w:r>
          </w:p>
          <w:p w14:paraId="56AD4EEB" w14:textId="4590B341" w:rsidR="002A3650" w:rsidRDefault="002A3650" w:rsidP="00ED6630">
            <w:pPr>
              <w:spacing w:before="80"/>
            </w:pPr>
            <w:r w:rsidRPr="00ED6630">
              <w:t xml:space="preserve">The Chairman of Committee 4 reported that the Committee had held one meeting and established three Working Groups: 4A (Work programme and Questions), 4B (Review of existing Resolutions relating to Study Group activities) and 4C (New Resolutions relating to Study Group activities). The meeting assigned input documents to the three WGs as detailed in </w:t>
            </w:r>
            <w:hyperlink r:id="rId16" w:history="1">
              <w:r w:rsidRPr="00ED6630">
                <w:rPr>
                  <w:rStyle w:val="Hyperlink"/>
                </w:rPr>
                <w:t>ADM/10</w:t>
              </w:r>
            </w:hyperlink>
            <w:r w:rsidRPr="00ED6630">
              <w:t>. WG</w:t>
            </w:r>
            <w:r w:rsidR="001D1901">
              <w:t> </w:t>
            </w:r>
            <w:r w:rsidRPr="00ED6630">
              <w:t>4B had provided five documents for consideration by the meeting.</w:t>
            </w:r>
          </w:p>
          <w:p w14:paraId="534B96AC" w14:textId="77777777" w:rsidR="00CD10C7" w:rsidRPr="00CD10C7" w:rsidRDefault="00CD10C7" w:rsidP="00CD10C7"/>
          <w:p w14:paraId="7AFE31EE" w14:textId="51B9785E" w:rsidR="00CD10C7" w:rsidRPr="00CD10C7" w:rsidRDefault="00CD10C7" w:rsidP="00CD10C7">
            <w:pPr>
              <w:ind w:firstLine="720"/>
            </w:pPr>
          </w:p>
        </w:tc>
        <w:tc>
          <w:tcPr>
            <w:tcW w:w="1830" w:type="pct"/>
            <w:vAlign w:val="center"/>
          </w:tcPr>
          <w:p w14:paraId="04CE6CBA" w14:textId="1C800D37" w:rsidR="002A3650" w:rsidRPr="00ED6630" w:rsidRDefault="00E54B6E" w:rsidP="00E54B6E">
            <w:pPr>
              <w:spacing w:before="80"/>
              <w:jc w:val="center"/>
            </w:pPr>
            <w:r>
              <w:t>–</w:t>
            </w:r>
          </w:p>
        </w:tc>
      </w:tr>
      <w:tr w:rsidR="001D20D2" w:rsidRPr="00ED6630" w14:paraId="1F198435" w14:textId="77777777" w:rsidTr="00E54B6E">
        <w:trPr>
          <w:cantSplit/>
        </w:trPr>
        <w:tc>
          <w:tcPr>
            <w:tcW w:w="260" w:type="pct"/>
          </w:tcPr>
          <w:p w14:paraId="3FF97F2F" w14:textId="77777777" w:rsidR="001D20D2" w:rsidRPr="00ED6630" w:rsidRDefault="001D20D2" w:rsidP="00ED6630">
            <w:pPr>
              <w:spacing w:before="80"/>
              <w:rPr>
                <w:b/>
              </w:rPr>
            </w:pPr>
            <w:r w:rsidRPr="00ED6630">
              <w:rPr>
                <w:b/>
              </w:rPr>
              <w:lastRenderedPageBreak/>
              <w:t>5</w:t>
            </w:r>
          </w:p>
        </w:tc>
        <w:tc>
          <w:tcPr>
            <w:tcW w:w="2910" w:type="pct"/>
          </w:tcPr>
          <w:p w14:paraId="61910E35" w14:textId="77777777" w:rsidR="001D20D2" w:rsidRPr="00ED6630" w:rsidRDefault="001D20D2" w:rsidP="00ED6630">
            <w:pPr>
              <w:spacing w:before="80"/>
            </w:pPr>
            <w:r w:rsidRPr="00ED6630">
              <w:t>Consideration of outputs from Committee 4</w:t>
            </w:r>
          </w:p>
          <w:p w14:paraId="14DAE2D2" w14:textId="77777777" w:rsidR="00ED68FA" w:rsidRPr="00ED6630" w:rsidRDefault="00462345" w:rsidP="00ED6630">
            <w:pPr>
              <w:spacing w:before="80"/>
            </w:pPr>
            <w:r w:rsidRPr="00ED6630">
              <w:t>Documents PLEN/33, 34, 35, 36 and 37 contain the draft revision of Resolutions ITU-R 50, 55, 58, 60 and 66 respectively were introduced. All documents presented editorial updates and other improvements to the texts. No comments were received and the documents were adopted.</w:t>
            </w:r>
          </w:p>
        </w:tc>
        <w:tc>
          <w:tcPr>
            <w:tcW w:w="1830" w:type="pct"/>
            <w:vAlign w:val="center"/>
          </w:tcPr>
          <w:p w14:paraId="2C3C446B" w14:textId="77777777" w:rsidR="001D20D2" w:rsidRPr="00ED6630" w:rsidDel="001917BC" w:rsidRDefault="001D20D2" w:rsidP="00E54B6E">
            <w:pPr>
              <w:spacing w:before="80"/>
              <w:jc w:val="center"/>
            </w:pPr>
            <w:r w:rsidRPr="00ED6630">
              <w:t>PLEN/</w:t>
            </w:r>
            <w:hyperlink r:id="rId17" w:history="1">
              <w:r w:rsidRPr="00ED6630">
                <w:rPr>
                  <w:rStyle w:val="Hyperlink"/>
                </w:rPr>
                <w:t>33</w:t>
              </w:r>
            </w:hyperlink>
            <w:r w:rsidRPr="00ED6630">
              <w:t xml:space="preserve">, </w:t>
            </w:r>
            <w:hyperlink r:id="rId18" w:history="1">
              <w:r w:rsidRPr="00ED6630">
                <w:rPr>
                  <w:rStyle w:val="Hyperlink"/>
                </w:rPr>
                <w:t>34</w:t>
              </w:r>
            </w:hyperlink>
            <w:r w:rsidRPr="00ED6630">
              <w:t xml:space="preserve">, </w:t>
            </w:r>
            <w:hyperlink r:id="rId19" w:history="1">
              <w:r w:rsidRPr="00ED6630">
                <w:rPr>
                  <w:rStyle w:val="Hyperlink"/>
                </w:rPr>
                <w:t>35</w:t>
              </w:r>
            </w:hyperlink>
            <w:r w:rsidRPr="00ED6630">
              <w:t xml:space="preserve">, </w:t>
            </w:r>
            <w:hyperlink r:id="rId20" w:history="1">
              <w:r w:rsidRPr="00ED6630">
                <w:rPr>
                  <w:rStyle w:val="Hyperlink"/>
                </w:rPr>
                <w:t>36</w:t>
              </w:r>
            </w:hyperlink>
            <w:r w:rsidRPr="00ED6630">
              <w:t xml:space="preserve">, </w:t>
            </w:r>
            <w:hyperlink r:id="rId21" w:history="1">
              <w:r w:rsidRPr="00ED6630">
                <w:rPr>
                  <w:rStyle w:val="Hyperlink"/>
                </w:rPr>
                <w:t>37</w:t>
              </w:r>
            </w:hyperlink>
          </w:p>
        </w:tc>
      </w:tr>
      <w:tr w:rsidR="002A3650" w:rsidRPr="00ED6630" w14:paraId="3DC3959C" w14:textId="77777777" w:rsidTr="00E54B6E">
        <w:tc>
          <w:tcPr>
            <w:tcW w:w="260" w:type="pct"/>
          </w:tcPr>
          <w:p w14:paraId="30F195BC" w14:textId="77777777" w:rsidR="002A3650" w:rsidRPr="00ED6630" w:rsidRDefault="002A3650" w:rsidP="00ED6630">
            <w:pPr>
              <w:spacing w:before="80"/>
              <w:rPr>
                <w:b/>
              </w:rPr>
            </w:pPr>
            <w:r w:rsidRPr="00ED6630">
              <w:rPr>
                <w:b/>
              </w:rPr>
              <w:t>6</w:t>
            </w:r>
          </w:p>
        </w:tc>
        <w:tc>
          <w:tcPr>
            <w:tcW w:w="2910" w:type="pct"/>
          </w:tcPr>
          <w:p w14:paraId="3F0A14C7" w14:textId="77777777" w:rsidR="002A3650" w:rsidRPr="00ED6630" w:rsidRDefault="002A3650" w:rsidP="00ED6630">
            <w:pPr>
              <w:spacing w:before="80"/>
            </w:pPr>
            <w:r w:rsidRPr="00ED6630">
              <w:t>Report from Committee 5</w:t>
            </w:r>
          </w:p>
          <w:p w14:paraId="00CBFB13" w14:textId="77777777" w:rsidR="002A3650" w:rsidRPr="00ED6630" w:rsidRDefault="002A3650" w:rsidP="00ED6630">
            <w:pPr>
              <w:spacing w:before="80"/>
            </w:pPr>
            <w:r w:rsidRPr="00ED6630">
              <w:t xml:space="preserve">The Chairman of Committee 5 reported that the Committee had held </w:t>
            </w:r>
            <w:r w:rsidR="00C34879" w:rsidRPr="00ED6630">
              <w:t>tw</w:t>
            </w:r>
            <w:r w:rsidRPr="00ED6630">
              <w:t>o meeting</w:t>
            </w:r>
            <w:r w:rsidR="00C34879" w:rsidRPr="00ED6630">
              <w:t>s</w:t>
            </w:r>
            <w:r w:rsidRPr="00ED6630">
              <w:t xml:space="preserve"> and established two Working Groups: 5A (Working methods and CPM) and 5B (Other issues). The meeting as</w:t>
            </w:r>
            <w:r w:rsidR="000A1672" w:rsidRPr="00ED6630">
              <w:t>signed input documents to the two WGs as detailed in ADM/12</w:t>
            </w:r>
            <w:r w:rsidRPr="00ED6630">
              <w:t>.</w:t>
            </w:r>
          </w:p>
        </w:tc>
        <w:tc>
          <w:tcPr>
            <w:tcW w:w="1830" w:type="pct"/>
            <w:vAlign w:val="center"/>
          </w:tcPr>
          <w:p w14:paraId="2C6BC725" w14:textId="51739AFA" w:rsidR="002A3650" w:rsidRPr="00ED6630" w:rsidRDefault="00E54B6E" w:rsidP="00E54B6E">
            <w:pPr>
              <w:spacing w:before="80"/>
              <w:jc w:val="center"/>
            </w:pPr>
            <w:r>
              <w:t>–</w:t>
            </w:r>
            <w:bookmarkStart w:id="9" w:name="_GoBack"/>
            <w:bookmarkEnd w:id="9"/>
          </w:p>
        </w:tc>
      </w:tr>
      <w:tr w:rsidR="002A3650" w:rsidRPr="00ED6630" w14:paraId="6380F801" w14:textId="77777777" w:rsidTr="00E54B6E">
        <w:tc>
          <w:tcPr>
            <w:tcW w:w="260" w:type="pct"/>
          </w:tcPr>
          <w:p w14:paraId="134F455F" w14:textId="77777777" w:rsidR="002A3650" w:rsidRPr="00ED6630" w:rsidRDefault="002A3650" w:rsidP="00ED6630">
            <w:pPr>
              <w:spacing w:before="80"/>
              <w:rPr>
                <w:b/>
              </w:rPr>
            </w:pPr>
            <w:r w:rsidRPr="00ED6630">
              <w:rPr>
                <w:b/>
              </w:rPr>
              <w:t>7</w:t>
            </w:r>
          </w:p>
        </w:tc>
        <w:tc>
          <w:tcPr>
            <w:tcW w:w="2910" w:type="pct"/>
          </w:tcPr>
          <w:p w14:paraId="63251870" w14:textId="77777777" w:rsidR="002A3650" w:rsidRPr="00ED6630" w:rsidRDefault="002A3650" w:rsidP="00ED6630">
            <w:pPr>
              <w:spacing w:before="80"/>
            </w:pPr>
            <w:r w:rsidRPr="00ED6630">
              <w:t>Chairman’s Report and submissions from Study Group 7</w:t>
            </w:r>
          </w:p>
          <w:p w14:paraId="2127731B" w14:textId="77777777" w:rsidR="00DA0011" w:rsidRPr="00ED6630" w:rsidRDefault="00DA0011" w:rsidP="00ED6630">
            <w:pPr>
              <w:spacing w:before="80"/>
            </w:pPr>
            <w:r w:rsidRPr="00ED6630">
              <w:t xml:space="preserve">Chairman of SG 7 reported that, amongst other things, </w:t>
            </w:r>
            <w:r w:rsidR="00126074" w:rsidRPr="00ED6630">
              <w:t xml:space="preserve">the </w:t>
            </w:r>
            <w:r w:rsidRPr="00ED6630">
              <w:t>draft new Recommendation M.[IMT-EESS] was sent out for adoption by correspondence</w:t>
            </w:r>
            <w:r w:rsidR="00126074" w:rsidRPr="00ED6630">
              <w:t xml:space="preserve"> </w:t>
            </w:r>
            <w:r w:rsidR="00CA34AC" w:rsidRPr="00ED6630">
              <w:t>which was done via administrative circular CACE</w:t>
            </w:r>
            <w:r w:rsidR="00126074" w:rsidRPr="00ED6630">
              <w:t>/</w:t>
            </w:r>
            <w:r w:rsidR="00CA34AC" w:rsidRPr="00ED6630">
              <w:t>903. The adoption of this Recommendation received an objection by the United States. Normally</w:t>
            </w:r>
            <w:r w:rsidR="00126074" w:rsidRPr="00ED6630">
              <w:t>,</w:t>
            </w:r>
            <w:r w:rsidR="00CA34AC" w:rsidRPr="00ED6630">
              <w:t xml:space="preserve"> this objection would have required to submit the Recommendation to the Assembly for possible consideration, since there was no other Study Group meeting scheduled prior to the Assembly. However, in July Study Group 7 also received a note from Working </w:t>
            </w:r>
            <w:r w:rsidR="00D86386" w:rsidRPr="00ED6630">
              <w:t>P</w:t>
            </w:r>
            <w:r w:rsidR="00CA34AC" w:rsidRPr="00ED6630">
              <w:t>arty 5D concerning this subject, and that note indicated that there was doubt concerning whether or not this Recommendation had been coordinated correctly</w:t>
            </w:r>
            <w:r w:rsidR="00126074" w:rsidRPr="00ED6630">
              <w:t xml:space="preserve"> with other groups</w:t>
            </w:r>
            <w:r w:rsidR="00CA34AC" w:rsidRPr="00ED6630">
              <w:t>.</w:t>
            </w:r>
            <w:r w:rsidR="0069051C" w:rsidRPr="00ED6630">
              <w:t xml:space="preserve"> In order to improve the text of</w:t>
            </w:r>
            <w:r w:rsidR="00126074" w:rsidRPr="00ED6630">
              <w:t xml:space="preserve"> </w:t>
            </w:r>
            <w:r w:rsidR="0069051C" w:rsidRPr="00ED6630">
              <w:t xml:space="preserve">the Recommendation, the Chairman of SG 7 decided to send the text back to Working Party 7B for further consideration and coordination with Working Party 5D. </w:t>
            </w:r>
            <w:r w:rsidR="001D20D2" w:rsidRPr="00ED6630">
              <w:t>The Administration of the Russian Federation requested further clarification as to why the text was not submitted to the Assembly</w:t>
            </w:r>
            <w:r w:rsidR="00C60621" w:rsidRPr="00ED6630">
              <w:t>. Upon request, the Admin</w:t>
            </w:r>
            <w:r w:rsidR="00D86386" w:rsidRPr="00ED6630">
              <w:t>i</w:t>
            </w:r>
            <w:r w:rsidR="00C60621" w:rsidRPr="00ED6630">
              <w:t>stration of the United States provided additional information on the nature of</w:t>
            </w:r>
            <w:r w:rsidR="00126074" w:rsidRPr="00ED6630">
              <w:t xml:space="preserve"> </w:t>
            </w:r>
            <w:r w:rsidR="00C60621" w:rsidRPr="00ED6630">
              <w:t>the objection. The Administration of France requested clarifications on the relevant provisions of Resolution ITU-R 1-</w:t>
            </w:r>
            <w:r w:rsidR="00126074" w:rsidRPr="00ED6630">
              <w:t>7 that deal with such situation</w:t>
            </w:r>
            <w:r w:rsidR="00833707" w:rsidRPr="00ED6630">
              <w:t>s</w:t>
            </w:r>
            <w:r w:rsidR="00C60621" w:rsidRPr="00ED6630">
              <w:t>.</w:t>
            </w:r>
          </w:p>
        </w:tc>
        <w:tc>
          <w:tcPr>
            <w:tcW w:w="1830" w:type="pct"/>
            <w:vAlign w:val="center"/>
          </w:tcPr>
          <w:p w14:paraId="0177944D" w14:textId="77777777" w:rsidR="002A3650" w:rsidRPr="00ED6630" w:rsidRDefault="004C5570" w:rsidP="00E54B6E">
            <w:pPr>
              <w:spacing w:before="80"/>
              <w:jc w:val="center"/>
            </w:pPr>
            <w:r w:rsidRPr="00ED6630">
              <w:t>7/</w:t>
            </w:r>
            <w:hyperlink r:id="rId22" w:history="1">
              <w:r w:rsidRPr="00ED6630">
                <w:rPr>
                  <w:rStyle w:val="Hyperlink"/>
                </w:rPr>
                <w:t>1001</w:t>
              </w:r>
            </w:hyperlink>
            <w:r w:rsidRPr="00ED6630">
              <w:t xml:space="preserve">, </w:t>
            </w:r>
            <w:hyperlink r:id="rId23" w:history="1">
              <w:r w:rsidRPr="00ED6630">
                <w:rPr>
                  <w:rStyle w:val="Hyperlink"/>
                </w:rPr>
                <w:t>1002</w:t>
              </w:r>
            </w:hyperlink>
            <w:r w:rsidRPr="00ED6630">
              <w:t xml:space="preserve">, </w:t>
            </w:r>
            <w:hyperlink r:id="rId24" w:history="1">
              <w:r w:rsidRPr="00ED6630">
                <w:rPr>
                  <w:rStyle w:val="Hyperlink"/>
                </w:rPr>
                <w:t>1003</w:t>
              </w:r>
            </w:hyperlink>
            <w:r w:rsidRPr="00ED6630">
              <w:t xml:space="preserve">, </w:t>
            </w:r>
            <w:hyperlink r:id="rId25" w:history="1">
              <w:r w:rsidRPr="00ED6630">
                <w:rPr>
                  <w:rStyle w:val="Hyperlink"/>
                </w:rPr>
                <w:t>1004</w:t>
              </w:r>
            </w:hyperlink>
          </w:p>
        </w:tc>
      </w:tr>
      <w:tr w:rsidR="002A3650" w:rsidRPr="00ED6630" w14:paraId="3E4BC148" w14:textId="77777777" w:rsidTr="008B174D">
        <w:tc>
          <w:tcPr>
            <w:tcW w:w="260" w:type="pct"/>
          </w:tcPr>
          <w:p w14:paraId="65B73ABE" w14:textId="77777777" w:rsidR="002A3650" w:rsidRPr="00ED6630" w:rsidRDefault="002A3650" w:rsidP="00ED6630">
            <w:pPr>
              <w:spacing w:before="80"/>
              <w:rPr>
                <w:b/>
              </w:rPr>
            </w:pPr>
            <w:r w:rsidRPr="00ED6630">
              <w:rPr>
                <w:b/>
              </w:rPr>
              <w:t>8</w:t>
            </w:r>
          </w:p>
        </w:tc>
        <w:tc>
          <w:tcPr>
            <w:tcW w:w="2910" w:type="pct"/>
          </w:tcPr>
          <w:p w14:paraId="41558468" w14:textId="77777777" w:rsidR="002A3650" w:rsidRPr="00ED6630" w:rsidRDefault="002A3650" w:rsidP="00ED6630">
            <w:pPr>
              <w:spacing w:before="80"/>
            </w:pPr>
            <w:r w:rsidRPr="00ED6630">
              <w:t>Chairman’s Report and submissions from Study Group 5</w:t>
            </w:r>
          </w:p>
          <w:p w14:paraId="08C56D84" w14:textId="77777777" w:rsidR="00DA0011" w:rsidRPr="00ED6630" w:rsidRDefault="00DA0011" w:rsidP="00ED6630">
            <w:pPr>
              <w:spacing w:before="80"/>
            </w:pPr>
            <w:r w:rsidRPr="00ED6630">
              <w:t>To be considered at the next meeting.</w:t>
            </w:r>
          </w:p>
        </w:tc>
        <w:tc>
          <w:tcPr>
            <w:tcW w:w="1830" w:type="pct"/>
          </w:tcPr>
          <w:p w14:paraId="19070B5E" w14:textId="77777777" w:rsidR="002A3650" w:rsidRPr="00ED6630" w:rsidRDefault="004C5570" w:rsidP="00ED6630">
            <w:pPr>
              <w:spacing w:before="80"/>
              <w:jc w:val="center"/>
            </w:pPr>
            <w:r w:rsidRPr="00ED6630">
              <w:t>5/</w:t>
            </w:r>
            <w:hyperlink r:id="rId26" w:history="1">
              <w:r w:rsidRPr="00ED6630">
                <w:rPr>
                  <w:rStyle w:val="Hyperlink"/>
                </w:rPr>
                <w:t>1001</w:t>
              </w:r>
            </w:hyperlink>
            <w:r w:rsidRPr="00ED6630">
              <w:t xml:space="preserve">, </w:t>
            </w:r>
            <w:hyperlink r:id="rId27" w:history="1">
              <w:r w:rsidRPr="00ED6630">
                <w:rPr>
                  <w:rStyle w:val="Hyperlink"/>
                </w:rPr>
                <w:t>1002</w:t>
              </w:r>
            </w:hyperlink>
            <w:r w:rsidRPr="00ED6630">
              <w:t xml:space="preserve">, </w:t>
            </w:r>
            <w:hyperlink r:id="rId28" w:history="1">
              <w:r w:rsidRPr="00ED6630">
                <w:rPr>
                  <w:rStyle w:val="Hyperlink"/>
                </w:rPr>
                <w:t>1003</w:t>
              </w:r>
            </w:hyperlink>
            <w:r w:rsidRPr="00ED6630">
              <w:t xml:space="preserve">, </w:t>
            </w:r>
            <w:hyperlink r:id="rId29" w:history="1">
              <w:r w:rsidRPr="00ED6630">
                <w:rPr>
                  <w:rStyle w:val="Hyperlink"/>
                </w:rPr>
                <w:t>1004</w:t>
              </w:r>
            </w:hyperlink>
            <w:r w:rsidRPr="00ED6630">
              <w:t xml:space="preserve">, </w:t>
            </w:r>
            <w:hyperlink r:id="rId30" w:history="1">
              <w:r w:rsidRPr="00ED6630">
                <w:rPr>
                  <w:rStyle w:val="Hyperlink"/>
                </w:rPr>
                <w:t>1005</w:t>
              </w:r>
            </w:hyperlink>
            <w:r w:rsidRPr="00ED6630">
              <w:t xml:space="preserve">, </w:t>
            </w:r>
            <w:hyperlink r:id="rId31" w:history="1">
              <w:r w:rsidRPr="00ED6630">
                <w:rPr>
                  <w:rStyle w:val="Hyperlink"/>
                </w:rPr>
                <w:t>1006</w:t>
              </w:r>
            </w:hyperlink>
            <w:r w:rsidRPr="00ED6630">
              <w:t xml:space="preserve">, </w:t>
            </w:r>
            <w:hyperlink r:id="rId32" w:history="1">
              <w:r w:rsidRPr="00ED6630">
                <w:rPr>
                  <w:rStyle w:val="Hyperlink"/>
                </w:rPr>
                <w:t>1007</w:t>
              </w:r>
            </w:hyperlink>
            <w:r w:rsidRPr="00ED6630">
              <w:t xml:space="preserve">, </w:t>
            </w:r>
            <w:hyperlink r:id="rId33" w:history="1">
              <w:r w:rsidRPr="00ED6630">
                <w:rPr>
                  <w:rStyle w:val="Hyperlink"/>
                </w:rPr>
                <w:t>1008</w:t>
              </w:r>
            </w:hyperlink>
          </w:p>
        </w:tc>
      </w:tr>
      <w:tr w:rsidR="002A3650" w:rsidRPr="00ED6630" w14:paraId="545BE708" w14:textId="77777777" w:rsidTr="00E54B6E">
        <w:tc>
          <w:tcPr>
            <w:tcW w:w="260" w:type="pct"/>
            <w:shd w:val="clear" w:color="auto" w:fill="auto"/>
          </w:tcPr>
          <w:p w14:paraId="7B42C078" w14:textId="77777777" w:rsidR="002A3650" w:rsidRPr="00ED6630" w:rsidRDefault="002A3650" w:rsidP="00ED6630">
            <w:pPr>
              <w:spacing w:before="80"/>
              <w:rPr>
                <w:b/>
              </w:rPr>
            </w:pPr>
            <w:r w:rsidRPr="00ED6630">
              <w:rPr>
                <w:b/>
              </w:rPr>
              <w:t>9</w:t>
            </w:r>
          </w:p>
        </w:tc>
        <w:tc>
          <w:tcPr>
            <w:tcW w:w="2910" w:type="pct"/>
            <w:shd w:val="clear" w:color="auto" w:fill="auto"/>
          </w:tcPr>
          <w:p w14:paraId="4ADEA937" w14:textId="77777777" w:rsidR="002A3650" w:rsidRPr="00ED6630" w:rsidRDefault="002A3650" w:rsidP="00ED6630">
            <w:pPr>
              <w:spacing w:before="80"/>
            </w:pPr>
            <w:r w:rsidRPr="00ED6630">
              <w:t>Any other business</w:t>
            </w:r>
          </w:p>
        </w:tc>
        <w:tc>
          <w:tcPr>
            <w:tcW w:w="1830" w:type="pct"/>
            <w:shd w:val="clear" w:color="auto" w:fill="auto"/>
            <w:vAlign w:val="center"/>
          </w:tcPr>
          <w:p w14:paraId="5B0E72ED" w14:textId="2B2D15F8" w:rsidR="002A3650" w:rsidRPr="00ED6630" w:rsidRDefault="00E54B6E" w:rsidP="00E54B6E">
            <w:pPr>
              <w:spacing w:before="80"/>
              <w:jc w:val="center"/>
            </w:pPr>
            <w:r>
              <w:t>–</w:t>
            </w:r>
          </w:p>
        </w:tc>
      </w:tr>
    </w:tbl>
    <w:p w14:paraId="64BAFE30" w14:textId="77777777" w:rsidR="00FC6B21" w:rsidRPr="00ED6630" w:rsidRDefault="00FC6B21" w:rsidP="00FC6B21">
      <w:r w:rsidRPr="00ED6630">
        <w:t xml:space="preserve">The Chairman announced that </w:t>
      </w:r>
      <w:r w:rsidR="00647E4E" w:rsidRPr="00ED6630">
        <w:t>an additional</w:t>
      </w:r>
      <w:r w:rsidRPr="00ED6630">
        <w:t xml:space="preserve"> meeting would be </w:t>
      </w:r>
      <w:r w:rsidR="002A10D4" w:rsidRPr="00ED6630">
        <w:t xml:space="preserve">held </w:t>
      </w:r>
      <w:r w:rsidRPr="00ED6630">
        <w:t xml:space="preserve">on </w:t>
      </w:r>
      <w:r w:rsidR="00647E4E" w:rsidRPr="00ED6630">
        <w:t>Wednesday 23 October</w:t>
      </w:r>
      <w:r w:rsidRPr="00ED6630">
        <w:t xml:space="preserve"> and closed the meeting at </w:t>
      </w:r>
      <w:r w:rsidR="002A10D4" w:rsidRPr="00ED6630">
        <w:t>14</w:t>
      </w:r>
      <w:r w:rsidR="00C60621" w:rsidRPr="00ED6630">
        <w:t>45</w:t>
      </w:r>
      <w:r w:rsidRPr="00ED6630">
        <w:t xml:space="preserve"> hours.</w:t>
      </w:r>
    </w:p>
    <w:p w14:paraId="74B660EF" w14:textId="7A5A0846" w:rsidR="00FC6B21" w:rsidRPr="001F2275" w:rsidRDefault="00647E4E" w:rsidP="001F2275">
      <w:pPr>
        <w:tabs>
          <w:tab w:val="clear" w:pos="1134"/>
          <w:tab w:val="clear" w:pos="1871"/>
          <w:tab w:val="clear" w:pos="2268"/>
          <w:tab w:val="left" w:pos="7797"/>
          <w:tab w:val="center" w:pos="8080"/>
        </w:tabs>
        <w:spacing w:before="600"/>
        <w:jc w:val="center"/>
        <w:rPr>
          <w:szCs w:val="24"/>
        </w:rPr>
      </w:pPr>
      <w:r w:rsidRPr="00ED6630">
        <w:rPr>
          <w:szCs w:val="24"/>
        </w:rPr>
        <w:tab/>
        <w:t xml:space="preserve">S. </w:t>
      </w:r>
      <w:r w:rsidR="00ED6630" w:rsidRPr="00ED6630">
        <w:rPr>
          <w:szCs w:val="24"/>
        </w:rPr>
        <w:t>PASTUKH</w:t>
      </w:r>
      <w:r w:rsidRPr="00ED6630">
        <w:rPr>
          <w:szCs w:val="24"/>
        </w:rPr>
        <w:br/>
      </w:r>
      <w:r w:rsidRPr="00ED6630">
        <w:rPr>
          <w:szCs w:val="24"/>
        </w:rPr>
        <w:tab/>
        <w:t>Chairman, RA-19</w:t>
      </w:r>
    </w:p>
    <w:sectPr w:rsidR="00FC6B21" w:rsidRPr="001F2275" w:rsidSect="00833707">
      <w:headerReference w:type="default" r:id="rId34"/>
      <w:footerReference w:type="even" r:id="rId35"/>
      <w:footerReference w:type="default" r:id="rId36"/>
      <w:footerReference w:type="first" r:id="rId37"/>
      <w:pgSz w:w="11907" w:h="16840" w:code="9"/>
      <w:pgMar w:top="1247" w:right="1134" w:bottom="124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C3111" w14:textId="77777777" w:rsidR="001F4E94" w:rsidRDefault="001F4E94">
      <w:r>
        <w:separator/>
      </w:r>
    </w:p>
  </w:endnote>
  <w:endnote w:type="continuationSeparator" w:id="0">
    <w:p w14:paraId="3F34C8A1" w14:textId="77777777" w:rsidR="001F4E94" w:rsidRDefault="001F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A8C2" w14:textId="43CF7A97"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F548D">
      <w:rPr>
        <w:noProof/>
        <w:lang w:val="es-ES_tradnl"/>
      </w:rPr>
      <w:t>Y:\APP\BR\POOL\RA-19\PLEN\080eV2.docx</w:t>
    </w:r>
    <w:r>
      <w:fldChar w:fldCharType="end"/>
    </w:r>
    <w:r w:rsidRPr="009447A3">
      <w:rPr>
        <w:lang w:val="es-ES_tradnl"/>
      </w:rPr>
      <w:tab/>
    </w:r>
    <w:r>
      <w:fldChar w:fldCharType="begin"/>
    </w:r>
    <w:r>
      <w:instrText xml:space="preserve"> SAVEDATE \@ DD.MM.YY </w:instrText>
    </w:r>
    <w:r>
      <w:fldChar w:fldCharType="separate"/>
    </w:r>
    <w:r w:rsidR="001D1901">
      <w:rPr>
        <w:noProof/>
      </w:rPr>
      <w:t>31.10.19</w:t>
    </w:r>
    <w:r>
      <w:fldChar w:fldCharType="end"/>
    </w:r>
    <w:r w:rsidRPr="009447A3">
      <w:rPr>
        <w:lang w:val="es-ES_tradnl"/>
      </w:rPr>
      <w:tab/>
    </w:r>
    <w:r>
      <w:fldChar w:fldCharType="begin"/>
    </w:r>
    <w:r>
      <w:instrText xml:space="preserve"> PRINTDATE \@ DD.MM.YY </w:instrText>
    </w:r>
    <w:r>
      <w:fldChar w:fldCharType="separate"/>
    </w:r>
    <w:r w:rsidR="005F548D">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0944" w14:textId="7FA0E1F1" w:rsidR="009447A3" w:rsidRPr="00CD10C7" w:rsidRDefault="00CD10C7" w:rsidP="00CD10C7">
    <w:pPr>
      <w:pStyle w:val="Footer"/>
    </w:pPr>
    <w:fldSimple w:instr=" FILENAME \p \* MERGEFORMAT ">
      <w:r>
        <w:t>P:\ENG\ITU-R\CONF-R\AR19\PLEN\000\080E.docx</w:t>
      </w:r>
    </w:fldSimple>
    <w:r>
      <w:t xml:space="preserve"> (463511)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5856" w14:textId="2B809330" w:rsidR="009447A3" w:rsidRPr="00833707" w:rsidRDefault="00CD10C7" w:rsidP="00833707">
    <w:pPr>
      <w:pStyle w:val="Footer"/>
    </w:pPr>
    <w:fldSimple w:instr=" FILENAME \p \* MERGEFORMAT ">
      <w:r>
        <w:t>P:\ENG\ITU-R\CONF-R\AR19\PLEN\000\080E.docx</w:t>
      </w:r>
    </w:fldSimple>
    <w:r>
      <w:t xml:space="preserve"> (463511)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A43D" w14:textId="77777777" w:rsidR="001F4E94" w:rsidRDefault="001F4E94">
      <w:r>
        <w:rPr>
          <w:b/>
        </w:rPr>
        <w:t>_______________</w:t>
      </w:r>
    </w:p>
  </w:footnote>
  <w:footnote w:type="continuationSeparator" w:id="0">
    <w:p w14:paraId="31E04763" w14:textId="77777777" w:rsidR="001F4E94" w:rsidRDefault="001F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D766" w14:textId="77777777" w:rsidR="00192E45" w:rsidRDefault="00192E45">
    <w:pPr>
      <w:pStyle w:val="Header"/>
    </w:pPr>
    <w:r>
      <w:fldChar w:fldCharType="begin"/>
    </w:r>
    <w:r>
      <w:instrText xml:space="preserve"> PAGE  \* MERGEFORMAT </w:instrText>
    </w:r>
    <w:r>
      <w:fldChar w:fldCharType="separate"/>
    </w:r>
    <w:r w:rsidR="00833707">
      <w:rPr>
        <w:noProof/>
      </w:rPr>
      <w:t>2</w:t>
    </w:r>
    <w:r>
      <w:fldChar w:fldCharType="end"/>
    </w:r>
  </w:p>
  <w:p w14:paraId="06852EC3" w14:textId="77777777" w:rsidR="00192E45" w:rsidRDefault="00192E45" w:rsidP="00A35F66">
    <w:pPr>
      <w:pStyle w:val="Header"/>
    </w:pPr>
    <w:r>
      <w:t>RA1</w:t>
    </w:r>
    <w:r w:rsidR="00A35F66">
      <w:t>9</w:t>
    </w:r>
    <w:r>
      <w:t>/</w:t>
    </w:r>
    <w:r w:rsidR="002A10D4">
      <w:t>PLEN/80</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21"/>
    <w:rsid w:val="000A1672"/>
    <w:rsid w:val="000D1293"/>
    <w:rsid w:val="00112F9F"/>
    <w:rsid w:val="00126074"/>
    <w:rsid w:val="001917BC"/>
    <w:rsid w:val="00192E45"/>
    <w:rsid w:val="001A4133"/>
    <w:rsid w:val="001B225D"/>
    <w:rsid w:val="001D1901"/>
    <w:rsid w:val="001D20D2"/>
    <w:rsid w:val="001F2275"/>
    <w:rsid w:val="001F4E94"/>
    <w:rsid w:val="00206408"/>
    <w:rsid w:val="00277D94"/>
    <w:rsid w:val="002842B1"/>
    <w:rsid w:val="002A10D4"/>
    <w:rsid w:val="002A3650"/>
    <w:rsid w:val="002C04BE"/>
    <w:rsid w:val="0030579C"/>
    <w:rsid w:val="00425F3D"/>
    <w:rsid w:val="00462345"/>
    <w:rsid w:val="00470E2E"/>
    <w:rsid w:val="00471425"/>
    <w:rsid w:val="004844C1"/>
    <w:rsid w:val="004C5570"/>
    <w:rsid w:val="004D6FFE"/>
    <w:rsid w:val="00521E96"/>
    <w:rsid w:val="005B2EE7"/>
    <w:rsid w:val="005E0BE1"/>
    <w:rsid w:val="005F1974"/>
    <w:rsid w:val="005F548D"/>
    <w:rsid w:val="00643AFB"/>
    <w:rsid w:val="00647E4E"/>
    <w:rsid w:val="006904BD"/>
    <w:rsid w:val="0069051C"/>
    <w:rsid w:val="00704D87"/>
    <w:rsid w:val="0071246B"/>
    <w:rsid w:val="00756B1C"/>
    <w:rsid w:val="0076116A"/>
    <w:rsid w:val="007C6911"/>
    <w:rsid w:val="008145E1"/>
    <w:rsid w:val="00833707"/>
    <w:rsid w:val="00880578"/>
    <w:rsid w:val="008A7B8E"/>
    <w:rsid w:val="008E470E"/>
    <w:rsid w:val="009447A3"/>
    <w:rsid w:val="00993768"/>
    <w:rsid w:val="009E375D"/>
    <w:rsid w:val="00A05CE9"/>
    <w:rsid w:val="00A35F66"/>
    <w:rsid w:val="00A65D0E"/>
    <w:rsid w:val="00B235F7"/>
    <w:rsid w:val="00B719AE"/>
    <w:rsid w:val="00BB03AF"/>
    <w:rsid w:val="00BC33E4"/>
    <w:rsid w:val="00BE5003"/>
    <w:rsid w:val="00BF5E61"/>
    <w:rsid w:val="00C34879"/>
    <w:rsid w:val="00C46060"/>
    <w:rsid w:val="00C60621"/>
    <w:rsid w:val="00CA34AC"/>
    <w:rsid w:val="00CB1338"/>
    <w:rsid w:val="00CD10C7"/>
    <w:rsid w:val="00D223F2"/>
    <w:rsid w:val="00D262CE"/>
    <w:rsid w:val="00D471A9"/>
    <w:rsid w:val="00D50D44"/>
    <w:rsid w:val="00D60D99"/>
    <w:rsid w:val="00D72731"/>
    <w:rsid w:val="00D86386"/>
    <w:rsid w:val="00DA0011"/>
    <w:rsid w:val="00DA716F"/>
    <w:rsid w:val="00E123D4"/>
    <w:rsid w:val="00E424C3"/>
    <w:rsid w:val="00E54B6E"/>
    <w:rsid w:val="00ED6630"/>
    <w:rsid w:val="00ED68FA"/>
    <w:rsid w:val="00EE1A06"/>
    <w:rsid w:val="00EE4AD6"/>
    <w:rsid w:val="00EF15DD"/>
    <w:rsid w:val="00F23F32"/>
    <w:rsid w:val="00F329B0"/>
    <w:rsid w:val="00F94CB9"/>
    <w:rsid w:val="00FC6B21"/>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78B438"/>
  <w15:docId w15:val="{8A5B13C5-AE08-44A8-B3F1-630429D8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nhideWhenUsed/>
    <w:rsid w:val="00FC6B21"/>
    <w:rPr>
      <w:color w:val="0000FF" w:themeColor="hyperlink"/>
      <w:u w:val="single"/>
    </w:rPr>
  </w:style>
  <w:style w:type="character" w:styleId="FollowedHyperlink">
    <w:name w:val="FollowedHyperlink"/>
    <w:basedOn w:val="DefaultParagraphFont"/>
    <w:semiHidden/>
    <w:unhideWhenUsed/>
    <w:rsid w:val="002A1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A19-C-0024/en" TargetMode="External"/><Relationship Id="rId18" Type="http://schemas.openxmlformats.org/officeDocument/2006/relationships/hyperlink" Target="https://www.itu.int/md/R19-RA19-C-0034/en" TargetMode="External"/><Relationship Id="rId26" Type="http://schemas.openxmlformats.org/officeDocument/2006/relationships/hyperlink" Target="https://www.itu.int/md/R15-SG05-RP-1001/en" TargetMode="External"/><Relationship Id="rId39" Type="http://schemas.openxmlformats.org/officeDocument/2006/relationships/theme" Target="theme/theme1.xml"/><Relationship Id="rId21" Type="http://schemas.openxmlformats.org/officeDocument/2006/relationships/hyperlink" Target="https://www.itu.int/md/R19-RA19-C-0037/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19-RA19-C-0023/en" TargetMode="External"/><Relationship Id="rId17" Type="http://schemas.openxmlformats.org/officeDocument/2006/relationships/hyperlink" Target="https://www.itu.int/md/R19-RA19-C-0033/en" TargetMode="External"/><Relationship Id="rId25" Type="http://schemas.openxmlformats.org/officeDocument/2006/relationships/hyperlink" Target="https://www.itu.int/md/R15-SG07-RP-1004/en" TargetMode="External"/><Relationship Id="rId33" Type="http://schemas.openxmlformats.org/officeDocument/2006/relationships/hyperlink" Target="https://www.itu.int/md/R15-SG05-RP-1008/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RA19-ADM-0010/en" TargetMode="External"/><Relationship Id="rId20" Type="http://schemas.openxmlformats.org/officeDocument/2006/relationships/hyperlink" Target="https://www.itu.int/md/R19-RA19-C-0036/en" TargetMode="External"/><Relationship Id="rId29" Type="http://schemas.openxmlformats.org/officeDocument/2006/relationships/hyperlink" Target="https://www.itu.int/md/R15-SG05-RP-100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A19-C-0021/en" TargetMode="External"/><Relationship Id="rId24" Type="http://schemas.openxmlformats.org/officeDocument/2006/relationships/hyperlink" Target="https://www.itu.int/md/R15-SG07-RP-1003/en" TargetMode="External"/><Relationship Id="rId32" Type="http://schemas.openxmlformats.org/officeDocument/2006/relationships/hyperlink" Target="https://www.itu.int/md/R15-SG05-RP-1007/en"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R19-RA19-C-0030/en" TargetMode="External"/><Relationship Id="rId23" Type="http://schemas.openxmlformats.org/officeDocument/2006/relationships/hyperlink" Target="https://www.itu.int/md/R15-SG07-RP-1002/en" TargetMode="External"/><Relationship Id="rId28" Type="http://schemas.openxmlformats.org/officeDocument/2006/relationships/hyperlink" Target="https://www.itu.int/md/R15-SG05-RP-1003/en" TargetMode="External"/><Relationship Id="rId36" Type="http://schemas.openxmlformats.org/officeDocument/2006/relationships/footer" Target="footer2.xml"/><Relationship Id="rId10" Type="http://schemas.openxmlformats.org/officeDocument/2006/relationships/hyperlink" Target="https://www.itu.int/md/R15-SG05-RP-1009/en" TargetMode="External"/><Relationship Id="rId19" Type="http://schemas.openxmlformats.org/officeDocument/2006/relationships/hyperlink" Target="https://www.itu.int/md/R19-RA19-C-0035/en" TargetMode="External"/><Relationship Id="rId31" Type="http://schemas.openxmlformats.org/officeDocument/2006/relationships/hyperlink" Target="https://www.itu.int/md/R15-SG05-RP-1006/en" TargetMode="External"/><Relationship Id="rId4" Type="http://schemas.openxmlformats.org/officeDocument/2006/relationships/settings" Target="settings.xml"/><Relationship Id="rId9" Type="http://schemas.openxmlformats.org/officeDocument/2006/relationships/hyperlink" Target="https://www.itu.int/md/R19-RA19-ADM-0015/en" TargetMode="External"/><Relationship Id="rId14" Type="http://schemas.openxmlformats.org/officeDocument/2006/relationships/hyperlink" Target="https://www.itu.int/md/R19-RA19-C-0025/en" TargetMode="External"/><Relationship Id="rId22" Type="http://schemas.openxmlformats.org/officeDocument/2006/relationships/hyperlink" Target="https://www.itu.int/md/R15-SG07-RP-1001/en" TargetMode="External"/><Relationship Id="rId27" Type="http://schemas.openxmlformats.org/officeDocument/2006/relationships/hyperlink" Target="https://www.itu.int/md/R15-SG05-RP-1002/en" TargetMode="External"/><Relationship Id="rId30" Type="http://schemas.openxmlformats.org/officeDocument/2006/relationships/hyperlink" Target="https://www.itu.int/md/R15-SG05-RP-1005/e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30A8-5C81-4568-BF0D-1E465012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14</TotalTime>
  <Pages>2</Pages>
  <Words>592</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Borel, Helen Nicol</cp:lastModifiedBy>
  <cp:revision>6</cp:revision>
  <cp:lastPrinted>2019-10-30T13:49:00Z</cp:lastPrinted>
  <dcterms:created xsi:type="dcterms:W3CDTF">2019-10-31T07:07:00Z</dcterms:created>
  <dcterms:modified xsi:type="dcterms:W3CDTF">2019-10-31T07:21:00Z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