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A0090F" w14:paraId="6F9A676A" w14:textId="77777777">
        <w:trPr>
          <w:cantSplit/>
        </w:trPr>
        <w:tc>
          <w:tcPr>
            <w:tcW w:w="6629" w:type="dxa"/>
          </w:tcPr>
          <w:p w14:paraId="58D376FD" w14:textId="77777777" w:rsidR="0056236F" w:rsidRPr="00A0090F" w:rsidRDefault="0056236F" w:rsidP="00733FAD">
            <w:pPr>
              <w:spacing w:before="400" w:after="48"/>
              <w:rPr>
                <w:rFonts w:ascii="Verdana" w:hAnsi="Verdana" w:cs="Times"/>
                <w:b/>
                <w:position w:val="6"/>
                <w:sz w:val="20"/>
                <w:vertAlign w:val="subscript"/>
              </w:rPr>
            </w:pPr>
            <w:r w:rsidRPr="00A0090F">
              <w:rPr>
                <w:rFonts w:ascii="Verdana" w:hAnsi="Verdana" w:cs="Times New Roman Bold"/>
                <w:b/>
                <w:szCs w:val="24"/>
              </w:rPr>
              <w:t>Assemblée des Radiocommunications (AR-19)</w:t>
            </w:r>
            <w:r w:rsidRPr="00A0090F">
              <w:rPr>
                <w:rFonts w:ascii="Verdana" w:hAnsi="Verdana" w:cs="Times New Roman Bold"/>
                <w:b/>
                <w:position w:val="6"/>
                <w:sz w:val="26"/>
                <w:szCs w:val="26"/>
              </w:rPr>
              <w:br/>
            </w:r>
            <w:r w:rsidRPr="00A0090F">
              <w:rPr>
                <w:rFonts w:ascii="Verdana" w:hAnsi="Verdana"/>
                <w:b/>
                <w:bCs/>
                <w:sz w:val="18"/>
                <w:szCs w:val="18"/>
              </w:rPr>
              <w:t xml:space="preserve">Charm el-Cheikh, </w:t>
            </w:r>
            <w:r w:rsidR="0060664A" w:rsidRPr="00A0090F">
              <w:rPr>
                <w:rFonts w:ascii="Verdana" w:hAnsi="Verdana"/>
                <w:b/>
                <w:bCs/>
                <w:sz w:val="18"/>
                <w:szCs w:val="18"/>
              </w:rPr>
              <w:t>É</w:t>
            </w:r>
            <w:r w:rsidRPr="00A0090F">
              <w:rPr>
                <w:rFonts w:ascii="Verdana" w:hAnsi="Verdana"/>
                <w:b/>
                <w:bCs/>
                <w:sz w:val="18"/>
                <w:szCs w:val="18"/>
              </w:rPr>
              <w:t>gypte, 21-25 octobre 2019</w:t>
            </w:r>
          </w:p>
        </w:tc>
        <w:tc>
          <w:tcPr>
            <w:tcW w:w="3402" w:type="dxa"/>
          </w:tcPr>
          <w:p w14:paraId="4388BBD3" w14:textId="77777777" w:rsidR="0056236F" w:rsidRPr="00A0090F" w:rsidRDefault="0056236F" w:rsidP="00733FAD">
            <w:pPr>
              <w:jc w:val="right"/>
            </w:pPr>
            <w:bookmarkStart w:id="0" w:name="ditulogo"/>
            <w:bookmarkEnd w:id="0"/>
            <w:r w:rsidRPr="00A0090F">
              <w:rPr>
                <w:rFonts w:ascii="Verdana" w:hAnsi="Verdana"/>
                <w:b/>
                <w:bCs/>
                <w:noProof/>
                <w:lang w:eastAsia="zh-CN"/>
              </w:rPr>
              <w:drawing>
                <wp:inline distT="0" distB="0" distL="0" distR="0" wp14:anchorId="42796633" wp14:editId="46528E3D">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A0090F" w14:paraId="569C40BA" w14:textId="77777777">
        <w:trPr>
          <w:cantSplit/>
        </w:trPr>
        <w:tc>
          <w:tcPr>
            <w:tcW w:w="6629" w:type="dxa"/>
            <w:tcBorders>
              <w:bottom w:val="single" w:sz="12" w:space="0" w:color="auto"/>
            </w:tcBorders>
          </w:tcPr>
          <w:p w14:paraId="117E3E94" w14:textId="77777777" w:rsidR="0056236F" w:rsidRPr="00A0090F" w:rsidRDefault="0056236F" w:rsidP="00733FAD">
            <w:pPr>
              <w:spacing w:before="0" w:after="48"/>
              <w:rPr>
                <w:b/>
                <w:smallCaps/>
                <w:szCs w:val="24"/>
              </w:rPr>
            </w:pPr>
            <w:bookmarkStart w:id="1" w:name="dhead"/>
          </w:p>
        </w:tc>
        <w:tc>
          <w:tcPr>
            <w:tcW w:w="3402" w:type="dxa"/>
            <w:tcBorders>
              <w:bottom w:val="single" w:sz="12" w:space="0" w:color="auto"/>
            </w:tcBorders>
          </w:tcPr>
          <w:p w14:paraId="33336AFD" w14:textId="77777777" w:rsidR="0056236F" w:rsidRPr="00A0090F" w:rsidRDefault="0056236F" w:rsidP="00733FAD">
            <w:pPr>
              <w:spacing w:before="0"/>
              <w:rPr>
                <w:rFonts w:ascii="Verdana" w:hAnsi="Verdana"/>
                <w:szCs w:val="24"/>
              </w:rPr>
            </w:pPr>
          </w:p>
        </w:tc>
      </w:tr>
      <w:tr w:rsidR="0056236F" w:rsidRPr="00A0090F" w14:paraId="3DFF9AC4" w14:textId="77777777">
        <w:trPr>
          <w:cantSplit/>
        </w:trPr>
        <w:tc>
          <w:tcPr>
            <w:tcW w:w="6629" w:type="dxa"/>
            <w:tcBorders>
              <w:top w:val="single" w:sz="12" w:space="0" w:color="auto"/>
            </w:tcBorders>
          </w:tcPr>
          <w:p w14:paraId="436C1116" w14:textId="77777777" w:rsidR="0056236F" w:rsidRPr="00A0090F" w:rsidRDefault="0056236F" w:rsidP="00733FAD">
            <w:pPr>
              <w:spacing w:before="0" w:after="48"/>
              <w:rPr>
                <w:rFonts w:ascii="Verdana" w:hAnsi="Verdana"/>
                <w:b/>
                <w:smallCaps/>
                <w:sz w:val="20"/>
              </w:rPr>
            </w:pPr>
          </w:p>
        </w:tc>
        <w:tc>
          <w:tcPr>
            <w:tcW w:w="3402" w:type="dxa"/>
            <w:tcBorders>
              <w:top w:val="single" w:sz="12" w:space="0" w:color="auto"/>
            </w:tcBorders>
          </w:tcPr>
          <w:p w14:paraId="23D859F4" w14:textId="77777777" w:rsidR="0056236F" w:rsidRPr="00A0090F" w:rsidRDefault="0056236F" w:rsidP="00733FAD">
            <w:pPr>
              <w:spacing w:before="0"/>
              <w:rPr>
                <w:rFonts w:ascii="Verdana" w:hAnsi="Verdana"/>
                <w:sz w:val="20"/>
              </w:rPr>
            </w:pPr>
          </w:p>
        </w:tc>
      </w:tr>
      <w:tr w:rsidR="0056236F" w:rsidRPr="00A0090F" w14:paraId="609C7DB8" w14:textId="77777777">
        <w:trPr>
          <w:cantSplit/>
          <w:trHeight w:val="23"/>
        </w:trPr>
        <w:tc>
          <w:tcPr>
            <w:tcW w:w="6629" w:type="dxa"/>
            <w:vMerge w:val="restart"/>
          </w:tcPr>
          <w:p w14:paraId="20138DA6" w14:textId="183DFE11" w:rsidR="0056236F" w:rsidRPr="00A0090F" w:rsidRDefault="006506F4" w:rsidP="00733FAD">
            <w:pPr>
              <w:tabs>
                <w:tab w:val="left" w:pos="851"/>
              </w:tabs>
              <w:spacing w:before="0"/>
              <w:rPr>
                <w:rFonts w:ascii="Verdana" w:hAnsi="Verdana"/>
                <w:b/>
                <w:sz w:val="20"/>
              </w:rPr>
            </w:pPr>
            <w:bookmarkStart w:id="2" w:name="dnum" w:colFirst="1" w:colLast="1"/>
            <w:bookmarkStart w:id="3" w:name="dmeeting" w:colFirst="0" w:colLast="0"/>
            <w:bookmarkStart w:id="4" w:name="dbluepink" w:colFirst="0" w:colLast="0"/>
            <w:bookmarkEnd w:id="1"/>
            <w:r w:rsidRPr="00A0090F">
              <w:rPr>
                <w:rFonts w:ascii="Verdana" w:hAnsi="Verdana"/>
                <w:b/>
                <w:sz w:val="20"/>
              </w:rPr>
              <w:t>SÉANCE PLÉNIÈRE</w:t>
            </w:r>
          </w:p>
        </w:tc>
        <w:tc>
          <w:tcPr>
            <w:tcW w:w="3402" w:type="dxa"/>
          </w:tcPr>
          <w:p w14:paraId="292DE44F" w14:textId="3BE47EC0" w:rsidR="0056236F" w:rsidRPr="00A0090F" w:rsidRDefault="0056236F" w:rsidP="00733FAD">
            <w:pPr>
              <w:tabs>
                <w:tab w:val="left" w:pos="851"/>
              </w:tabs>
              <w:spacing w:before="0"/>
              <w:rPr>
                <w:rFonts w:ascii="Verdana" w:hAnsi="Verdana"/>
                <w:sz w:val="20"/>
              </w:rPr>
            </w:pPr>
            <w:r w:rsidRPr="00A0090F">
              <w:rPr>
                <w:rFonts w:ascii="Verdana" w:hAnsi="Verdana"/>
                <w:b/>
                <w:sz w:val="20"/>
              </w:rPr>
              <w:t>Document RA19/</w:t>
            </w:r>
            <w:r w:rsidR="003B2ED7" w:rsidRPr="00A0090F">
              <w:rPr>
                <w:rFonts w:ascii="Verdana" w:hAnsi="Verdana"/>
                <w:b/>
                <w:sz w:val="20"/>
              </w:rPr>
              <w:t>PLEN/84</w:t>
            </w:r>
            <w:r w:rsidRPr="00A0090F">
              <w:rPr>
                <w:rFonts w:ascii="Verdana" w:hAnsi="Verdana"/>
                <w:b/>
                <w:sz w:val="20"/>
              </w:rPr>
              <w:t>-F</w:t>
            </w:r>
          </w:p>
        </w:tc>
      </w:tr>
      <w:tr w:rsidR="0056236F" w:rsidRPr="00A0090F" w14:paraId="0A651FFF" w14:textId="77777777">
        <w:trPr>
          <w:cantSplit/>
          <w:trHeight w:val="23"/>
        </w:trPr>
        <w:tc>
          <w:tcPr>
            <w:tcW w:w="6629" w:type="dxa"/>
            <w:vMerge/>
          </w:tcPr>
          <w:p w14:paraId="6E8FDF92" w14:textId="77777777" w:rsidR="0056236F" w:rsidRPr="00A0090F" w:rsidRDefault="0056236F" w:rsidP="00733FAD">
            <w:pPr>
              <w:tabs>
                <w:tab w:val="left" w:pos="851"/>
              </w:tabs>
              <w:rPr>
                <w:rFonts w:ascii="Verdana" w:hAnsi="Verdana"/>
                <w:b/>
                <w:sz w:val="20"/>
              </w:rPr>
            </w:pPr>
            <w:bookmarkStart w:id="5" w:name="ddate" w:colFirst="1" w:colLast="1"/>
            <w:bookmarkEnd w:id="2"/>
            <w:bookmarkEnd w:id="3"/>
          </w:p>
        </w:tc>
        <w:tc>
          <w:tcPr>
            <w:tcW w:w="3402" w:type="dxa"/>
          </w:tcPr>
          <w:p w14:paraId="2080DB2D" w14:textId="0DFDACDC" w:rsidR="0056236F" w:rsidRPr="00A0090F" w:rsidRDefault="003B2ED7" w:rsidP="00733FAD">
            <w:pPr>
              <w:tabs>
                <w:tab w:val="left" w:pos="993"/>
              </w:tabs>
              <w:spacing w:before="0"/>
              <w:rPr>
                <w:rFonts w:ascii="Verdana" w:hAnsi="Verdana"/>
                <w:sz w:val="20"/>
              </w:rPr>
            </w:pPr>
            <w:r w:rsidRPr="00A0090F">
              <w:rPr>
                <w:rFonts w:ascii="Verdana" w:hAnsi="Verdana"/>
                <w:b/>
                <w:sz w:val="20"/>
              </w:rPr>
              <w:t>31 octobre</w:t>
            </w:r>
            <w:r w:rsidR="0056236F" w:rsidRPr="00A0090F">
              <w:rPr>
                <w:rFonts w:ascii="Verdana" w:hAnsi="Verdana"/>
                <w:b/>
                <w:sz w:val="20"/>
              </w:rPr>
              <w:t xml:space="preserve"> 201</w:t>
            </w:r>
            <w:r w:rsidR="0060664A" w:rsidRPr="00A0090F">
              <w:rPr>
                <w:rFonts w:ascii="Verdana" w:hAnsi="Verdana"/>
                <w:b/>
                <w:sz w:val="20"/>
              </w:rPr>
              <w:t>9</w:t>
            </w:r>
          </w:p>
        </w:tc>
      </w:tr>
      <w:tr w:rsidR="0056236F" w:rsidRPr="00A0090F" w14:paraId="60B66C12" w14:textId="77777777">
        <w:trPr>
          <w:cantSplit/>
          <w:trHeight w:val="23"/>
        </w:trPr>
        <w:tc>
          <w:tcPr>
            <w:tcW w:w="6629" w:type="dxa"/>
            <w:vMerge/>
          </w:tcPr>
          <w:p w14:paraId="64893A86" w14:textId="77777777" w:rsidR="0056236F" w:rsidRPr="00A0090F" w:rsidRDefault="0056236F" w:rsidP="00733FAD">
            <w:pPr>
              <w:tabs>
                <w:tab w:val="left" w:pos="851"/>
              </w:tabs>
              <w:rPr>
                <w:rFonts w:ascii="Verdana" w:hAnsi="Verdana"/>
                <w:b/>
                <w:sz w:val="20"/>
              </w:rPr>
            </w:pPr>
            <w:bookmarkStart w:id="6" w:name="dorlang" w:colFirst="1" w:colLast="1"/>
            <w:bookmarkEnd w:id="5"/>
          </w:p>
        </w:tc>
        <w:tc>
          <w:tcPr>
            <w:tcW w:w="3402" w:type="dxa"/>
          </w:tcPr>
          <w:p w14:paraId="7F970C0E" w14:textId="77777777" w:rsidR="0056236F" w:rsidRPr="00A0090F" w:rsidRDefault="0056236F" w:rsidP="00733FAD">
            <w:pPr>
              <w:tabs>
                <w:tab w:val="left" w:pos="993"/>
              </w:tabs>
              <w:spacing w:before="0" w:after="120"/>
              <w:rPr>
                <w:rFonts w:ascii="Verdana" w:hAnsi="Verdana"/>
                <w:sz w:val="20"/>
              </w:rPr>
            </w:pPr>
            <w:r w:rsidRPr="00A0090F">
              <w:rPr>
                <w:rFonts w:ascii="Verdana" w:hAnsi="Verdana"/>
                <w:b/>
                <w:sz w:val="20"/>
              </w:rPr>
              <w:t>Original: anglais</w:t>
            </w:r>
          </w:p>
        </w:tc>
      </w:tr>
      <w:tr w:rsidR="00B9065A" w:rsidRPr="00A0090F" w14:paraId="720F656C" w14:textId="77777777" w:rsidTr="003B2ED7">
        <w:trPr>
          <w:cantSplit/>
          <w:trHeight w:val="527"/>
        </w:trPr>
        <w:tc>
          <w:tcPr>
            <w:tcW w:w="10031" w:type="dxa"/>
            <w:gridSpan w:val="2"/>
          </w:tcPr>
          <w:p w14:paraId="515CD976" w14:textId="77777777" w:rsidR="00B9065A" w:rsidRPr="00A0090F" w:rsidRDefault="00B9065A" w:rsidP="00733FAD">
            <w:pPr>
              <w:pStyle w:val="Source"/>
              <w:spacing w:before="240"/>
            </w:pPr>
          </w:p>
        </w:tc>
      </w:tr>
      <w:tr w:rsidR="00B9065A" w:rsidRPr="00A0090F" w14:paraId="0D735BCE" w14:textId="77777777" w:rsidTr="00CC498A">
        <w:trPr>
          <w:cantSplit/>
          <w:trHeight w:val="23"/>
        </w:trPr>
        <w:tc>
          <w:tcPr>
            <w:tcW w:w="10031" w:type="dxa"/>
            <w:gridSpan w:val="2"/>
          </w:tcPr>
          <w:p w14:paraId="53B2CD1B" w14:textId="0BC47F0A" w:rsidR="00B9065A" w:rsidRPr="00A0090F" w:rsidRDefault="003B2ED7" w:rsidP="00733FAD">
            <w:pPr>
              <w:pStyle w:val="Title1"/>
            </w:pPr>
            <w:r w:rsidRPr="00A0090F">
              <w:t xml:space="preserve">compte rendu de la sixième séance plénière de </w:t>
            </w:r>
            <w:r w:rsidR="001C1471" w:rsidRPr="00A0090F">
              <w:br/>
            </w:r>
            <w:r w:rsidRPr="00A0090F">
              <w:t>l'assemblée des radiocommunications</w:t>
            </w:r>
          </w:p>
        </w:tc>
      </w:tr>
      <w:tr w:rsidR="00B9065A" w:rsidRPr="00A0090F" w14:paraId="0FB0B35E" w14:textId="77777777" w:rsidTr="00631A5C">
        <w:trPr>
          <w:cantSplit/>
          <w:trHeight w:val="23"/>
        </w:trPr>
        <w:tc>
          <w:tcPr>
            <w:tcW w:w="10031" w:type="dxa"/>
            <w:gridSpan w:val="2"/>
          </w:tcPr>
          <w:p w14:paraId="1D959CE5" w14:textId="29407E5A" w:rsidR="00B9065A" w:rsidRPr="00A0090F" w:rsidRDefault="003B2ED7" w:rsidP="00733FAD">
            <w:pPr>
              <w:pStyle w:val="Title3"/>
              <w:spacing w:after="240"/>
            </w:pPr>
            <w:r w:rsidRPr="00A0090F">
              <w:t>Vendredi 25 octobre 2019 à 9 heures</w:t>
            </w:r>
          </w:p>
        </w:tc>
      </w:tr>
      <w:bookmarkEnd w:id="4"/>
      <w:bookmarkEnd w:id="6"/>
    </w:tbl>
    <w:p w14:paraId="08DDDD24" w14:textId="0D147122" w:rsidR="00B11F65" w:rsidRPr="00A0090F" w:rsidRDefault="00B11F65" w:rsidP="00733FAD"/>
    <w:tbl>
      <w:tblPr>
        <w:tblW w:w="5221" w:type="pct"/>
        <w:tblLook w:val="0000" w:firstRow="0" w:lastRow="0" w:firstColumn="0" w:lastColumn="0" w:noHBand="0" w:noVBand="0"/>
      </w:tblPr>
      <w:tblGrid>
        <w:gridCol w:w="457"/>
        <w:gridCol w:w="6456"/>
        <w:gridCol w:w="3152"/>
      </w:tblGrid>
      <w:tr w:rsidR="003B2ED7" w:rsidRPr="00A0090F" w14:paraId="2F04978C" w14:textId="77777777" w:rsidTr="003B2ED7">
        <w:tc>
          <w:tcPr>
            <w:tcW w:w="227" w:type="pct"/>
          </w:tcPr>
          <w:p w14:paraId="1E6D452A" w14:textId="77777777" w:rsidR="003B2ED7" w:rsidRPr="00A0090F" w:rsidRDefault="003B2ED7" w:rsidP="00733FAD">
            <w:pPr>
              <w:rPr>
                <w:b/>
              </w:rPr>
            </w:pPr>
          </w:p>
        </w:tc>
        <w:tc>
          <w:tcPr>
            <w:tcW w:w="3207" w:type="pct"/>
          </w:tcPr>
          <w:p w14:paraId="6103126E" w14:textId="77777777" w:rsidR="003B2ED7" w:rsidRPr="00A0090F" w:rsidRDefault="003B2ED7" w:rsidP="00733FAD">
            <w:pPr>
              <w:rPr>
                <w:b/>
              </w:rPr>
            </w:pPr>
          </w:p>
        </w:tc>
        <w:tc>
          <w:tcPr>
            <w:tcW w:w="1566" w:type="pct"/>
          </w:tcPr>
          <w:p w14:paraId="4DE6EC50" w14:textId="77777777" w:rsidR="003B2ED7" w:rsidRPr="00A0090F" w:rsidRDefault="003B2ED7" w:rsidP="00733FAD">
            <w:pPr>
              <w:pStyle w:val="Tablehead"/>
              <w:rPr>
                <w:sz w:val="24"/>
                <w:szCs w:val="24"/>
              </w:rPr>
            </w:pPr>
            <w:r w:rsidRPr="00A0090F">
              <w:rPr>
                <w:sz w:val="24"/>
                <w:szCs w:val="24"/>
              </w:rPr>
              <w:t>Documents</w:t>
            </w:r>
          </w:p>
        </w:tc>
      </w:tr>
      <w:tr w:rsidR="003B2ED7" w:rsidRPr="00A0090F" w14:paraId="6D7F5750" w14:textId="77777777" w:rsidTr="003B2ED7">
        <w:tc>
          <w:tcPr>
            <w:tcW w:w="227" w:type="pct"/>
          </w:tcPr>
          <w:p w14:paraId="5E36B192" w14:textId="77777777" w:rsidR="003B2ED7" w:rsidRPr="00A0090F" w:rsidRDefault="003B2ED7" w:rsidP="00733FAD">
            <w:pPr>
              <w:rPr>
                <w:b/>
              </w:rPr>
            </w:pPr>
            <w:r w:rsidRPr="00A0090F">
              <w:rPr>
                <w:b/>
              </w:rPr>
              <w:t>1</w:t>
            </w:r>
          </w:p>
        </w:tc>
        <w:tc>
          <w:tcPr>
            <w:tcW w:w="3207" w:type="pct"/>
          </w:tcPr>
          <w:p w14:paraId="73471477" w14:textId="14D28DD8" w:rsidR="003B2ED7" w:rsidRPr="00A0090F" w:rsidRDefault="003B2ED7" w:rsidP="00733FAD">
            <w:r w:rsidRPr="00A0090F">
              <w:t>Ouverture de la séance</w:t>
            </w:r>
          </w:p>
        </w:tc>
        <w:tc>
          <w:tcPr>
            <w:tcW w:w="1566" w:type="pct"/>
          </w:tcPr>
          <w:p w14:paraId="08E8FEB0" w14:textId="1BFB74A8" w:rsidR="003B2ED7" w:rsidRPr="00A0090F" w:rsidRDefault="001C1471" w:rsidP="00733FAD">
            <w:pPr>
              <w:jc w:val="center"/>
            </w:pPr>
            <w:r w:rsidRPr="00A0090F">
              <w:t>–</w:t>
            </w:r>
          </w:p>
        </w:tc>
      </w:tr>
      <w:tr w:rsidR="003B2ED7" w:rsidRPr="00A0090F" w14:paraId="377B39B0" w14:textId="77777777" w:rsidTr="003B2ED7">
        <w:tc>
          <w:tcPr>
            <w:tcW w:w="227" w:type="pct"/>
          </w:tcPr>
          <w:p w14:paraId="49458CCD" w14:textId="77777777" w:rsidR="003B2ED7" w:rsidRPr="00A0090F" w:rsidRDefault="003B2ED7" w:rsidP="00733FAD">
            <w:pPr>
              <w:rPr>
                <w:b/>
              </w:rPr>
            </w:pPr>
            <w:r w:rsidRPr="00A0090F">
              <w:rPr>
                <w:b/>
              </w:rPr>
              <w:t>2</w:t>
            </w:r>
          </w:p>
        </w:tc>
        <w:tc>
          <w:tcPr>
            <w:tcW w:w="3207" w:type="pct"/>
          </w:tcPr>
          <w:p w14:paraId="0C376E51" w14:textId="77777777" w:rsidR="003B2ED7" w:rsidRPr="00A0090F" w:rsidRDefault="003B2ED7" w:rsidP="00733FAD">
            <w:r w:rsidRPr="00A0090F">
              <w:t>Adoption de l'ordre du jour</w:t>
            </w:r>
          </w:p>
        </w:tc>
        <w:tc>
          <w:tcPr>
            <w:tcW w:w="1566" w:type="pct"/>
          </w:tcPr>
          <w:p w14:paraId="458FC4BC" w14:textId="77777777" w:rsidR="003B2ED7" w:rsidRPr="00A0090F" w:rsidRDefault="00F8484B" w:rsidP="00733FAD">
            <w:pPr>
              <w:jc w:val="center"/>
            </w:pPr>
            <w:hyperlink r:id="rId9" w:history="1">
              <w:r w:rsidR="003B2ED7" w:rsidRPr="00A0090F">
                <w:rPr>
                  <w:rStyle w:val="Hyperlink"/>
                </w:rPr>
                <w:t>ADM/29(Rév.1)</w:t>
              </w:r>
            </w:hyperlink>
          </w:p>
        </w:tc>
      </w:tr>
      <w:tr w:rsidR="003B2ED7" w:rsidRPr="00A0090F" w14:paraId="6D86E9F7" w14:textId="77777777" w:rsidTr="003B2ED7">
        <w:tc>
          <w:tcPr>
            <w:tcW w:w="227" w:type="pct"/>
          </w:tcPr>
          <w:p w14:paraId="0D60E32B" w14:textId="77777777" w:rsidR="003B2ED7" w:rsidRPr="00A0090F" w:rsidRDefault="003B2ED7" w:rsidP="00733FAD">
            <w:pPr>
              <w:rPr>
                <w:b/>
              </w:rPr>
            </w:pPr>
            <w:r w:rsidRPr="00A0090F">
              <w:rPr>
                <w:b/>
              </w:rPr>
              <w:t>3</w:t>
            </w:r>
          </w:p>
        </w:tc>
        <w:tc>
          <w:tcPr>
            <w:tcW w:w="3207" w:type="pct"/>
          </w:tcPr>
          <w:p w14:paraId="58F78E02" w14:textId="77777777" w:rsidR="003B2ED7" w:rsidRPr="00A0090F" w:rsidRDefault="003B2ED7" w:rsidP="00733FAD">
            <w:r w:rsidRPr="00A0090F">
              <w:t>Projet de rapport de la Commission de contrôle budgétaire à la séance plénière</w:t>
            </w:r>
          </w:p>
          <w:p w14:paraId="2C0FD512" w14:textId="703933C5" w:rsidR="003B2ED7" w:rsidRPr="00A0090F" w:rsidRDefault="003B2ED7" w:rsidP="00733FAD">
            <w:r w:rsidRPr="00A0090F">
              <w:t>Le Président de la Commission de contrôle budgétaire a présenté le rapport</w:t>
            </w:r>
            <w:r w:rsidR="00B75698" w:rsidRPr="00A0090F">
              <w:t xml:space="preserve"> (</w:t>
            </w:r>
            <w:r w:rsidRPr="00A0090F">
              <w:t>Document PLEN/69</w:t>
            </w:r>
            <w:r w:rsidR="00B75698" w:rsidRPr="00A0090F">
              <w:t>)</w:t>
            </w:r>
            <w:r w:rsidRPr="00A0090F">
              <w:t>. Aucune observation n'a été formulée et il a été pris note du document.</w:t>
            </w:r>
          </w:p>
        </w:tc>
        <w:tc>
          <w:tcPr>
            <w:tcW w:w="1566" w:type="pct"/>
          </w:tcPr>
          <w:p w14:paraId="766DCE0E" w14:textId="77777777" w:rsidR="003B2ED7" w:rsidRPr="00A0090F" w:rsidRDefault="003B2ED7" w:rsidP="00733FAD">
            <w:pPr>
              <w:jc w:val="center"/>
            </w:pPr>
            <w:r w:rsidRPr="00A0090F">
              <w:t>PLEN/</w:t>
            </w:r>
            <w:hyperlink r:id="rId10" w:history="1">
              <w:r w:rsidRPr="00A0090F">
                <w:rPr>
                  <w:rStyle w:val="Hyperlink"/>
                </w:rPr>
                <w:t>69</w:t>
              </w:r>
            </w:hyperlink>
          </w:p>
        </w:tc>
      </w:tr>
      <w:tr w:rsidR="003B2ED7" w:rsidRPr="00A0090F" w14:paraId="26840040" w14:textId="77777777" w:rsidTr="003B2ED7">
        <w:tc>
          <w:tcPr>
            <w:tcW w:w="227" w:type="pct"/>
          </w:tcPr>
          <w:p w14:paraId="6BCAA4BC" w14:textId="77777777" w:rsidR="003B2ED7" w:rsidRPr="00A0090F" w:rsidRDefault="003B2ED7" w:rsidP="00733FAD">
            <w:pPr>
              <w:rPr>
                <w:b/>
              </w:rPr>
            </w:pPr>
            <w:r w:rsidRPr="00A0090F">
              <w:rPr>
                <w:b/>
              </w:rPr>
              <w:t>4</w:t>
            </w:r>
          </w:p>
        </w:tc>
        <w:tc>
          <w:tcPr>
            <w:tcW w:w="3207" w:type="pct"/>
          </w:tcPr>
          <w:p w14:paraId="581EB1D0" w14:textId="73831BE7" w:rsidR="003B2ED7" w:rsidRPr="00A0090F" w:rsidRDefault="003B2ED7" w:rsidP="00733FAD">
            <w:r w:rsidRPr="00A0090F">
              <w:t xml:space="preserve">Examen des documents </w:t>
            </w:r>
            <w:r w:rsidR="00B75698" w:rsidRPr="00A0090F">
              <w:t>établi</w:t>
            </w:r>
            <w:r w:rsidRPr="00A0090F">
              <w:t>s par la Commission 4</w:t>
            </w:r>
          </w:p>
          <w:p w14:paraId="2C985999" w14:textId="4F6615B8" w:rsidR="003B2ED7" w:rsidRPr="00A0090F" w:rsidRDefault="003B2ED7" w:rsidP="00733FAD">
            <w:r w:rsidRPr="00A0090F">
              <w:t>Les Documents PLEN/72 et 74 ont été élaborés</w:t>
            </w:r>
            <w:r w:rsidR="00B75698" w:rsidRPr="00A0090F">
              <w:t xml:space="preserve"> après</w:t>
            </w:r>
            <w:r w:rsidRPr="00A0090F">
              <w:t xml:space="preserve"> consultation </w:t>
            </w:r>
            <w:r w:rsidR="00B75698" w:rsidRPr="00A0090F">
              <w:t>du</w:t>
            </w:r>
            <w:r w:rsidRPr="00A0090F">
              <w:t xml:space="preserve"> secrétariat et présentés à l'Assemblée. </w:t>
            </w:r>
            <w:r w:rsidR="00B75698" w:rsidRPr="00A0090F">
              <w:t>Ces</w:t>
            </w:r>
            <w:r w:rsidRPr="00A0090F">
              <w:t xml:space="preserve"> deux </w:t>
            </w:r>
            <w:r w:rsidR="00B75698" w:rsidRPr="00A0090F">
              <w:t>d</w:t>
            </w:r>
            <w:r w:rsidRPr="00A0090F">
              <w:t xml:space="preserve">ocuments ont été approuvés et n'ont fait l'objet d'aucune </w:t>
            </w:r>
            <w:r w:rsidR="00B75698" w:rsidRPr="00A0090F">
              <w:t xml:space="preserve">autre </w:t>
            </w:r>
            <w:r w:rsidRPr="00A0090F">
              <w:t>observation.</w:t>
            </w:r>
          </w:p>
        </w:tc>
        <w:tc>
          <w:tcPr>
            <w:tcW w:w="1566" w:type="pct"/>
          </w:tcPr>
          <w:p w14:paraId="6BB1FEAC" w14:textId="77777777" w:rsidR="003B2ED7" w:rsidRPr="00A0090F" w:rsidRDefault="003B2ED7" w:rsidP="00733FAD">
            <w:pPr>
              <w:jc w:val="center"/>
            </w:pPr>
            <w:r w:rsidRPr="00A0090F">
              <w:t>PLEN/</w:t>
            </w:r>
            <w:hyperlink r:id="rId11" w:history="1">
              <w:r w:rsidRPr="00A0090F">
                <w:rPr>
                  <w:rStyle w:val="Hyperlink"/>
                </w:rPr>
                <w:t>72</w:t>
              </w:r>
            </w:hyperlink>
            <w:r w:rsidRPr="00A0090F">
              <w:t xml:space="preserve">, </w:t>
            </w:r>
            <w:hyperlink r:id="rId12" w:history="1">
              <w:r w:rsidRPr="00A0090F">
                <w:rPr>
                  <w:rStyle w:val="Hyperlink"/>
                </w:rPr>
                <w:t>74</w:t>
              </w:r>
            </w:hyperlink>
          </w:p>
        </w:tc>
      </w:tr>
      <w:tr w:rsidR="003B2ED7" w:rsidRPr="00A0090F" w14:paraId="49AD840D" w14:textId="77777777" w:rsidTr="003B2ED7">
        <w:tc>
          <w:tcPr>
            <w:tcW w:w="227" w:type="pct"/>
          </w:tcPr>
          <w:p w14:paraId="310A6327" w14:textId="77777777" w:rsidR="003B2ED7" w:rsidRPr="00A0090F" w:rsidRDefault="003B2ED7" w:rsidP="00733FAD">
            <w:pPr>
              <w:rPr>
                <w:b/>
              </w:rPr>
            </w:pPr>
            <w:r w:rsidRPr="00A0090F">
              <w:rPr>
                <w:b/>
              </w:rPr>
              <w:t>5</w:t>
            </w:r>
          </w:p>
        </w:tc>
        <w:tc>
          <w:tcPr>
            <w:tcW w:w="3207" w:type="pct"/>
          </w:tcPr>
          <w:p w14:paraId="768AA914" w14:textId="6B041976" w:rsidR="003B2ED7" w:rsidRPr="00A0090F" w:rsidRDefault="003B2ED7" w:rsidP="00733FAD">
            <w:r w:rsidRPr="00A0090F">
              <w:t xml:space="preserve">Examen des documents </w:t>
            </w:r>
            <w:r w:rsidR="00B75698" w:rsidRPr="00A0090F">
              <w:t>établis</w:t>
            </w:r>
            <w:r w:rsidRPr="00A0090F">
              <w:t xml:space="preserve"> par la Commission 5</w:t>
            </w:r>
          </w:p>
          <w:p w14:paraId="40856345" w14:textId="401768B5" w:rsidR="003B2ED7" w:rsidRPr="00A0090F" w:rsidRDefault="003B2ED7" w:rsidP="00733FAD">
            <w:r w:rsidRPr="00A0090F">
              <w:t xml:space="preserve">L'Administration de la République islamique d'Iran a proposé de rédiger </w:t>
            </w:r>
            <w:r w:rsidR="00B75698" w:rsidRPr="00A0090F">
              <w:t xml:space="preserve">une </w:t>
            </w:r>
            <w:r w:rsidRPr="00A0090F">
              <w:t xml:space="preserve">note d'information ainsi que des lignes directrices à l'intention des Vice-Présidents nouvellement désignés, </w:t>
            </w:r>
            <w:r w:rsidR="00B75698" w:rsidRPr="00A0090F">
              <w:t>afin qu'ils se familiarisent avec</w:t>
            </w:r>
            <w:r w:rsidRPr="00A0090F">
              <w:t xml:space="preserve"> les méthodes de travail des commissions d'études</w:t>
            </w:r>
            <w:r w:rsidR="00B75698" w:rsidRPr="00A0090F">
              <w:t xml:space="preserve"> (CE)</w:t>
            </w:r>
            <w:r w:rsidRPr="00A0090F">
              <w:t xml:space="preserve">. Ces notes d'information pourraient être </w:t>
            </w:r>
            <w:r w:rsidR="00B75698" w:rsidRPr="00A0090F">
              <w:t>communiquées</w:t>
            </w:r>
            <w:r w:rsidRPr="00A0090F">
              <w:t xml:space="preserve"> au GCR pour examen. Les </w:t>
            </w:r>
            <w:r w:rsidR="003C77E1" w:rsidRPr="00A0090F">
              <w:t xml:space="preserve">délégués des </w:t>
            </w:r>
            <w:r w:rsidRPr="00A0090F">
              <w:t>Administrations du Cameroun et de la Côte d'Ivoire ont également souscrit à cette proposition.</w:t>
            </w:r>
          </w:p>
          <w:p w14:paraId="583E2369" w14:textId="6157A46A" w:rsidR="003B2ED7" w:rsidRPr="00A0090F" w:rsidRDefault="003B2ED7" w:rsidP="00733FAD">
            <w:r w:rsidRPr="00A0090F">
              <w:t xml:space="preserve">Le Document PLEN/63 contient le projet de révision de la Résolution UIT-R 7, qui comporte principalement des mises à jour d'ordre rédactionnel. L'Administration </w:t>
            </w:r>
            <w:r w:rsidR="003C77E1" w:rsidRPr="00A0090F">
              <w:t>israélienne</w:t>
            </w:r>
            <w:r w:rsidRPr="00A0090F">
              <w:t xml:space="preserve"> a proposé d'ajouter des références croisées aux travaux du Groupe de coordination intersectorielle (ISCG). Les participants ont </w:t>
            </w:r>
            <w:r w:rsidR="003C77E1" w:rsidRPr="00A0090F">
              <w:t>approuvé</w:t>
            </w:r>
            <w:r w:rsidRPr="00A0090F">
              <w:t xml:space="preserve"> cette proposition et ont invité le secrétariat à </w:t>
            </w:r>
            <w:r w:rsidR="003C77E1" w:rsidRPr="00A0090F">
              <w:t xml:space="preserve">ajouter </w:t>
            </w:r>
            <w:r w:rsidRPr="00A0090F">
              <w:t>les références en question sur les pages web d</w:t>
            </w:r>
            <w:r w:rsidR="003C77E1" w:rsidRPr="00A0090F">
              <w:t>es CE</w:t>
            </w:r>
            <w:r w:rsidRPr="00A0090F">
              <w:t>.</w:t>
            </w:r>
          </w:p>
          <w:p w14:paraId="62E148B6" w14:textId="09FC3095" w:rsidR="003B2ED7" w:rsidRPr="00A0090F" w:rsidRDefault="003B2ED7" w:rsidP="00733FAD">
            <w:r w:rsidRPr="00A0090F">
              <w:lastRenderedPageBreak/>
              <w:t>L</w:t>
            </w:r>
            <w:r w:rsidR="003C77E1" w:rsidRPr="00A0090F">
              <w:t>e délégué de l</w:t>
            </w:r>
            <w:r w:rsidRPr="00A0090F">
              <w:t xml:space="preserve">'Administration du Sénégal a mis en exergue les difficultés rencontrées pour participer aux réunions des groupes de travail </w:t>
            </w:r>
            <w:r w:rsidR="003C77E1" w:rsidRPr="00A0090F">
              <w:t xml:space="preserve">(GT) </w:t>
            </w:r>
            <w:r w:rsidRPr="00A0090F">
              <w:t xml:space="preserve">et des </w:t>
            </w:r>
            <w:r w:rsidR="003C77E1" w:rsidRPr="00A0090F">
              <w:t>CE</w:t>
            </w:r>
            <w:r w:rsidRPr="00A0090F">
              <w:t xml:space="preserve"> lorsque les documents sont disponibles en anglais uniquement. L'Assemblée a invité le Directeur du BR à faire rapport sur cette question à la prochaine session du Conseil. Le Document PLEN/63 a ensuite été approuvé.</w:t>
            </w:r>
          </w:p>
          <w:p w14:paraId="77AF5896" w14:textId="11969157" w:rsidR="003B2ED7" w:rsidRPr="00A0090F" w:rsidRDefault="003B2ED7" w:rsidP="00733FAD">
            <w:r w:rsidRPr="00A0090F">
              <w:t xml:space="preserve">S'agissant du Document PLEN/73, qui contient un projet de texte </w:t>
            </w:r>
            <w:r w:rsidR="003C77E1" w:rsidRPr="00A0090F">
              <w:t>du</w:t>
            </w:r>
            <w:r w:rsidRPr="00A0090F">
              <w:t xml:space="preserve"> procès-verbal de la plénière de l'AR sur les Résolutions UIT-R 15 et 1, </w:t>
            </w:r>
            <w:r w:rsidR="003C77E1" w:rsidRPr="00A0090F">
              <w:t>un certain nombre de</w:t>
            </w:r>
            <w:r w:rsidRPr="00A0090F">
              <w:t xml:space="preserve"> modifications ont été </w:t>
            </w:r>
            <w:r w:rsidR="003C77E1" w:rsidRPr="00A0090F">
              <w:t>reçues</w:t>
            </w:r>
            <w:r w:rsidRPr="00A0090F">
              <w:t xml:space="preserve"> concernant l</w:t>
            </w:r>
            <w:r w:rsidR="003C77E1" w:rsidRPr="00A0090F">
              <w:t>e terme</w:t>
            </w:r>
            <w:r w:rsidRPr="00A0090F">
              <w:t xml:space="preserve"> «membres». «L'AR-19 charge le Groupe consultatif des radiocommunications (GCR), sur la base des propositions présentées par les États Membres et les Membres de Secteur et </w:t>
            </w:r>
            <w:r w:rsidR="003C77E1" w:rsidRPr="00A0090F">
              <w:t>après</w:t>
            </w:r>
            <w:r w:rsidRPr="00A0090F">
              <w:t xml:space="preserve"> consultation </w:t>
            </w:r>
            <w:r w:rsidR="003C77E1" w:rsidRPr="00A0090F">
              <w:t>des</w:t>
            </w:r>
            <w:r w:rsidRPr="00A0090F">
              <w:t xml:space="preserve"> Présidents des </w:t>
            </w:r>
            <w:r w:rsidR="003C77E1" w:rsidRPr="00A0090F">
              <w:t>c</w:t>
            </w:r>
            <w:r w:rsidRPr="00A0090F">
              <w:t xml:space="preserve">ommissions d'études, d'examiner la durée maximale du mandat des Présidents des </w:t>
            </w:r>
            <w:r w:rsidR="003C77E1" w:rsidRPr="00A0090F">
              <w:t>g</w:t>
            </w:r>
            <w:r w:rsidRPr="00A0090F">
              <w:t xml:space="preserve">roupes de travail des radiocommunications et de soumettre un rapport </w:t>
            </w:r>
            <w:r w:rsidR="003C77E1" w:rsidRPr="00A0090F">
              <w:t>sur les</w:t>
            </w:r>
            <w:r w:rsidRPr="00A0090F">
              <w:t xml:space="preserve"> résultats de cet examen à l'AR-23.</w:t>
            </w:r>
          </w:p>
          <w:p w14:paraId="1CE676F8" w14:textId="48D337D3" w:rsidR="003B2ED7" w:rsidRPr="00A0090F" w:rsidRDefault="003C77E1" w:rsidP="00733FAD">
            <w:r w:rsidRPr="00A0090F">
              <w:t>En outre, l</w:t>
            </w:r>
            <w:r w:rsidR="003B2ED7" w:rsidRPr="00A0090F">
              <w:t xml:space="preserve">'AR-19 charge le GCR, </w:t>
            </w:r>
            <w:r w:rsidRPr="00A0090F">
              <w:t>compte tenu</w:t>
            </w:r>
            <w:r w:rsidR="003B2ED7" w:rsidRPr="00A0090F">
              <w:t xml:space="preserve"> des propositions présentées par les États Membres et les Membres de Secteur et </w:t>
            </w:r>
            <w:r w:rsidRPr="00A0090F">
              <w:t>après</w:t>
            </w:r>
            <w:r w:rsidR="003B2ED7" w:rsidRPr="00A0090F">
              <w:t xml:space="preserve"> consultation </w:t>
            </w:r>
            <w:r w:rsidRPr="00A0090F">
              <w:t>des</w:t>
            </w:r>
            <w:r w:rsidR="003B2ED7" w:rsidRPr="00A0090F">
              <w:t xml:space="preserve"> Présidents des </w:t>
            </w:r>
            <w:r w:rsidRPr="00A0090F">
              <w:t>c</w:t>
            </w:r>
            <w:r w:rsidR="003B2ED7" w:rsidRPr="00A0090F">
              <w:t xml:space="preserve">ommissions d'études, d'examiner </w:t>
            </w:r>
            <w:r w:rsidRPr="00A0090F">
              <w:t>s'il y a lieu</w:t>
            </w:r>
            <w:r w:rsidR="003B2ED7" w:rsidRPr="00A0090F">
              <w:t xml:space="preserve"> de réviser la Résolution UIT-R 1, y compris </w:t>
            </w:r>
            <w:r w:rsidRPr="00A0090F">
              <w:t>d'ajouter</w:t>
            </w:r>
            <w:r w:rsidR="003B2ED7" w:rsidRPr="00A0090F">
              <w:t xml:space="preserve"> de</w:t>
            </w:r>
            <w:r w:rsidRPr="00A0090F">
              <w:t>s</w:t>
            </w:r>
            <w:r w:rsidR="003B2ED7" w:rsidRPr="00A0090F">
              <w:t xml:space="preserve"> dispositions relatives à la formation des nouveaux Présidents et Vice-Présidents des </w:t>
            </w:r>
            <w:r w:rsidRPr="00A0090F">
              <w:t>c</w:t>
            </w:r>
            <w:r w:rsidR="003B2ED7" w:rsidRPr="00A0090F">
              <w:t>ommissions d'études.» Le texte a été approuvé.</w:t>
            </w:r>
          </w:p>
          <w:p w14:paraId="506EC0F7" w14:textId="77777777" w:rsidR="003B2ED7" w:rsidRPr="00A0090F" w:rsidRDefault="003B2ED7" w:rsidP="00733FAD">
            <w:r w:rsidRPr="00A0090F">
              <w:t xml:space="preserve">Le Document PLEN/70, qui contient le projet de révision de la Résolution UIT-R 2, a été présenté. Aucune observation n'a été formulée et le document a été adopté. </w:t>
            </w:r>
          </w:p>
          <w:p w14:paraId="43ED9866" w14:textId="2BCDF1D1" w:rsidR="003B2ED7" w:rsidRPr="00A0090F" w:rsidRDefault="003B2ED7" w:rsidP="00733FAD">
            <w:pPr>
              <w:rPr>
                <w:b/>
                <w:bCs/>
              </w:rPr>
            </w:pPr>
            <w:r w:rsidRPr="00A0090F">
              <w:t xml:space="preserve">Le Document PLEN/71, qui contient le projet de révision de la Résolution UIT-R 1, a été présenté. Il conviendrait d'examiner plus avant deux points en suspens. </w:t>
            </w:r>
            <w:r w:rsidR="003C77E1" w:rsidRPr="00A0090F">
              <w:t>Le premier</w:t>
            </w:r>
            <w:r w:rsidRPr="00A0090F">
              <w:t xml:space="preserve"> a trait au §</w:t>
            </w:r>
            <w:r w:rsidR="00516618" w:rsidRPr="00A0090F">
              <w:t> </w:t>
            </w:r>
            <w:r w:rsidRPr="00A0090F">
              <w:t>A2.6.2.1.2 et l</w:t>
            </w:r>
            <w:r w:rsidR="003C77E1" w:rsidRPr="00A0090F">
              <w:t>e second</w:t>
            </w:r>
            <w:r w:rsidRPr="00A0090F">
              <w:t xml:space="preserve"> au §</w:t>
            </w:r>
            <w:r w:rsidR="00516618" w:rsidRPr="00A0090F">
              <w:t> </w:t>
            </w:r>
            <w:r w:rsidRPr="00A0090F">
              <w:t>A2.6.2.2.3.6. Deux textes ont été proposés concernant ces deux points. Des discussions ont eu lieu et il a été proposé de supprimer le §</w:t>
            </w:r>
            <w:r w:rsidR="00516618" w:rsidRPr="00A0090F">
              <w:t> </w:t>
            </w:r>
            <w:r w:rsidRPr="00A0090F">
              <w:t xml:space="preserve">A2.6.2.1.2, </w:t>
            </w:r>
            <w:r w:rsidR="003C77E1" w:rsidRPr="00A0090F">
              <w:t>proposition</w:t>
            </w:r>
            <w:r w:rsidRPr="00A0090F">
              <w:t xml:space="preserve"> qui a été approuvé</w:t>
            </w:r>
            <w:r w:rsidR="003C77E1" w:rsidRPr="00A0090F">
              <w:t>e</w:t>
            </w:r>
            <w:r w:rsidRPr="00A0090F">
              <w:t xml:space="preserve"> par les participants. Le §</w:t>
            </w:r>
            <w:r w:rsidR="00516618" w:rsidRPr="00A0090F">
              <w:t> </w:t>
            </w:r>
            <w:r w:rsidRPr="00A0090F">
              <w:t xml:space="preserve">A2.6.2.2.3.6 a été modifié conformément à un texte soumis de manière informelle. L'AR a invité le GCR à déterminer les modifications qui pourraient être apportées à la Résolution UIT-R 1 concernant les procédures </w:t>
            </w:r>
            <w:r w:rsidR="003C77E1" w:rsidRPr="00A0090F">
              <w:t>d</w:t>
            </w:r>
            <w:r w:rsidRPr="00A0090F">
              <w:t xml:space="preserve">'approbation </w:t>
            </w:r>
            <w:r w:rsidR="003C77E1" w:rsidRPr="00A0090F">
              <w:t>à suivre</w:t>
            </w:r>
            <w:r w:rsidRPr="00A0090F">
              <w:t xml:space="preserve"> lorsqu</w:t>
            </w:r>
            <w:r w:rsidR="003C77E1" w:rsidRPr="00A0090F">
              <w:t>'un texte</w:t>
            </w:r>
            <w:r w:rsidRPr="00A0090F">
              <w:t xml:space="preserve"> se rapporte </w:t>
            </w:r>
            <w:r w:rsidR="003C77E1" w:rsidRPr="00A0090F">
              <w:t xml:space="preserve">à des thèmes intéressant </w:t>
            </w:r>
            <w:r w:rsidRPr="00A0090F">
              <w:t>plusieurs CE. L'AR a également décidé qu'il conviendrait de distribuer les objections soulevées</w:t>
            </w:r>
            <w:r w:rsidR="003C77E1" w:rsidRPr="00A0090F">
              <w:t xml:space="preserve"> pendant la procédure </w:t>
            </w:r>
            <w:r w:rsidRPr="00A0090F">
              <w:t>d'approbation.</w:t>
            </w:r>
          </w:p>
        </w:tc>
        <w:tc>
          <w:tcPr>
            <w:tcW w:w="1566" w:type="pct"/>
          </w:tcPr>
          <w:p w14:paraId="0CFC64A3" w14:textId="77777777" w:rsidR="003B2ED7" w:rsidRPr="00A0090F" w:rsidRDefault="003B2ED7" w:rsidP="00733FAD">
            <w:pPr>
              <w:jc w:val="center"/>
            </w:pPr>
            <w:r w:rsidRPr="00A0090F">
              <w:lastRenderedPageBreak/>
              <w:t>PLEN/</w:t>
            </w:r>
            <w:hyperlink r:id="rId13" w:history="1">
              <w:r w:rsidRPr="00A0090F">
                <w:rPr>
                  <w:rStyle w:val="Hyperlink"/>
                </w:rPr>
                <w:t>63</w:t>
              </w:r>
            </w:hyperlink>
            <w:r w:rsidRPr="00A0090F">
              <w:t xml:space="preserve">, </w:t>
            </w:r>
            <w:hyperlink r:id="rId14" w:history="1">
              <w:r w:rsidRPr="00A0090F">
                <w:rPr>
                  <w:rStyle w:val="Hyperlink"/>
                </w:rPr>
                <w:t>70</w:t>
              </w:r>
            </w:hyperlink>
            <w:r w:rsidRPr="00A0090F">
              <w:t xml:space="preserve">, </w:t>
            </w:r>
            <w:hyperlink r:id="rId15" w:history="1">
              <w:r w:rsidRPr="00A0090F">
                <w:rPr>
                  <w:rStyle w:val="Hyperlink"/>
                </w:rPr>
                <w:t>71</w:t>
              </w:r>
            </w:hyperlink>
            <w:r w:rsidRPr="00A0090F">
              <w:t xml:space="preserve">, </w:t>
            </w:r>
            <w:hyperlink r:id="rId16" w:history="1">
              <w:r w:rsidRPr="00A0090F">
                <w:rPr>
                  <w:rStyle w:val="Hyperlink"/>
                </w:rPr>
                <w:t>73</w:t>
              </w:r>
            </w:hyperlink>
          </w:p>
        </w:tc>
      </w:tr>
      <w:tr w:rsidR="003B2ED7" w:rsidRPr="00A0090F" w14:paraId="2183844C" w14:textId="77777777" w:rsidTr="003B2ED7">
        <w:tc>
          <w:tcPr>
            <w:tcW w:w="227" w:type="pct"/>
          </w:tcPr>
          <w:p w14:paraId="20AFC177" w14:textId="77777777" w:rsidR="003B2ED7" w:rsidRPr="00A0090F" w:rsidRDefault="003B2ED7" w:rsidP="00733FAD">
            <w:pPr>
              <w:rPr>
                <w:b/>
              </w:rPr>
            </w:pPr>
            <w:r w:rsidRPr="00A0090F">
              <w:rPr>
                <w:b/>
              </w:rPr>
              <w:t>6</w:t>
            </w:r>
          </w:p>
        </w:tc>
        <w:tc>
          <w:tcPr>
            <w:tcW w:w="3207" w:type="pct"/>
          </w:tcPr>
          <w:p w14:paraId="119DA470" w14:textId="3345CC46" w:rsidR="003B2ED7" w:rsidRPr="00A0090F" w:rsidRDefault="003B2ED7" w:rsidP="00733FAD">
            <w:r w:rsidRPr="00A0090F">
              <w:t>Groupe de rédaction sur la Recommandation UIT-R [IMT</w:t>
            </w:r>
            <w:r w:rsidR="001676B8" w:rsidRPr="00A0090F">
              <w:noBreakHyphen/>
            </w:r>
            <w:r w:rsidRPr="00A0090F">
              <w:t>EESS] de la CE 7</w:t>
            </w:r>
          </w:p>
          <w:p w14:paraId="67BA049F" w14:textId="77777777" w:rsidR="003B2ED7" w:rsidRPr="00A0090F" w:rsidRDefault="003B2ED7" w:rsidP="00733FAD">
            <w:r w:rsidRPr="00A0090F">
              <w:t>Le Document PLEN/75 contient le texte suivant:</w:t>
            </w:r>
            <w:r w:rsidRPr="00A0090F">
              <w:br/>
              <w:t xml:space="preserve">«Le projet de Recommandation UIT-R [IMT-EESS/SRS COORDINATION] élaboré par la Commission d'études (CE) 7 a été communiqué pour adoption par correspondance, mais ce </w:t>
            </w:r>
            <w:r w:rsidRPr="00A0090F">
              <w:lastRenderedPageBreak/>
              <w:t>projet n'a pas été adopté, comme indiqué dans la Section 5 du Document 7/1001.</w:t>
            </w:r>
          </w:p>
          <w:p w14:paraId="665040D8" w14:textId="7195A312" w:rsidR="003B2ED7" w:rsidRPr="00A0090F" w:rsidRDefault="003B2ED7" w:rsidP="00733FAD">
            <w:r w:rsidRPr="00A0090F">
              <w:t xml:space="preserve">À l'AR-19, certaines administrations ont proposé d'examiner cette Recommandation </w:t>
            </w:r>
            <w:r w:rsidR="00480B32" w:rsidRPr="00A0090F">
              <w:t>pour</w:t>
            </w:r>
            <w:r w:rsidRPr="00A0090F">
              <w:t xml:space="preserve"> approbation, </w:t>
            </w:r>
            <w:r w:rsidR="00480B32" w:rsidRPr="00A0090F">
              <w:t>estimant</w:t>
            </w:r>
            <w:r w:rsidRPr="00A0090F">
              <w:t xml:space="preserve"> qu'elle est suffisamment aboutie et constitue un élément important pour faciliter la décision qui pourrait être prise par la CMR-19 concernant le point 1.13 de l'ordre du jour.</w:t>
            </w:r>
          </w:p>
          <w:p w14:paraId="2FD48CB1" w14:textId="7E00F035" w:rsidR="003B2ED7" w:rsidRPr="00A0090F" w:rsidRDefault="00480B32" w:rsidP="00733FAD">
            <w:r w:rsidRPr="00A0090F">
              <w:t xml:space="preserve">Lors de </w:t>
            </w:r>
            <w:r w:rsidR="003B2ED7" w:rsidRPr="00A0090F">
              <w:t xml:space="preserve">l'AR-19, </w:t>
            </w:r>
            <w:r w:rsidRPr="00A0090F">
              <w:t>d'</w:t>
            </w:r>
            <w:r w:rsidR="003B2ED7" w:rsidRPr="00A0090F">
              <w:t>autres administrations ont exprimé des préoccupations et se sont dit opposées à l'approbation de cette Recommandation à l'AR-19, estim</w:t>
            </w:r>
            <w:r w:rsidRPr="00A0090F">
              <w:t>a</w:t>
            </w:r>
            <w:r w:rsidR="003B2ED7" w:rsidRPr="00A0090F">
              <w:t>nt que la méthode utilisée dans ce projet de Recommandation UIT-R risque de ne pas donner des résultats exacts pour ce qui est de la taille de la zone de coordination. Elles ont insisté sur la nécessité de poursuivre les travaux sur ce projet dans le cadre de la CE 7 et d</w:t>
            </w:r>
            <w:r w:rsidRPr="00A0090F">
              <w:t>'améliorer</w:t>
            </w:r>
            <w:r w:rsidR="003B2ED7" w:rsidRPr="00A0090F">
              <w:t xml:space="preserve"> la coordination avec la CE 5 avant son approbation définitive, étant donné que des pr</w:t>
            </w:r>
            <w:r w:rsidRPr="00A0090F">
              <w:t>éoccupations</w:t>
            </w:r>
            <w:r w:rsidR="003B2ED7" w:rsidRPr="00A0090F">
              <w:t xml:space="preserve"> ont été soulevé</w:t>
            </w:r>
            <w:r w:rsidRPr="00A0090F">
              <w:t>e</w:t>
            </w:r>
            <w:r w:rsidR="003B2ED7" w:rsidRPr="00A0090F">
              <w:t xml:space="preserve">s par le Groupe de travail (GT) 5D avant le début de la procédure d'adoption par correspondance, </w:t>
            </w:r>
            <w:r w:rsidRPr="00A0090F">
              <w:t>préoccupations qui</w:t>
            </w:r>
            <w:r w:rsidR="003B2ED7" w:rsidRPr="00A0090F">
              <w:t xml:space="preserve"> n'ont pas été </w:t>
            </w:r>
            <w:r w:rsidRPr="00A0090F">
              <w:t>pleinement</w:t>
            </w:r>
            <w:r w:rsidR="003B2ED7" w:rsidRPr="00A0090F">
              <w:t xml:space="preserve"> pris</w:t>
            </w:r>
            <w:r w:rsidRPr="00A0090F">
              <w:t>es</w:t>
            </w:r>
            <w:r w:rsidR="003B2ED7" w:rsidRPr="00A0090F">
              <w:t xml:space="preserve"> en considération.</w:t>
            </w:r>
          </w:p>
          <w:p w14:paraId="08261D33" w14:textId="4F69BCC5" w:rsidR="003B2ED7" w:rsidRPr="00A0090F" w:rsidRDefault="003B2ED7" w:rsidP="00733FAD">
            <w:r w:rsidRPr="00A0090F">
              <w:t xml:space="preserve">Compte tenu des points de vue présentés ci-dessus, l'AR-19 a conclu qu'il était nécessaire que la CE 7 continue </w:t>
            </w:r>
            <w:r w:rsidR="00480B32" w:rsidRPr="00A0090F">
              <w:t>d'</w:t>
            </w:r>
            <w:r w:rsidRPr="00A0090F">
              <w:t xml:space="preserve">améliorer cette Recommandation. Par conséquent, l'AR-19 charge la CE 7, en étroite coopération avec la CE 5 concernant l'élaboration de la Recommandation et compte tenu des contributions qui seront soumises par la CE 3, de poursuivre l'élaboration de ce projet de Recommandation dès que possible au cours du prochain cycle d'études, en tenant compte des résultats de la CMR-19, et de tout mettre en œuvre pour mener à bien ses travaux sur ce projet de Recommandation, dans la mesure du possible, à la première réunion de la CE 7 </w:t>
            </w:r>
            <w:r w:rsidR="00480B32" w:rsidRPr="00A0090F">
              <w:t>qui se tiendra</w:t>
            </w:r>
            <w:r w:rsidRPr="00A0090F">
              <w:t xml:space="preserve"> en 2021 et d'en</w:t>
            </w:r>
            <w:r w:rsidR="00480B32" w:rsidRPr="00A0090F">
              <w:t>gager</w:t>
            </w:r>
            <w:r w:rsidRPr="00A0090F">
              <w:t xml:space="preserve"> la procédure d'adoption et d'approbation </w:t>
            </w:r>
            <w:r w:rsidR="00480B32" w:rsidRPr="00A0090F">
              <w:t>après</w:t>
            </w:r>
            <w:r w:rsidRPr="00A0090F">
              <w:t xml:space="preserve"> consultation </w:t>
            </w:r>
            <w:r w:rsidR="00480B32" w:rsidRPr="00A0090F">
              <w:t>de</w:t>
            </w:r>
            <w:r w:rsidRPr="00A0090F">
              <w:t xml:space="preserve"> la</w:t>
            </w:r>
            <w:r w:rsidR="00516618" w:rsidRPr="00A0090F">
              <w:t> </w:t>
            </w:r>
            <w:r w:rsidRPr="00A0090F">
              <w:t xml:space="preserve">CE 5. Au besoin et selon le cas, </w:t>
            </w:r>
            <w:r w:rsidR="00480B32" w:rsidRPr="00A0090F">
              <w:t xml:space="preserve">il pourra être procédé à </w:t>
            </w:r>
            <w:r w:rsidRPr="00A0090F">
              <w:t>des révisions ultérieures de cette Recommandation.</w:t>
            </w:r>
            <w:r w:rsidR="00F8484B">
              <w:t>»</w:t>
            </w:r>
            <w:r w:rsidRPr="00A0090F">
              <w:t xml:space="preserve"> Les participants</w:t>
            </w:r>
            <w:r w:rsidR="00480B32" w:rsidRPr="00A0090F">
              <w:t xml:space="preserve"> en sont convenus</w:t>
            </w:r>
            <w:r w:rsidRPr="00A0090F">
              <w:t>.</w:t>
            </w:r>
          </w:p>
        </w:tc>
        <w:tc>
          <w:tcPr>
            <w:tcW w:w="1566" w:type="pct"/>
          </w:tcPr>
          <w:p w14:paraId="393AD82A" w14:textId="77777777" w:rsidR="003B2ED7" w:rsidRPr="00A0090F" w:rsidRDefault="003B2ED7" w:rsidP="00733FAD">
            <w:pPr>
              <w:jc w:val="center"/>
            </w:pPr>
            <w:r w:rsidRPr="00A0090F">
              <w:lastRenderedPageBreak/>
              <w:t>PLEN/</w:t>
            </w:r>
            <w:hyperlink r:id="rId17" w:history="1">
              <w:r w:rsidRPr="00A0090F">
                <w:rPr>
                  <w:rStyle w:val="Hyperlink"/>
                </w:rPr>
                <w:t>75</w:t>
              </w:r>
            </w:hyperlink>
          </w:p>
        </w:tc>
      </w:tr>
      <w:tr w:rsidR="003B2ED7" w:rsidRPr="00A0090F" w14:paraId="0F5B1EFE" w14:textId="77777777" w:rsidTr="003B2ED7">
        <w:tc>
          <w:tcPr>
            <w:tcW w:w="227" w:type="pct"/>
          </w:tcPr>
          <w:p w14:paraId="4D77248F" w14:textId="77777777" w:rsidR="003B2ED7" w:rsidRPr="00A0090F" w:rsidRDefault="003B2ED7" w:rsidP="00733FAD">
            <w:pPr>
              <w:rPr>
                <w:b/>
              </w:rPr>
            </w:pPr>
            <w:r w:rsidRPr="00A0090F">
              <w:rPr>
                <w:b/>
              </w:rPr>
              <w:t>7</w:t>
            </w:r>
          </w:p>
        </w:tc>
        <w:tc>
          <w:tcPr>
            <w:tcW w:w="3207" w:type="pct"/>
          </w:tcPr>
          <w:p w14:paraId="6EC270B1" w14:textId="77777777" w:rsidR="003B2ED7" w:rsidRPr="00A0090F" w:rsidRDefault="003B2ED7" w:rsidP="00733FAD">
            <w:r w:rsidRPr="00A0090F">
              <w:t>Groupe ad hoc Plen-1</w:t>
            </w:r>
          </w:p>
          <w:p w14:paraId="346A21F9" w14:textId="19E6E315" w:rsidR="003B2ED7" w:rsidRPr="00A0090F" w:rsidRDefault="003B2ED7" w:rsidP="00733FAD">
            <w:r w:rsidRPr="00A0090F">
              <w:t xml:space="preserve">Le Document PLEN/76 contient le projet de révision de la Recommandation UIT-R M.1036-5. </w:t>
            </w:r>
            <w:r w:rsidR="00480B32" w:rsidRPr="00A0090F">
              <w:t>U</w:t>
            </w:r>
            <w:r w:rsidRPr="00A0090F">
              <w:t>ne question en suspens</w:t>
            </w:r>
            <w:r w:rsidR="00480B32" w:rsidRPr="00A0090F">
              <w:t xml:space="preserve"> qui appelait une décision a trait à l'adjonction</w:t>
            </w:r>
            <w:r w:rsidRPr="00A0090F">
              <w:t xml:space="preserve"> éventuel</w:t>
            </w:r>
            <w:r w:rsidR="00480B32" w:rsidRPr="00A0090F">
              <w:t>le</w:t>
            </w:r>
            <w:r w:rsidRPr="00A0090F">
              <w:t xml:space="preserve"> d'un</w:t>
            </w:r>
            <w:r w:rsidR="00480B32" w:rsidRPr="00A0090F">
              <w:t>e</w:t>
            </w:r>
            <w:r w:rsidRPr="00A0090F">
              <w:t xml:space="preserve"> </w:t>
            </w:r>
            <w:r w:rsidR="00480B32" w:rsidRPr="00A0090F">
              <w:t>note de bas de page</w:t>
            </w:r>
            <w:r w:rsidRPr="00A0090F">
              <w:t xml:space="preserve"> dans la Pièce jointe 1 ou </w:t>
            </w:r>
            <w:r w:rsidR="00480B32" w:rsidRPr="00A0090F">
              <w:t>dans</w:t>
            </w:r>
            <w:r w:rsidRPr="00A0090F">
              <w:t xml:space="preserve"> un</w:t>
            </w:r>
            <w:r w:rsidR="00480B32" w:rsidRPr="00A0090F">
              <w:t>e</w:t>
            </w:r>
            <w:r w:rsidRPr="00A0090F">
              <w:t xml:space="preserve"> autre </w:t>
            </w:r>
            <w:r w:rsidR="00480B32" w:rsidRPr="00A0090F">
              <w:t xml:space="preserve">partie </w:t>
            </w:r>
            <w:r w:rsidRPr="00A0090F">
              <w:t xml:space="preserve">du document, </w:t>
            </w:r>
            <w:r w:rsidR="00480B32" w:rsidRPr="00A0090F">
              <w:t>indiquant</w:t>
            </w:r>
            <w:r w:rsidRPr="00A0090F">
              <w:t xml:space="preserve"> que la Pièce jointe 1 </w:t>
            </w:r>
            <w:r w:rsidR="00480B32" w:rsidRPr="00A0090F">
              <w:t>ne fait pas partie du</w:t>
            </w:r>
            <w:r w:rsidRPr="00A0090F">
              <w:t xml:space="preserve"> </w:t>
            </w:r>
            <w:r w:rsidRPr="00A0090F">
              <w:rPr>
                <w:i/>
                <w:iCs/>
              </w:rPr>
              <w:t>recommande</w:t>
            </w:r>
            <w:r w:rsidR="00480B32" w:rsidRPr="00A0090F">
              <w:t>,</w:t>
            </w:r>
            <w:r w:rsidRPr="00A0090F">
              <w:t xml:space="preserve"> mais constitue un descripti</w:t>
            </w:r>
            <w:r w:rsidR="00A339AE" w:rsidRPr="00A0090F">
              <w:t>f</w:t>
            </w:r>
            <w:r w:rsidRPr="00A0090F">
              <w:t xml:space="preserve"> de la Recommandation.</w:t>
            </w:r>
            <w:r w:rsidR="00A339AE" w:rsidRPr="00A0090F">
              <w:t xml:space="preserve"> </w:t>
            </w:r>
            <w:r w:rsidRPr="00A0090F">
              <w:t>Les participants sont convenus d'apporter cette modification et ont approuvé la Recommandation, étant entendu que la Pièce jointe 1 n</w:t>
            </w:r>
            <w:r w:rsidR="00A339AE" w:rsidRPr="00A0090F">
              <w:t>e fait pas</w:t>
            </w:r>
            <w:r w:rsidRPr="00A0090F">
              <w:t xml:space="preserve"> partie</w:t>
            </w:r>
            <w:r w:rsidR="00A339AE" w:rsidRPr="00A0090F">
              <w:t xml:space="preserve"> du</w:t>
            </w:r>
            <w:r w:rsidRPr="00A0090F">
              <w:t xml:space="preserve"> </w:t>
            </w:r>
            <w:r w:rsidRPr="00A0090F">
              <w:rPr>
                <w:i/>
                <w:iCs/>
              </w:rPr>
              <w:t>recommande</w:t>
            </w:r>
            <w:r w:rsidRPr="00A0090F">
              <w:t xml:space="preserve"> et constitue un</w:t>
            </w:r>
            <w:r w:rsidR="008B3C9C" w:rsidRPr="00A0090F">
              <w:t xml:space="preserve"> </w:t>
            </w:r>
            <w:r w:rsidRPr="00A0090F">
              <w:t>descripti</w:t>
            </w:r>
            <w:r w:rsidR="008B3C9C" w:rsidRPr="00A0090F">
              <w:t>f</w:t>
            </w:r>
            <w:r w:rsidRPr="00A0090F">
              <w:t xml:space="preserve"> de la Recommandation. L</w:t>
            </w:r>
            <w:r w:rsidR="008B3C9C" w:rsidRPr="00A0090F">
              <w:t>e délégué de l</w:t>
            </w:r>
            <w:r w:rsidRPr="00A0090F">
              <w:t xml:space="preserve">'Administration </w:t>
            </w:r>
            <w:r w:rsidR="008B3C9C" w:rsidRPr="00A0090F">
              <w:t>a</w:t>
            </w:r>
            <w:r w:rsidRPr="00A0090F">
              <w:t>ustralie</w:t>
            </w:r>
            <w:r w:rsidR="008B3C9C" w:rsidRPr="00A0090F">
              <w:t>nne</w:t>
            </w:r>
            <w:r w:rsidRPr="00A0090F">
              <w:t xml:space="preserve"> a proposé de faire une mise à jour d'ordre rédactionnel en ajoutant le Rapport M.2841 </w:t>
            </w:r>
            <w:r w:rsidR="008B3C9C" w:rsidRPr="00A0090F">
              <w:t>dans</w:t>
            </w:r>
            <w:r w:rsidRPr="00A0090F">
              <w:t xml:space="preserve"> la liste des documents cités en référence dans le texte. La </w:t>
            </w:r>
            <w:r w:rsidRPr="00A0090F">
              <w:lastRenderedPageBreak/>
              <w:t xml:space="preserve">Recommandation a été approuvée dans son intégralité, moyennant ces modifications. </w:t>
            </w:r>
          </w:p>
        </w:tc>
        <w:tc>
          <w:tcPr>
            <w:tcW w:w="1566" w:type="pct"/>
          </w:tcPr>
          <w:p w14:paraId="66A6280B" w14:textId="77777777" w:rsidR="003B2ED7" w:rsidRPr="00A0090F" w:rsidRDefault="003B2ED7" w:rsidP="00733FAD">
            <w:pPr>
              <w:jc w:val="center"/>
            </w:pPr>
            <w:r w:rsidRPr="00A0090F">
              <w:lastRenderedPageBreak/>
              <w:t>PLEN/</w:t>
            </w:r>
            <w:hyperlink r:id="rId18" w:history="1">
              <w:r w:rsidRPr="00A0090F">
                <w:rPr>
                  <w:rStyle w:val="Hyperlink"/>
                </w:rPr>
                <w:t>76</w:t>
              </w:r>
            </w:hyperlink>
          </w:p>
        </w:tc>
      </w:tr>
      <w:tr w:rsidR="003B2ED7" w:rsidRPr="00A0090F" w14:paraId="7B462035" w14:textId="77777777" w:rsidTr="003B2ED7">
        <w:tc>
          <w:tcPr>
            <w:tcW w:w="227" w:type="pct"/>
          </w:tcPr>
          <w:p w14:paraId="35C0A674" w14:textId="77777777" w:rsidR="003B2ED7" w:rsidRPr="00A0090F" w:rsidRDefault="003B2ED7" w:rsidP="00733FAD">
            <w:pPr>
              <w:rPr>
                <w:b/>
              </w:rPr>
            </w:pPr>
            <w:r w:rsidRPr="00A0090F">
              <w:rPr>
                <w:b/>
              </w:rPr>
              <w:t>8</w:t>
            </w:r>
          </w:p>
        </w:tc>
        <w:tc>
          <w:tcPr>
            <w:tcW w:w="3207" w:type="pct"/>
          </w:tcPr>
          <w:p w14:paraId="3ABE821D" w14:textId="77777777" w:rsidR="003B2ED7" w:rsidRPr="00A0090F" w:rsidRDefault="003B2ED7" w:rsidP="00733FAD">
            <w:r w:rsidRPr="00A0090F">
              <w:t>Liste des Résolutions UIT-R (AR-19)</w:t>
            </w:r>
          </w:p>
          <w:p w14:paraId="3992616F" w14:textId="77777777" w:rsidR="003B2ED7" w:rsidRPr="00A0090F" w:rsidRDefault="003B2ED7" w:rsidP="00733FAD">
            <w:r w:rsidRPr="00A0090F">
              <w:t>Le Document PLEN/77 a été présenté et les participants l'ont approuvé.</w:t>
            </w:r>
          </w:p>
        </w:tc>
        <w:tc>
          <w:tcPr>
            <w:tcW w:w="1566" w:type="pct"/>
          </w:tcPr>
          <w:p w14:paraId="3FB0C36E" w14:textId="77777777" w:rsidR="003B2ED7" w:rsidRPr="00A0090F" w:rsidRDefault="003B2ED7" w:rsidP="00733FAD">
            <w:pPr>
              <w:jc w:val="center"/>
            </w:pPr>
            <w:r w:rsidRPr="00A0090F">
              <w:t>PLEN/</w:t>
            </w:r>
            <w:hyperlink r:id="rId19" w:history="1">
              <w:r w:rsidRPr="00A0090F">
                <w:rPr>
                  <w:rStyle w:val="Hyperlink"/>
                </w:rPr>
                <w:t>77</w:t>
              </w:r>
            </w:hyperlink>
          </w:p>
        </w:tc>
      </w:tr>
      <w:tr w:rsidR="003B2ED7" w:rsidRPr="00A0090F" w14:paraId="00C840B6" w14:textId="77777777" w:rsidTr="003B2ED7">
        <w:tc>
          <w:tcPr>
            <w:tcW w:w="227" w:type="pct"/>
          </w:tcPr>
          <w:p w14:paraId="4C4E9BDF" w14:textId="77777777" w:rsidR="003B2ED7" w:rsidRPr="00A0090F" w:rsidRDefault="003B2ED7" w:rsidP="00733FAD">
            <w:pPr>
              <w:rPr>
                <w:b/>
              </w:rPr>
            </w:pPr>
            <w:r w:rsidRPr="00A0090F">
              <w:rPr>
                <w:b/>
              </w:rPr>
              <w:t>9</w:t>
            </w:r>
          </w:p>
        </w:tc>
        <w:tc>
          <w:tcPr>
            <w:tcW w:w="3207" w:type="pct"/>
          </w:tcPr>
          <w:p w14:paraId="7EBE9559" w14:textId="77777777" w:rsidR="003B2ED7" w:rsidRPr="00A0090F" w:rsidRDefault="003B2ED7" w:rsidP="00733FAD">
            <w:pPr>
              <w:tabs>
                <w:tab w:val="left" w:pos="567"/>
              </w:tabs>
              <w:spacing w:before="80"/>
            </w:pPr>
            <w:r w:rsidRPr="00A0090F">
              <w:t xml:space="preserve">Rapport du Président du CCV </w:t>
            </w:r>
          </w:p>
          <w:p w14:paraId="70746147" w14:textId="1D6D8852" w:rsidR="003B2ED7" w:rsidRPr="00A0090F" w:rsidRDefault="003B2ED7" w:rsidP="00733FAD">
            <w:pPr>
              <w:tabs>
                <w:tab w:val="left" w:pos="567"/>
              </w:tabs>
              <w:spacing w:before="80"/>
            </w:pPr>
            <w:r w:rsidRPr="00A0090F">
              <w:t xml:space="preserve">Le Président du CCV a présenté </w:t>
            </w:r>
            <w:r w:rsidR="008B3C9C" w:rsidRPr="00A0090F">
              <w:t>son</w:t>
            </w:r>
            <w:r w:rsidRPr="00A0090F">
              <w:t xml:space="preserve"> rapport sur les activités du CCV lors du dernier cycle d'études de la CE.</w:t>
            </w:r>
          </w:p>
          <w:p w14:paraId="3BC4DB00" w14:textId="0E1370CF" w:rsidR="003B2ED7" w:rsidRPr="00A0090F" w:rsidRDefault="003B2ED7" w:rsidP="00733FAD">
            <w:r w:rsidRPr="00A0090F">
              <w:t>Le secrétariat traitera les informations figurant dans les Documents CCV/</w:t>
            </w:r>
            <w:hyperlink r:id="rId20" w:history="1">
              <w:r w:rsidRPr="00A0090F">
                <w:t>1002</w:t>
              </w:r>
            </w:hyperlink>
            <w:r w:rsidRPr="00A0090F">
              <w:t xml:space="preserve">, </w:t>
            </w:r>
            <w:hyperlink r:id="rId21" w:history="1">
              <w:r w:rsidRPr="00A0090F">
                <w:t>1003</w:t>
              </w:r>
            </w:hyperlink>
            <w:r w:rsidRPr="00A0090F">
              <w:t xml:space="preserve"> et </w:t>
            </w:r>
            <w:hyperlink r:id="rId22" w:history="1">
              <w:r w:rsidRPr="00A0090F">
                <w:t>1004</w:t>
              </w:r>
            </w:hyperlink>
            <w:r w:rsidR="008B3C9C" w:rsidRPr="00A0090F">
              <w:t>,</w:t>
            </w:r>
            <w:r w:rsidRPr="00A0090F">
              <w:t xml:space="preserve"> en vue d'élaborer une nouvelle Résolution 4.</w:t>
            </w:r>
          </w:p>
        </w:tc>
        <w:tc>
          <w:tcPr>
            <w:tcW w:w="1566" w:type="pct"/>
          </w:tcPr>
          <w:p w14:paraId="0A1272BC" w14:textId="77777777" w:rsidR="003B2ED7" w:rsidRPr="00A0090F" w:rsidRDefault="003B2ED7" w:rsidP="00733FAD">
            <w:pPr>
              <w:jc w:val="center"/>
            </w:pPr>
            <w:r w:rsidRPr="00A0090F">
              <w:t>CCV/</w:t>
            </w:r>
            <w:hyperlink r:id="rId23" w:history="1">
              <w:r w:rsidRPr="00A0090F">
                <w:rPr>
                  <w:rStyle w:val="Hyperlink"/>
                </w:rPr>
                <w:t>1001</w:t>
              </w:r>
            </w:hyperlink>
            <w:r w:rsidRPr="00A0090F">
              <w:t xml:space="preserve">, </w:t>
            </w:r>
            <w:hyperlink r:id="rId24" w:history="1">
              <w:r w:rsidRPr="00A0090F">
                <w:rPr>
                  <w:rStyle w:val="Hyperlink"/>
                </w:rPr>
                <w:t>1002</w:t>
              </w:r>
            </w:hyperlink>
            <w:r w:rsidRPr="00A0090F">
              <w:t xml:space="preserve">, </w:t>
            </w:r>
            <w:hyperlink r:id="rId25" w:history="1">
              <w:r w:rsidRPr="00A0090F">
                <w:rPr>
                  <w:rStyle w:val="Hyperlink"/>
                </w:rPr>
                <w:t>1003</w:t>
              </w:r>
            </w:hyperlink>
            <w:r w:rsidRPr="00A0090F">
              <w:t xml:space="preserve">, </w:t>
            </w:r>
            <w:hyperlink r:id="rId26" w:history="1">
              <w:r w:rsidRPr="00A0090F">
                <w:rPr>
                  <w:rStyle w:val="Hyperlink"/>
                </w:rPr>
                <w:t>1004</w:t>
              </w:r>
            </w:hyperlink>
          </w:p>
        </w:tc>
      </w:tr>
      <w:tr w:rsidR="003B2ED7" w:rsidRPr="00A0090F" w14:paraId="3FC76A15" w14:textId="77777777" w:rsidTr="003B2ED7">
        <w:tc>
          <w:tcPr>
            <w:tcW w:w="227" w:type="pct"/>
            <w:shd w:val="clear" w:color="auto" w:fill="auto"/>
          </w:tcPr>
          <w:p w14:paraId="1D673241" w14:textId="77777777" w:rsidR="003B2ED7" w:rsidRPr="00A0090F" w:rsidRDefault="003B2ED7" w:rsidP="00733FAD">
            <w:pPr>
              <w:rPr>
                <w:b/>
              </w:rPr>
            </w:pPr>
            <w:r w:rsidRPr="00A0090F">
              <w:rPr>
                <w:b/>
              </w:rPr>
              <w:t>10</w:t>
            </w:r>
          </w:p>
        </w:tc>
        <w:tc>
          <w:tcPr>
            <w:tcW w:w="3207" w:type="pct"/>
            <w:shd w:val="clear" w:color="auto" w:fill="auto"/>
          </w:tcPr>
          <w:p w14:paraId="1AFF9A91" w14:textId="77777777" w:rsidR="003B2ED7" w:rsidRPr="00A0090F" w:rsidRDefault="003B2ED7" w:rsidP="00733FAD">
            <w:r w:rsidRPr="00A0090F">
              <w:t>Divers</w:t>
            </w:r>
          </w:p>
          <w:p w14:paraId="5AD97F6F" w14:textId="6CE9F66D" w:rsidR="003B2ED7" w:rsidRPr="00A0090F" w:rsidRDefault="003B2ED7" w:rsidP="00733FAD">
            <w:r w:rsidRPr="00A0090F">
              <w:t>Le</w:t>
            </w:r>
            <w:r w:rsidR="008B3C9C" w:rsidRPr="00A0090F">
              <w:t>s</w:t>
            </w:r>
            <w:r w:rsidRPr="00A0090F">
              <w:t xml:space="preserve"> nom</w:t>
            </w:r>
            <w:r w:rsidR="008B3C9C" w:rsidRPr="00A0090F">
              <w:t>s</w:t>
            </w:r>
            <w:r w:rsidRPr="00A0090F">
              <w:t xml:space="preserve"> des personnes désignées pour occuper les fonctions de Présidents et de Vice-Présidents du GCR et de la RPC sont indiqués ci-dessous: </w:t>
            </w:r>
          </w:p>
          <w:p w14:paraId="64FAA3D8" w14:textId="77777777" w:rsidR="003B2ED7" w:rsidRPr="00A0090F" w:rsidRDefault="003B2ED7" w:rsidP="00733FAD"/>
          <w:tbl>
            <w:tblPr>
              <w:tblStyle w:val="TableGrid"/>
              <w:tblpPr w:leftFromText="180" w:rightFromText="180" w:vertAnchor="text" w:horzAnchor="margin" w:tblpY="2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255"/>
            </w:tblGrid>
            <w:tr w:rsidR="003B2ED7" w:rsidRPr="00A0090F" w14:paraId="1A07873A" w14:textId="77777777" w:rsidTr="00DC5D5B">
              <w:trPr>
                <w:trHeight w:val="288"/>
              </w:trPr>
              <w:tc>
                <w:tcPr>
                  <w:tcW w:w="1984" w:type="dxa"/>
                  <w:shd w:val="clear" w:color="auto" w:fill="auto"/>
                  <w:noWrap/>
                  <w:hideMark/>
                </w:tcPr>
                <w:p w14:paraId="7E6C87CE" w14:textId="77777777" w:rsidR="003B2ED7" w:rsidRPr="00A0090F" w:rsidRDefault="003B2ED7" w:rsidP="00733FAD">
                  <w:pPr>
                    <w:spacing w:before="40" w:after="40"/>
                    <w:jc w:val="both"/>
                    <w:rPr>
                      <w:rFonts w:cs="Times New Roman"/>
                      <w:b/>
                      <w:sz w:val="22"/>
                      <w:szCs w:val="24"/>
                      <w:lang w:eastAsia="zh-CN"/>
                    </w:rPr>
                  </w:pPr>
                  <w:r w:rsidRPr="00A0090F">
                    <w:rPr>
                      <w:rFonts w:cs="Times New Roman"/>
                      <w:b/>
                      <w:szCs w:val="24"/>
                    </w:rPr>
                    <w:t>RPC</w:t>
                  </w:r>
                </w:p>
              </w:tc>
              <w:tc>
                <w:tcPr>
                  <w:tcW w:w="4255" w:type="dxa"/>
                  <w:shd w:val="clear" w:color="auto" w:fill="auto"/>
                  <w:noWrap/>
                </w:tcPr>
                <w:p w14:paraId="24A2F115" w14:textId="77777777" w:rsidR="003B2ED7" w:rsidRPr="00A0090F" w:rsidRDefault="003B2ED7" w:rsidP="00733FAD">
                  <w:pPr>
                    <w:spacing w:before="40" w:after="40"/>
                    <w:jc w:val="both"/>
                    <w:rPr>
                      <w:rFonts w:cs="Times New Roman"/>
                      <w:szCs w:val="24"/>
                      <w:highlight w:val="yellow"/>
                    </w:rPr>
                  </w:pPr>
                </w:p>
              </w:tc>
            </w:tr>
            <w:tr w:rsidR="003B2ED7" w:rsidRPr="00A0090F" w14:paraId="3E1ACBC0" w14:textId="77777777" w:rsidTr="00DC5D5B">
              <w:trPr>
                <w:trHeight w:val="288"/>
              </w:trPr>
              <w:tc>
                <w:tcPr>
                  <w:tcW w:w="1984" w:type="dxa"/>
                  <w:noWrap/>
                  <w:hideMark/>
                </w:tcPr>
                <w:p w14:paraId="2DDB7252" w14:textId="77777777" w:rsidR="003B2ED7" w:rsidRPr="00A0090F" w:rsidRDefault="003B2ED7" w:rsidP="00733FAD">
                  <w:pPr>
                    <w:spacing w:before="40" w:after="40"/>
                    <w:jc w:val="both"/>
                    <w:rPr>
                      <w:rFonts w:cs="Times New Roman"/>
                      <w:szCs w:val="24"/>
                    </w:rPr>
                  </w:pPr>
                  <w:r w:rsidRPr="00A0090F">
                    <w:rPr>
                      <w:rFonts w:cs="Times New Roman"/>
                      <w:szCs w:val="24"/>
                    </w:rPr>
                    <w:t>Présidente</w:t>
                  </w:r>
                </w:p>
              </w:tc>
              <w:tc>
                <w:tcPr>
                  <w:tcW w:w="4255" w:type="dxa"/>
                  <w:noWrap/>
                  <w:hideMark/>
                </w:tcPr>
                <w:p w14:paraId="56BD7ABF" w14:textId="77777777" w:rsidR="003B2ED7" w:rsidRPr="00A0090F" w:rsidRDefault="003B2ED7" w:rsidP="00733FAD">
                  <w:pPr>
                    <w:spacing w:before="40" w:after="40"/>
                    <w:jc w:val="both"/>
                    <w:rPr>
                      <w:rFonts w:cs="Times New Roman"/>
                      <w:szCs w:val="24"/>
                      <w:highlight w:val="yellow"/>
                    </w:rPr>
                  </w:pPr>
                  <w:r w:rsidRPr="00A0090F">
                    <w:rPr>
                      <w:rFonts w:cs="Times New Roman"/>
                      <w:szCs w:val="24"/>
                    </w:rPr>
                    <w:t>Mme C.-L. Cook (Canada)</w:t>
                  </w:r>
                </w:p>
              </w:tc>
            </w:tr>
            <w:tr w:rsidR="003B2ED7" w:rsidRPr="00A0090F" w14:paraId="4B5CB527" w14:textId="77777777" w:rsidTr="00DC5D5B">
              <w:trPr>
                <w:trHeight w:val="288"/>
              </w:trPr>
              <w:tc>
                <w:tcPr>
                  <w:tcW w:w="1984" w:type="dxa"/>
                  <w:noWrap/>
                  <w:hideMark/>
                </w:tcPr>
                <w:p w14:paraId="250760D7" w14:textId="77777777" w:rsidR="003B2ED7" w:rsidRPr="00A0090F" w:rsidRDefault="003B2ED7" w:rsidP="00733FAD">
                  <w:pPr>
                    <w:jc w:val="both"/>
                    <w:rPr>
                      <w:rFonts w:cs="Times New Roman"/>
                      <w:szCs w:val="24"/>
                    </w:rPr>
                  </w:pPr>
                  <w:r w:rsidRPr="00A0090F">
                    <w:rPr>
                      <w:rFonts w:cs="Times New Roman"/>
                      <w:szCs w:val="24"/>
                    </w:rPr>
                    <w:t>Vice-Présidents</w:t>
                  </w:r>
                </w:p>
              </w:tc>
              <w:tc>
                <w:tcPr>
                  <w:tcW w:w="4255" w:type="dxa"/>
                  <w:noWrap/>
                  <w:hideMark/>
                </w:tcPr>
                <w:p w14:paraId="271AD4A6" w14:textId="77777777" w:rsidR="003B2ED7" w:rsidRPr="00A0090F" w:rsidRDefault="003B2ED7" w:rsidP="00733FAD">
                  <w:pPr>
                    <w:spacing w:before="40" w:after="40"/>
                    <w:jc w:val="both"/>
                    <w:rPr>
                      <w:rFonts w:cs="Times New Roman"/>
                      <w:szCs w:val="24"/>
                    </w:rPr>
                  </w:pPr>
                  <w:r w:rsidRPr="00A0090F">
                    <w:rPr>
                      <w:rFonts w:cs="Times New Roman"/>
                      <w:szCs w:val="24"/>
                    </w:rPr>
                    <w:t>M. M.A. Abaga Abessolo (Gabon)</w:t>
                  </w:r>
                </w:p>
              </w:tc>
            </w:tr>
            <w:tr w:rsidR="003B2ED7" w:rsidRPr="00A0090F" w14:paraId="2C4341FE" w14:textId="77777777" w:rsidTr="00DC5D5B">
              <w:trPr>
                <w:trHeight w:val="288"/>
              </w:trPr>
              <w:tc>
                <w:tcPr>
                  <w:tcW w:w="1984" w:type="dxa"/>
                  <w:noWrap/>
                </w:tcPr>
                <w:p w14:paraId="3E9E72A2" w14:textId="77777777" w:rsidR="003B2ED7" w:rsidRPr="00A0090F" w:rsidRDefault="003B2ED7" w:rsidP="00733FAD">
                  <w:pPr>
                    <w:spacing w:before="40" w:after="40"/>
                    <w:jc w:val="both"/>
                    <w:rPr>
                      <w:rFonts w:cs="Times New Roman"/>
                      <w:szCs w:val="24"/>
                    </w:rPr>
                  </w:pPr>
                </w:p>
              </w:tc>
              <w:tc>
                <w:tcPr>
                  <w:tcW w:w="4255" w:type="dxa"/>
                  <w:noWrap/>
                  <w:hideMark/>
                </w:tcPr>
                <w:p w14:paraId="5FA0860B" w14:textId="77777777" w:rsidR="003B2ED7" w:rsidRPr="00A0090F" w:rsidRDefault="003B2ED7" w:rsidP="00733FAD">
                  <w:pPr>
                    <w:spacing w:before="40" w:after="40"/>
                    <w:jc w:val="both"/>
                    <w:rPr>
                      <w:rFonts w:cs="Times New Roman"/>
                      <w:szCs w:val="24"/>
                    </w:rPr>
                  </w:pPr>
                  <w:r w:rsidRPr="00A0090F">
                    <w:rPr>
                      <w:rFonts w:cs="Times New Roman"/>
                      <w:szCs w:val="24"/>
                    </w:rPr>
                    <w:t>M. M.A. El-Moghazi (Égypte)</w:t>
                  </w:r>
                </w:p>
              </w:tc>
            </w:tr>
            <w:tr w:rsidR="003B2ED7" w:rsidRPr="00A0090F" w14:paraId="75DE9752" w14:textId="77777777" w:rsidTr="00DC5D5B">
              <w:trPr>
                <w:trHeight w:val="288"/>
              </w:trPr>
              <w:tc>
                <w:tcPr>
                  <w:tcW w:w="1984" w:type="dxa"/>
                  <w:noWrap/>
                </w:tcPr>
                <w:p w14:paraId="2B4779A1" w14:textId="77777777" w:rsidR="003B2ED7" w:rsidRPr="00A0090F" w:rsidRDefault="003B2ED7" w:rsidP="00733FAD">
                  <w:pPr>
                    <w:spacing w:before="40" w:after="40"/>
                    <w:jc w:val="both"/>
                    <w:rPr>
                      <w:szCs w:val="24"/>
                    </w:rPr>
                  </w:pPr>
                </w:p>
              </w:tc>
              <w:tc>
                <w:tcPr>
                  <w:tcW w:w="4255" w:type="dxa"/>
                  <w:noWrap/>
                </w:tcPr>
                <w:p w14:paraId="7011CC7C" w14:textId="77777777" w:rsidR="003B2ED7" w:rsidRPr="00A0090F" w:rsidRDefault="003B2ED7" w:rsidP="00733FAD">
                  <w:pPr>
                    <w:spacing w:before="40" w:after="40"/>
                    <w:jc w:val="both"/>
                    <w:rPr>
                      <w:szCs w:val="24"/>
                    </w:rPr>
                  </w:pPr>
                  <w:r w:rsidRPr="00A0090F">
                    <w:rPr>
                      <w:rFonts w:cs="Times New Roman"/>
                      <w:szCs w:val="24"/>
                    </w:rPr>
                    <w:t>M. A. Kühn (Allemagne)</w:t>
                  </w:r>
                </w:p>
              </w:tc>
            </w:tr>
            <w:tr w:rsidR="003B2ED7" w:rsidRPr="00A0090F" w14:paraId="2EE59588" w14:textId="77777777" w:rsidTr="00DC5D5B">
              <w:trPr>
                <w:trHeight w:val="288"/>
              </w:trPr>
              <w:tc>
                <w:tcPr>
                  <w:tcW w:w="1984" w:type="dxa"/>
                  <w:noWrap/>
                </w:tcPr>
                <w:p w14:paraId="776022BE" w14:textId="77777777" w:rsidR="003B2ED7" w:rsidRPr="00A0090F" w:rsidRDefault="003B2ED7" w:rsidP="00733FAD">
                  <w:pPr>
                    <w:spacing w:before="40" w:after="40"/>
                    <w:jc w:val="both"/>
                    <w:rPr>
                      <w:rFonts w:cs="Times New Roman"/>
                      <w:szCs w:val="24"/>
                      <w:highlight w:val="yellow"/>
                    </w:rPr>
                  </w:pPr>
                </w:p>
              </w:tc>
              <w:tc>
                <w:tcPr>
                  <w:tcW w:w="4255" w:type="dxa"/>
                  <w:noWrap/>
                  <w:hideMark/>
                </w:tcPr>
                <w:p w14:paraId="3E21B9E7" w14:textId="77777777" w:rsidR="003B2ED7" w:rsidRPr="00A0090F" w:rsidRDefault="003B2ED7" w:rsidP="00733FAD">
                  <w:pPr>
                    <w:spacing w:before="40" w:after="40"/>
                    <w:jc w:val="both"/>
                    <w:rPr>
                      <w:rFonts w:cs="Times New Roman"/>
                      <w:szCs w:val="24"/>
                      <w:highlight w:val="yellow"/>
                    </w:rPr>
                  </w:pPr>
                  <w:r w:rsidRPr="00A0090F">
                    <w:rPr>
                      <w:rFonts w:cs="Times New Roman"/>
                      <w:szCs w:val="24"/>
                    </w:rPr>
                    <w:t>M. J. Lim (Corée (Rép. de))</w:t>
                  </w:r>
                </w:p>
              </w:tc>
            </w:tr>
            <w:tr w:rsidR="003B2ED7" w:rsidRPr="00A0090F" w14:paraId="2D1E0C88" w14:textId="77777777" w:rsidTr="00DC5D5B">
              <w:trPr>
                <w:trHeight w:val="288"/>
              </w:trPr>
              <w:tc>
                <w:tcPr>
                  <w:tcW w:w="1984" w:type="dxa"/>
                </w:tcPr>
                <w:p w14:paraId="38A6483D" w14:textId="77777777" w:rsidR="003B2ED7" w:rsidRPr="00A0090F" w:rsidRDefault="003B2ED7" w:rsidP="00733FAD">
                  <w:pPr>
                    <w:spacing w:before="40" w:after="40"/>
                    <w:jc w:val="both"/>
                    <w:rPr>
                      <w:rFonts w:cs="Times New Roman"/>
                      <w:szCs w:val="24"/>
                      <w:highlight w:val="yellow"/>
                    </w:rPr>
                  </w:pPr>
                </w:p>
              </w:tc>
              <w:tc>
                <w:tcPr>
                  <w:tcW w:w="4255" w:type="dxa"/>
                  <w:noWrap/>
                  <w:hideMark/>
                </w:tcPr>
                <w:p w14:paraId="5E2E3116" w14:textId="77777777" w:rsidR="003B2ED7" w:rsidRPr="00A0090F" w:rsidRDefault="003B2ED7" w:rsidP="00733FAD">
                  <w:pPr>
                    <w:spacing w:before="40" w:after="40"/>
                    <w:jc w:val="both"/>
                    <w:rPr>
                      <w:rFonts w:cs="Times New Roman"/>
                      <w:szCs w:val="24"/>
                      <w:highlight w:val="yellow"/>
                    </w:rPr>
                  </w:pPr>
                  <w:r w:rsidRPr="00A0090F">
                    <w:rPr>
                      <w:rFonts w:cs="Times New Roman"/>
                      <w:szCs w:val="24"/>
                    </w:rPr>
                    <w:t>M. S. Pastukh (Fédération de Russie)</w:t>
                  </w:r>
                </w:p>
              </w:tc>
            </w:tr>
            <w:tr w:rsidR="003B2ED7" w:rsidRPr="00A0090F" w14:paraId="2A47D750" w14:textId="77777777" w:rsidTr="00DC5D5B">
              <w:trPr>
                <w:trHeight w:val="288"/>
              </w:trPr>
              <w:tc>
                <w:tcPr>
                  <w:tcW w:w="1984" w:type="dxa"/>
                  <w:hideMark/>
                </w:tcPr>
                <w:p w14:paraId="74D39AB0" w14:textId="77777777" w:rsidR="003B2ED7" w:rsidRPr="00A0090F" w:rsidRDefault="003B2ED7" w:rsidP="00733FAD">
                  <w:pPr>
                    <w:jc w:val="both"/>
                    <w:rPr>
                      <w:rFonts w:cs="Times New Roman"/>
                      <w:szCs w:val="24"/>
                      <w:highlight w:val="yellow"/>
                    </w:rPr>
                  </w:pPr>
                </w:p>
              </w:tc>
              <w:tc>
                <w:tcPr>
                  <w:tcW w:w="4255" w:type="dxa"/>
                  <w:noWrap/>
                  <w:hideMark/>
                </w:tcPr>
                <w:p w14:paraId="74E2579B" w14:textId="77777777" w:rsidR="003B2ED7" w:rsidRPr="00A0090F" w:rsidRDefault="003B2ED7" w:rsidP="00733FAD">
                  <w:pPr>
                    <w:spacing w:before="40" w:after="40"/>
                    <w:jc w:val="both"/>
                    <w:rPr>
                      <w:rFonts w:cs="Times New Roman"/>
                      <w:szCs w:val="24"/>
                      <w:highlight w:val="yellow"/>
                    </w:rPr>
                  </w:pPr>
                  <w:r w:rsidRPr="00A0090F">
                    <w:rPr>
                      <w:rFonts w:cs="Times New Roman"/>
                      <w:szCs w:val="24"/>
                    </w:rPr>
                    <w:t>Mme K. Zhu (Chine)</w:t>
                  </w:r>
                </w:p>
              </w:tc>
            </w:tr>
          </w:tbl>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984"/>
              <w:gridCol w:w="4255"/>
            </w:tblGrid>
            <w:tr w:rsidR="003B2ED7" w:rsidRPr="00A0090F" w14:paraId="4336B4FA" w14:textId="77777777" w:rsidTr="00DC5D5B">
              <w:trPr>
                <w:trHeight w:val="288"/>
                <w:jc w:val="center"/>
              </w:trPr>
              <w:tc>
                <w:tcPr>
                  <w:tcW w:w="6239" w:type="dxa"/>
                  <w:gridSpan w:val="2"/>
                  <w:tcBorders>
                    <w:bottom w:val="nil"/>
                  </w:tcBorders>
                  <w:shd w:val="clear" w:color="auto" w:fill="auto"/>
                  <w:noWrap/>
                  <w:hideMark/>
                </w:tcPr>
                <w:p w14:paraId="211BD13C" w14:textId="77777777" w:rsidR="003B2ED7" w:rsidRPr="00A0090F" w:rsidRDefault="003B2ED7" w:rsidP="00733FAD">
                  <w:pPr>
                    <w:spacing w:before="40" w:after="40"/>
                    <w:rPr>
                      <w:rFonts w:cs="Times New Roman"/>
                      <w:b/>
                      <w:szCs w:val="24"/>
                      <w:highlight w:val="yellow"/>
                    </w:rPr>
                  </w:pPr>
                  <w:r w:rsidRPr="00A0090F">
                    <w:rPr>
                      <w:rFonts w:cs="Times New Roman"/>
                      <w:b/>
                      <w:szCs w:val="24"/>
                    </w:rPr>
                    <w:t>GCR</w:t>
                  </w:r>
                </w:p>
              </w:tc>
            </w:tr>
            <w:tr w:rsidR="003B2ED7" w:rsidRPr="00F8484B" w14:paraId="74E9F067" w14:textId="77777777" w:rsidTr="00DC5D5B">
              <w:trPr>
                <w:trHeight w:val="288"/>
                <w:jc w:val="center"/>
              </w:trPr>
              <w:tc>
                <w:tcPr>
                  <w:tcW w:w="1984" w:type="dxa"/>
                  <w:tcBorders>
                    <w:right w:val="nil"/>
                  </w:tcBorders>
                  <w:noWrap/>
                  <w:hideMark/>
                </w:tcPr>
                <w:p w14:paraId="24C9ADEB" w14:textId="77777777" w:rsidR="003B2ED7" w:rsidRPr="00A0090F" w:rsidRDefault="003B2ED7" w:rsidP="00733FAD">
                  <w:pPr>
                    <w:spacing w:before="40" w:after="40"/>
                    <w:rPr>
                      <w:rFonts w:cs="Times New Roman"/>
                      <w:szCs w:val="24"/>
                    </w:rPr>
                  </w:pPr>
                  <w:r w:rsidRPr="00A0090F">
                    <w:rPr>
                      <w:rFonts w:cs="Times New Roman"/>
                      <w:szCs w:val="24"/>
                    </w:rPr>
                    <w:t>Président</w:t>
                  </w:r>
                </w:p>
              </w:tc>
              <w:tc>
                <w:tcPr>
                  <w:tcW w:w="4255" w:type="dxa"/>
                  <w:tcBorders>
                    <w:left w:val="nil"/>
                  </w:tcBorders>
                  <w:noWrap/>
                  <w:hideMark/>
                </w:tcPr>
                <w:p w14:paraId="6821D4B4" w14:textId="77777777" w:rsidR="003B2ED7" w:rsidRPr="00F8484B" w:rsidRDefault="003B2ED7" w:rsidP="00733FAD">
                  <w:pPr>
                    <w:spacing w:before="40" w:after="40"/>
                    <w:rPr>
                      <w:rFonts w:cs="Times New Roman"/>
                      <w:szCs w:val="24"/>
                      <w:lang w:val="en-US"/>
                    </w:rPr>
                  </w:pPr>
                  <w:r w:rsidRPr="00F8484B">
                    <w:rPr>
                      <w:rFonts w:cs="Times New Roman"/>
                      <w:szCs w:val="24"/>
                      <w:lang w:val="en-US"/>
                    </w:rPr>
                    <w:t xml:space="preserve">M. D.O. </w:t>
                  </w:r>
                  <w:proofErr w:type="spellStart"/>
                  <w:r w:rsidRPr="00F8484B">
                    <w:rPr>
                      <w:rFonts w:cs="Times New Roman"/>
                      <w:szCs w:val="24"/>
                      <w:lang w:val="en-US"/>
                    </w:rPr>
                    <w:t>Obam</w:t>
                  </w:r>
                  <w:proofErr w:type="spellEnd"/>
                  <w:r w:rsidRPr="00F8484B">
                    <w:rPr>
                      <w:rFonts w:cs="Times New Roman"/>
                      <w:szCs w:val="24"/>
                      <w:lang w:val="en-US"/>
                    </w:rPr>
                    <w:t xml:space="preserve"> (Kenya)</w:t>
                  </w:r>
                </w:p>
              </w:tc>
            </w:tr>
            <w:tr w:rsidR="003B2ED7" w:rsidRPr="00A0090F" w14:paraId="4CB48B9F" w14:textId="77777777" w:rsidTr="00DC5D5B">
              <w:trPr>
                <w:trHeight w:val="288"/>
                <w:jc w:val="center"/>
              </w:trPr>
              <w:tc>
                <w:tcPr>
                  <w:tcW w:w="1984" w:type="dxa"/>
                  <w:tcBorders>
                    <w:right w:val="nil"/>
                  </w:tcBorders>
                  <w:hideMark/>
                </w:tcPr>
                <w:p w14:paraId="4DB898A7" w14:textId="77777777" w:rsidR="003B2ED7" w:rsidRPr="00A0090F" w:rsidRDefault="003B2ED7" w:rsidP="00733FAD">
                  <w:pPr>
                    <w:spacing w:before="40" w:after="40"/>
                    <w:rPr>
                      <w:rFonts w:cs="Times New Roman"/>
                      <w:szCs w:val="24"/>
                    </w:rPr>
                  </w:pPr>
                  <w:r w:rsidRPr="00A0090F">
                    <w:rPr>
                      <w:rFonts w:cs="Times New Roman"/>
                      <w:szCs w:val="24"/>
                    </w:rPr>
                    <w:t>Vice-Présidents</w:t>
                  </w:r>
                </w:p>
              </w:tc>
              <w:tc>
                <w:tcPr>
                  <w:tcW w:w="4255" w:type="dxa"/>
                  <w:tcBorders>
                    <w:left w:val="nil"/>
                  </w:tcBorders>
                  <w:noWrap/>
                  <w:hideMark/>
                </w:tcPr>
                <w:p w14:paraId="3DC5149C" w14:textId="77777777" w:rsidR="003B2ED7" w:rsidRPr="00A0090F" w:rsidRDefault="003B2ED7" w:rsidP="00733FAD">
                  <w:pPr>
                    <w:spacing w:before="40" w:after="40"/>
                    <w:rPr>
                      <w:rFonts w:cs="Times New Roman"/>
                      <w:szCs w:val="24"/>
                      <w:highlight w:val="yellow"/>
                    </w:rPr>
                  </w:pPr>
                  <w:r w:rsidRPr="00A0090F">
                    <w:rPr>
                      <w:rFonts w:cs="Times New Roman"/>
                      <w:szCs w:val="24"/>
                    </w:rPr>
                    <w:t>M. E.H. Abdouramane (Cameroun)</w:t>
                  </w:r>
                </w:p>
              </w:tc>
            </w:tr>
            <w:tr w:rsidR="003B2ED7" w:rsidRPr="00A0090F" w14:paraId="03ADDFA6" w14:textId="77777777" w:rsidTr="00DC5D5B">
              <w:trPr>
                <w:trHeight w:val="288"/>
                <w:jc w:val="center"/>
              </w:trPr>
              <w:tc>
                <w:tcPr>
                  <w:tcW w:w="1984" w:type="dxa"/>
                  <w:tcBorders>
                    <w:right w:val="nil"/>
                  </w:tcBorders>
                </w:tcPr>
                <w:p w14:paraId="455D42A1" w14:textId="77777777" w:rsidR="003B2ED7" w:rsidRPr="00A0090F" w:rsidRDefault="003B2ED7" w:rsidP="00733FAD">
                  <w:pPr>
                    <w:spacing w:before="40" w:after="40"/>
                    <w:rPr>
                      <w:rFonts w:cs="Times New Roman"/>
                      <w:szCs w:val="24"/>
                      <w:highlight w:val="yellow"/>
                    </w:rPr>
                  </w:pPr>
                </w:p>
              </w:tc>
              <w:tc>
                <w:tcPr>
                  <w:tcW w:w="4255" w:type="dxa"/>
                  <w:tcBorders>
                    <w:left w:val="nil"/>
                  </w:tcBorders>
                  <w:noWrap/>
                  <w:hideMark/>
                </w:tcPr>
                <w:p w14:paraId="25D1FB99" w14:textId="77777777" w:rsidR="003B2ED7" w:rsidRPr="00A0090F" w:rsidRDefault="003B2ED7" w:rsidP="00733FAD">
                  <w:pPr>
                    <w:spacing w:before="40" w:after="40"/>
                    <w:rPr>
                      <w:rFonts w:cs="Times New Roman"/>
                      <w:szCs w:val="24"/>
                      <w:highlight w:val="yellow"/>
                    </w:rPr>
                  </w:pPr>
                  <w:r w:rsidRPr="00A0090F">
                    <w:rPr>
                      <w:rFonts w:cs="Times New Roman"/>
                      <w:szCs w:val="24"/>
                    </w:rPr>
                    <w:t>M. M. Alkahtani (Arabie saoudite)</w:t>
                  </w:r>
                </w:p>
              </w:tc>
            </w:tr>
            <w:tr w:rsidR="003B2ED7" w:rsidRPr="00A0090F" w14:paraId="117C2E12" w14:textId="77777777" w:rsidTr="00DC5D5B">
              <w:trPr>
                <w:trHeight w:val="288"/>
                <w:jc w:val="center"/>
              </w:trPr>
              <w:tc>
                <w:tcPr>
                  <w:tcW w:w="1984" w:type="dxa"/>
                  <w:tcBorders>
                    <w:right w:val="nil"/>
                  </w:tcBorders>
                </w:tcPr>
                <w:p w14:paraId="40698639" w14:textId="77777777" w:rsidR="003B2ED7" w:rsidRPr="00A0090F" w:rsidRDefault="003B2ED7" w:rsidP="00733FAD">
                  <w:pPr>
                    <w:spacing w:before="40" w:after="40"/>
                    <w:rPr>
                      <w:rFonts w:cs="Times New Roman"/>
                      <w:szCs w:val="24"/>
                      <w:highlight w:val="yellow"/>
                    </w:rPr>
                  </w:pPr>
                </w:p>
              </w:tc>
              <w:tc>
                <w:tcPr>
                  <w:tcW w:w="4255" w:type="dxa"/>
                  <w:tcBorders>
                    <w:left w:val="nil"/>
                  </w:tcBorders>
                  <w:noWrap/>
                  <w:hideMark/>
                </w:tcPr>
                <w:p w14:paraId="2B4F04E9" w14:textId="77777777" w:rsidR="003B2ED7" w:rsidRPr="00A0090F" w:rsidRDefault="003B2ED7" w:rsidP="00733FAD">
                  <w:pPr>
                    <w:spacing w:before="40" w:after="40"/>
                    <w:rPr>
                      <w:rFonts w:cs="Times New Roman"/>
                      <w:szCs w:val="24"/>
                      <w:highlight w:val="yellow"/>
                    </w:rPr>
                  </w:pPr>
                  <w:r w:rsidRPr="00A0090F">
                    <w:rPr>
                      <w:rFonts w:cs="Times New Roman"/>
                      <w:szCs w:val="24"/>
                    </w:rPr>
                    <w:t>M. M.S. AlMuathen (Émirats arabes unis)</w:t>
                  </w:r>
                </w:p>
              </w:tc>
            </w:tr>
            <w:tr w:rsidR="003B2ED7" w:rsidRPr="00A0090F" w14:paraId="4D7FA9D6" w14:textId="77777777" w:rsidTr="00DC5D5B">
              <w:trPr>
                <w:trHeight w:val="288"/>
                <w:jc w:val="center"/>
              </w:trPr>
              <w:tc>
                <w:tcPr>
                  <w:tcW w:w="1984" w:type="dxa"/>
                  <w:tcBorders>
                    <w:right w:val="nil"/>
                  </w:tcBorders>
                </w:tcPr>
                <w:p w14:paraId="640030B1" w14:textId="77777777" w:rsidR="003B2ED7" w:rsidRPr="00A0090F" w:rsidRDefault="003B2ED7" w:rsidP="00733FAD">
                  <w:pPr>
                    <w:spacing w:before="40" w:after="40"/>
                    <w:rPr>
                      <w:rFonts w:cs="Times New Roman"/>
                      <w:szCs w:val="24"/>
                      <w:highlight w:val="yellow"/>
                    </w:rPr>
                  </w:pPr>
                </w:p>
              </w:tc>
              <w:tc>
                <w:tcPr>
                  <w:tcW w:w="4255" w:type="dxa"/>
                  <w:tcBorders>
                    <w:left w:val="nil"/>
                  </w:tcBorders>
                  <w:noWrap/>
                  <w:hideMark/>
                </w:tcPr>
                <w:p w14:paraId="7658F36E" w14:textId="77777777" w:rsidR="003B2ED7" w:rsidRPr="00A0090F" w:rsidRDefault="003B2ED7" w:rsidP="00733FAD">
                  <w:pPr>
                    <w:spacing w:before="40" w:after="40"/>
                    <w:rPr>
                      <w:rFonts w:cs="Times New Roman"/>
                      <w:szCs w:val="24"/>
                    </w:rPr>
                  </w:pPr>
                  <w:r w:rsidRPr="00A0090F">
                    <w:rPr>
                      <w:rFonts w:cs="Times New Roman"/>
                      <w:szCs w:val="24"/>
                    </w:rPr>
                    <w:t>M. T. Ewers (Allemagne)</w:t>
                  </w:r>
                </w:p>
              </w:tc>
            </w:tr>
            <w:tr w:rsidR="003B2ED7" w:rsidRPr="00A0090F" w14:paraId="114760C7" w14:textId="77777777" w:rsidTr="00DC5D5B">
              <w:trPr>
                <w:trHeight w:val="288"/>
                <w:jc w:val="center"/>
              </w:trPr>
              <w:tc>
                <w:tcPr>
                  <w:tcW w:w="1984" w:type="dxa"/>
                  <w:tcBorders>
                    <w:bottom w:val="nil"/>
                    <w:right w:val="nil"/>
                  </w:tcBorders>
                  <w:hideMark/>
                </w:tcPr>
                <w:p w14:paraId="35A35FB8" w14:textId="77777777" w:rsidR="003B2ED7" w:rsidRPr="00A0090F" w:rsidRDefault="003B2ED7" w:rsidP="00733FAD">
                  <w:pPr>
                    <w:rPr>
                      <w:rFonts w:cs="Times New Roman"/>
                      <w:szCs w:val="24"/>
                      <w:highlight w:val="yellow"/>
                    </w:rPr>
                  </w:pPr>
                </w:p>
              </w:tc>
              <w:tc>
                <w:tcPr>
                  <w:tcW w:w="4255" w:type="dxa"/>
                  <w:tcBorders>
                    <w:left w:val="nil"/>
                  </w:tcBorders>
                  <w:noWrap/>
                  <w:hideMark/>
                </w:tcPr>
                <w:p w14:paraId="579BDBAD" w14:textId="77777777" w:rsidR="003B2ED7" w:rsidRPr="00A0090F" w:rsidRDefault="003B2ED7" w:rsidP="00733FAD">
                  <w:pPr>
                    <w:spacing w:before="40" w:after="40"/>
                    <w:rPr>
                      <w:rFonts w:cs="Times New Roman"/>
                      <w:szCs w:val="24"/>
                      <w:highlight w:val="yellow"/>
                    </w:rPr>
                  </w:pPr>
                  <w:r w:rsidRPr="00A0090F">
                    <w:rPr>
                      <w:rFonts w:cs="Times New Roman"/>
                      <w:szCs w:val="24"/>
                    </w:rPr>
                    <w:t>M. S. Harutunyan (Arménie)</w:t>
                  </w:r>
                </w:p>
              </w:tc>
            </w:tr>
            <w:tr w:rsidR="003B2ED7" w:rsidRPr="00A0090F" w14:paraId="2FB1C620" w14:textId="77777777" w:rsidTr="00DC5D5B">
              <w:trPr>
                <w:trHeight w:val="288"/>
                <w:jc w:val="center"/>
              </w:trPr>
              <w:tc>
                <w:tcPr>
                  <w:tcW w:w="1984" w:type="dxa"/>
                  <w:tcBorders>
                    <w:right w:val="nil"/>
                  </w:tcBorders>
                </w:tcPr>
                <w:p w14:paraId="7A587F77" w14:textId="77777777" w:rsidR="003B2ED7" w:rsidRPr="00A0090F" w:rsidRDefault="003B2ED7" w:rsidP="00733FAD">
                  <w:pPr>
                    <w:spacing w:before="40" w:after="40"/>
                    <w:rPr>
                      <w:rFonts w:cs="Times New Roman"/>
                      <w:szCs w:val="24"/>
                      <w:highlight w:val="yellow"/>
                    </w:rPr>
                  </w:pPr>
                </w:p>
              </w:tc>
              <w:tc>
                <w:tcPr>
                  <w:tcW w:w="4255" w:type="dxa"/>
                  <w:tcBorders>
                    <w:left w:val="nil"/>
                  </w:tcBorders>
                  <w:noWrap/>
                  <w:hideMark/>
                </w:tcPr>
                <w:p w14:paraId="301EFBE1" w14:textId="77777777" w:rsidR="003B2ED7" w:rsidRPr="00A0090F" w:rsidRDefault="003B2ED7" w:rsidP="00733FAD">
                  <w:pPr>
                    <w:spacing w:before="40" w:after="40"/>
                    <w:rPr>
                      <w:rFonts w:cs="Times New Roman"/>
                      <w:szCs w:val="24"/>
                    </w:rPr>
                  </w:pPr>
                  <w:r w:rsidRPr="00A0090F">
                    <w:rPr>
                      <w:rFonts w:cs="Times New Roman"/>
                      <w:szCs w:val="24"/>
                    </w:rPr>
                    <w:t>M. D. Ibarra (États-Unis)</w:t>
                  </w:r>
                </w:p>
              </w:tc>
            </w:tr>
            <w:tr w:rsidR="003B2ED7" w:rsidRPr="00A0090F" w14:paraId="4124CD7F" w14:textId="77777777" w:rsidTr="00DC5D5B">
              <w:trPr>
                <w:trHeight w:val="288"/>
                <w:jc w:val="center"/>
              </w:trPr>
              <w:tc>
                <w:tcPr>
                  <w:tcW w:w="1984" w:type="dxa"/>
                  <w:tcBorders>
                    <w:right w:val="nil"/>
                  </w:tcBorders>
                  <w:hideMark/>
                </w:tcPr>
                <w:p w14:paraId="520A75DE" w14:textId="77777777" w:rsidR="003B2ED7" w:rsidRPr="00A0090F" w:rsidRDefault="003B2ED7" w:rsidP="00733FAD">
                  <w:pPr>
                    <w:rPr>
                      <w:rFonts w:cs="Times New Roman"/>
                      <w:szCs w:val="24"/>
                    </w:rPr>
                  </w:pPr>
                </w:p>
              </w:tc>
              <w:tc>
                <w:tcPr>
                  <w:tcW w:w="4255" w:type="dxa"/>
                  <w:tcBorders>
                    <w:left w:val="nil"/>
                  </w:tcBorders>
                  <w:noWrap/>
                  <w:hideMark/>
                </w:tcPr>
                <w:p w14:paraId="7658A0FC" w14:textId="77777777" w:rsidR="003B2ED7" w:rsidRPr="00A0090F" w:rsidRDefault="003B2ED7" w:rsidP="00733FAD">
                  <w:pPr>
                    <w:spacing w:before="40" w:after="40"/>
                    <w:rPr>
                      <w:rFonts w:cs="Times New Roman"/>
                      <w:szCs w:val="24"/>
                      <w:highlight w:val="yellow"/>
                    </w:rPr>
                  </w:pPr>
                  <w:r w:rsidRPr="00A0090F">
                    <w:rPr>
                      <w:rFonts w:cs="Times New Roman"/>
                      <w:szCs w:val="24"/>
                    </w:rPr>
                    <w:t>M. L. Luisa La Franceschina (Italie)</w:t>
                  </w:r>
                </w:p>
              </w:tc>
            </w:tr>
            <w:tr w:rsidR="003B2ED7" w:rsidRPr="00A0090F" w14:paraId="2E1775E9" w14:textId="77777777" w:rsidTr="00DC5D5B">
              <w:trPr>
                <w:trHeight w:val="288"/>
                <w:jc w:val="center"/>
              </w:trPr>
              <w:tc>
                <w:tcPr>
                  <w:tcW w:w="1984" w:type="dxa"/>
                  <w:tcBorders>
                    <w:right w:val="nil"/>
                  </w:tcBorders>
                </w:tcPr>
                <w:p w14:paraId="3BEC54FB" w14:textId="77777777" w:rsidR="003B2ED7" w:rsidRPr="00A0090F" w:rsidRDefault="003B2ED7" w:rsidP="00733FAD">
                  <w:pPr>
                    <w:spacing w:before="40" w:after="40"/>
                    <w:rPr>
                      <w:rFonts w:cs="Times New Roman"/>
                      <w:szCs w:val="24"/>
                      <w:highlight w:val="yellow"/>
                    </w:rPr>
                  </w:pPr>
                </w:p>
              </w:tc>
              <w:tc>
                <w:tcPr>
                  <w:tcW w:w="4255" w:type="dxa"/>
                  <w:tcBorders>
                    <w:left w:val="nil"/>
                  </w:tcBorders>
                  <w:noWrap/>
                  <w:hideMark/>
                </w:tcPr>
                <w:p w14:paraId="748504D6" w14:textId="77777777" w:rsidR="003B2ED7" w:rsidRPr="00A0090F" w:rsidRDefault="003B2ED7" w:rsidP="00733FAD">
                  <w:pPr>
                    <w:spacing w:before="40" w:after="40"/>
                    <w:rPr>
                      <w:rFonts w:cs="Times New Roman"/>
                      <w:szCs w:val="24"/>
                    </w:rPr>
                  </w:pPr>
                  <w:r w:rsidRPr="00A0090F">
                    <w:rPr>
                      <w:rFonts w:cs="Times New Roman"/>
                      <w:szCs w:val="24"/>
                    </w:rPr>
                    <w:t>M. V. Martínez Vanegas (Mexique)</w:t>
                  </w:r>
                </w:p>
              </w:tc>
            </w:tr>
            <w:tr w:rsidR="003B2ED7" w:rsidRPr="00A0090F" w14:paraId="083947D4" w14:textId="77777777" w:rsidTr="00DC5D5B">
              <w:trPr>
                <w:trHeight w:val="288"/>
                <w:jc w:val="center"/>
              </w:trPr>
              <w:tc>
                <w:tcPr>
                  <w:tcW w:w="1984" w:type="dxa"/>
                  <w:tcBorders>
                    <w:right w:val="nil"/>
                  </w:tcBorders>
                </w:tcPr>
                <w:p w14:paraId="55134256" w14:textId="77777777" w:rsidR="003B2ED7" w:rsidRPr="00A0090F" w:rsidRDefault="003B2ED7" w:rsidP="00733FAD">
                  <w:pPr>
                    <w:spacing w:before="40" w:after="40"/>
                    <w:rPr>
                      <w:rFonts w:cs="Times New Roman"/>
                      <w:szCs w:val="24"/>
                      <w:highlight w:val="yellow"/>
                    </w:rPr>
                  </w:pPr>
                </w:p>
              </w:tc>
              <w:tc>
                <w:tcPr>
                  <w:tcW w:w="4255" w:type="dxa"/>
                  <w:tcBorders>
                    <w:left w:val="nil"/>
                  </w:tcBorders>
                  <w:noWrap/>
                  <w:hideMark/>
                </w:tcPr>
                <w:p w14:paraId="5EE4BD26" w14:textId="77777777" w:rsidR="003B2ED7" w:rsidRPr="00A0090F" w:rsidRDefault="003B2ED7" w:rsidP="00733FAD">
                  <w:pPr>
                    <w:spacing w:before="40" w:after="40"/>
                    <w:rPr>
                      <w:rFonts w:cs="Times New Roman"/>
                      <w:szCs w:val="24"/>
                    </w:rPr>
                  </w:pPr>
                  <w:r w:rsidRPr="00A0090F">
                    <w:rPr>
                      <w:rFonts w:cs="Times New Roman"/>
                      <w:szCs w:val="24"/>
                    </w:rPr>
                    <w:t>M. A.K. Nwaulune (Nigéria)</w:t>
                  </w:r>
                </w:p>
              </w:tc>
            </w:tr>
            <w:tr w:rsidR="003B2ED7" w:rsidRPr="00A0090F" w14:paraId="1CBB5EBC" w14:textId="77777777" w:rsidTr="00DC5D5B">
              <w:trPr>
                <w:trHeight w:val="288"/>
                <w:jc w:val="center"/>
              </w:trPr>
              <w:tc>
                <w:tcPr>
                  <w:tcW w:w="1984" w:type="dxa"/>
                  <w:tcBorders>
                    <w:right w:val="nil"/>
                  </w:tcBorders>
                </w:tcPr>
                <w:p w14:paraId="18854E82" w14:textId="77777777" w:rsidR="003B2ED7" w:rsidRPr="00A0090F" w:rsidRDefault="003B2ED7" w:rsidP="00733FAD">
                  <w:pPr>
                    <w:spacing w:before="40" w:after="40"/>
                    <w:rPr>
                      <w:rFonts w:cs="Times New Roman"/>
                      <w:szCs w:val="24"/>
                      <w:highlight w:val="yellow"/>
                    </w:rPr>
                  </w:pPr>
                </w:p>
              </w:tc>
              <w:tc>
                <w:tcPr>
                  <w:tcW w:w="4255" w:type="dxa"/>
                  <w:tcBorders>
                    <w:left w:val="nil"/>
                  </w:tcBorders>
                  <w:noWrap/>
                  <w:hideMark/>
                </w:tcPr>
                <w:p w14:paraId="4D21976F" w14:textId="77777777" w:rsidR="003B2ED7" w:rsidRPr="00A0090F" w:rsidRDefault="003B2ED7" w:rsidP="00733FAD">
                  <w:pPr>
                    <w:spacing w:before="40" w:after="40"/>
                    <w:rPr>
                      <w:rFonts w:cs="Times New Roman"/>
                      <w:szCs w:val="24"/>
                    </w:rPr>
                  </w:pPr>
                  <w:r w:rsidRPr="00A0090F">
                    <w:rPr>
                      <w:rFonts w:cs="Times New Roman"/>
                      <w:szCs w:val="24"/>
                    </w:rPr>
                    <w:t>M. A. Vassiliev (Fédération de Russie)</w:t>
                  </w:r>
                </w:p>
              </w:tc>
            </w:tr>
            <w:tr w:rsidR="003B2ED7" w:rsidRPr="00A0090F" w14:paraId="5EA863E6" w14:textId="77777777" w:rsidTr="00DC5D5B">
              <w:trPr>
                <w:trHeight w:val="288"/>
                <w:jc w:val="center"/>
              </w:trPr>
              <w:tc>
                <w:tcPr>
                  <w:tcW w:w="1984" w:type="dxa"/>
                  <w:tcBorders>
                    <w:right w:val="nil"/>
                  </w:tcBorders>
                  <w:hideMark/>
                </w:tcPr>
                <w:p w14:paraId="5B2E0ADE" w14:textId="77777777" w:rsidR="003B2ED7" w:rsidRPr="00A0090F" w:rsidRDefault="003B2ED7" w:rsidP="00733FAD">
                  <w:pPr>
                    <w:rPr>
                      <w:rFonts w:cs="Times New Roman"/>
                      <w:szCs w:val="24"/>
                    </w:rPr>
                  </w:pPr>
                </w:p>
              </w:tc>
              <w:tc>
                <w:tcPr>
                  <w:tcW w:w="4255" w:type="dxa"/>
                  <w:tcBorders>
                    <w:left w:val="nil"/>
                  </w:tcBorders>
                  <w:noWrap/>
                  <w:hideMark/>
                </w:tcPr>
                <w:p w14:paraId="1063C5D0" w14:textId="77777777" w:rsidR="003B2ED7" w:rsidRPr="00A0090F" w:rsidRDefault="003B2ED7" w:rsidP="00733FAD">
                  <w:pPr>
                    <w:spacing w:before="40" w:after="40"/>
                    <w:rPr>
                      <w:rFonts w:cs="Times New Roman"/>
                      <w:szCs w:val="24"/>
                    </w:rPr>
                  </w:pPr>
                  <w:r w:rsidRPr="00A0090F">
                    <w:rPr>
                      <w:rFonts w:cs="Times New Roman"/>
                      <w:szCs w:val="24"/>
                    </w:rPr>
                    <w:t>M. K.-J. Wee (Corée (Rép. de))</w:t>
                  </w:r>
                </w:p>
              </w:tc>
            </w:tr>
            <w:tr w:rsidR="003B2ED7" w:rsidRPr="00A0090F" w14:paraId="00F27B07" w14:textId="77777777" w:rsidTr="00DC5D5B">
              <w:trPr>
                <w:trHeight w:val="288"/>
                <w:jc w:val="center"/>
              </w:trPr>
              <w:tc>
                <w:tcPr>
                  <w:tcW w:w="1984" w:type="dxa"/>
                  <w:tcBorders>
                    <w:right w:val="nil"/>
                  </w:tcBorders>
                </w:tcPr>
                <w:p w14:paraId="7D0D5641" w14:textId="77777777" w:rsidR="003B2ED7" w:rsidRPr="00A0090F" w:rsidRDefault="003B2ED7" w:rsidP="00733FAD">
                  <w:pPr>
                    <w:spacing w:before="40" w:after="40"/>
                    <w:rPr>
                      <w:rFonts w:cs="Times New Roman"/>
                      <w:szCs w:val="24"/>
                      <w:highlight w:val="yellow"/>
                    </w:rPr>
                  </w:pPr>
                </w:p>
              </w:tc>
              <w:tc>
                <w:tcPr>
                  <w:tcW w:w="4255" w:type="dxa"/>
                  <w:tcBorders>
                    <w:left w:val="nil"/>
                  </w:tcBorders>
                  <w:noWrap/>
                  <w:hideMark/>
                </w:tcPr>
                <w:p w14:paraId="03B2E471" w14:textId="77777777" w:rsidR="003B2ED7" w:rsidRPr="00A0090F" w:rsidRDefault="003B2ED7" w:rsidP="00733FAD">
                  <w:pPr>
                    <w:spacing w:before="40" w:after="40"/>
                    <w:rPr>
                      <w:rFonts w:cs="Times New Roman"/>
                      <w:szCs w:val="24"/>
                      <w:highlight w:val="yellow"/>
                    </w:rPr>
                  </w:pPr>
                  <w:r w:rsidRPr="00A0090F">
                    <w:rPr>
                      <w:rFonts w:cs="Times New Roman"/>
                      <w:szCs w:val="24"/>
                    </w:rPr>
                    <w:t>M. Y. Xie (Chine)</w:t>
                  </w:r>
                </w:p>
              </w:tc>
            </w:tr>
          </w:tbl>
          <w:p w14:paraId="716662F4" w14:textId="3C9F70AF" w:rsidR="003B2ED7" w:rsidRPr="00A0090F" w:rsidRDefault="003B2ED7" w:rsidP="00733FAD">
            <w:pPr>
              <w:pStyle w:val="Reasons"/>
            </w:pPr>
            <w:r w:rsidRPr="00A0090F">
              <w:lastRenderedPageBreak/>
              <w:t xml:space="preserve">Suite aux discussions sur la présidence de la RPC-23, les participants ont fait part de leur intention de donner une suite favorable à la candidature de la CEPT, et en particulier de l'Allemagne, si elle </w:t>
            </w:r>
            <w:r w:rsidR="008B3C9C" w:rsidRPr="00A0090F">
              <w:t>est</w:t>
            </w:r>
            <w:r w:rsidRPr="00A0090F">
              <w:t xml:space="preserve"> présentée, pour le cycle d'études suivant. </w:t>
            </w:r>
          </w:p>
          <w:p w14:paraId="7FEF194F" w14:textId="7787EB2F" w:rsidR="003B2ED7" w:rsidRPr="00A0090F" w:rsidRDefault="003B2ED7" w:rsidP="00733FAD">
            <w:pPr>
              <w:pStyle w:val="Reasons"/>
            </w:pPr>
            <w:r w:rsidRPr="00A0090F">
              <w:t>Le Président de la Commission 3 a rappelé aux participants que la Commission poursuivrait ses travaux après la fin de l'Assemblée et se réunirait lors d'une séance unique, le samedi suivant à 9 h 30</w:t>
            </w:r>
            <w:r w:rsidR="008B3C9C" w:rsidRPr="00A0090F">
              <w:t>,</w:t>
            </w:r>
            <w:r w:rsidRPr="00A0090F">
              <w:t xml:space="preserve"> pour harmoniser les travaux dans les six langues de travail. </w:t>
            </w:r>
          </w:p>
        </w:tc>
        <w:tc>
          <w:tcPr>
            <w:tcW w:w="1566" w:type="pct"/>
            <w:shd w:val="clear" w:color="auto" w:fill="auto"/>
          </w:tcPr>
          <w:p w14:paraId="12AADC05" w14:textId="77777777" w:rsidR="003B2ED7" w:rsidRPr="00A0090F" w:rsidRDefault="003B2ED7" w:rsidP="00733FAD">
            <w:pPr>
              <w:jc w:val="center"/>
            </w:pPr>
            <w:r w:rsidRPr="00A0090F">
              <w:lastRenderedPageBreak/>
              <w:t>-</w:t>
            </w:r>
          </w:p>
        </w:tc>
      </w:tr>
      <w:tr w:rsidR="003B2ED7" w:rsidRPr="00A0090F" w14:paraId="4142CD43" w14:textId="77777777" w:rsidTr="00DC5D5B">
        <w:tc>
          <w:tcPr>
            <w:tcW w:w="227" w:type="pct"/>
            <w:shd w:val="clear" w:color="auto" w:fill="auto"/>
          </w:tcPr>
          <w:p w14:paraId="603D7F4B" w14:textId="77777777" w:rsidR="003B2ED7" w:rsidRPr="00A0090F" w:rsidRDefault="003B2ED7" w:rsidP="00733FAD">
            <w:pPr>
              <w:rPr>
                <w:b/>
              </w:rPr>
            </w:pPr>
          </w:p>
        </w:tc>
        <w:tc>
          <w:tcPr>
            <w:tcW w:w="4773" w:type="pct"/>
            <w:gridSpan w:val="2"/>
            <w:shd w:val="clear" w:color="auto" w:fill="auto"/>
          </w:tcPr>
          <w:p w14:paraId="32494E04" w14:textId="77777777" w:rsidR="003B2ED7" w:rsidRPr="00A0090F" w:rsidRDefault="003B2ED7" w:rsidP="00733FAD">
            <w:r w:rsidRPr="00A0090F">
              <w:t>Le Président a levé la séance à 16 heures.</w:t>
            </w:r>
          </w:p>
        </w:tc>
      </w:tr>
    </w:tbl>
    <w:p w14:paraId="3AC96D10" w14:textId="77777777" w:rsidR="003B2ED7" w:rsidRPr="00A0090F" w:rsidRDefault="003B2ED7" w:rsidP="00733FAD"/>
    <w:p w14:paraId="5C69E3F7" w14:textId="42F0B5CA" w:rsidR="003B2ED7" w:rsidRPr="00A0090F" w:rsidRDefault="003B2ED7" w:rsidP="00733FAD">
      <w:pPr>
        <w:tabs>
          <w:tab w:val="clear" w:pos="1134"/>
          <w:tab w:val="clear" w:pos="1871"/>
          <w:tab w:val="clear" w:pos="2268"/>
          <w:tab w:val="left" w:pos="7655"/>
          <w:tab w:val="left" w:pos="7938"/>
        </w:tabs>
      </w:pPr>
      <w:r w:rsidRPr="00A0090F">
        <w:tab/>
        <w:t xml:space="preserve">S. </w:t>
      </w:r>
      <w:r w:rsidR="00516618" w:rsidRPr="00A0090F">
        <w:t>PASTUKH</w:t>
      </w:r>
    </w:p>
    <w:p w14:paraId="655B5CCF" w14:textId="77777777" w:rsidR="003B2ED7" w:rsidRPr="00A0090F" w:rsidRDefault="003B2ED7" w:rsidP="00733FAD">
      <w:pPr>
        <w:tabs>
          <w:tab w:val="clear" w:pos="1134"/>
          <w:tab w:val="clear" w:pos="1871"/>
          <w:tab w:val="clear" w:pos="2268"/>
          <w:tab w:val="left" w:pos="7230"/>
          <w:tab w:val="left" w:pos="7513"/>
          <w:tab w:val="left" w:pos="7655"/>
        </w:tabs>
        <w:spacing w:before="0"/>
      </w:pPr>
      <w:r w:rsidRPr="00A0090F">
        <w:tab/>
        <w:t>Président de l'AR-19</w:t>
      </w:r>
    </w:p>
    <w:p w14:paraId="6444E99C" w14:textId="77777777" w:rsidR="003B2ED7" w:rsidRPr="00A0090F" w:rsidRDefault="003B2ED7" w:rsidP="00733FAD"/>
    <w:sectPr w:rsidR="003B2ED7" w:rsidRPr="00A0090F">
      <w:headerReference w:type="even" r:id="rId27"/>
      <w:headerReference w:type="default" r:id="rId28"/>
      <w:footerReference w:type="even" r:id="rId29"/>
      <w:footerReference w:type="default" r:id="rId30"/>
      <w:headerReference w:type="first" r:id="rId31"/>
      <w:footerReference w:type="first" r:id="rId3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BE15C" w14:textId="77777777" w:rsidR="00DC63DB" w:rsidRDefault="00DC63DB">
      <w:r>
        <w:separator/>
      </w:r>
    </w:p>
  </w:endnote>
  <w:endnote w:type="continuationSeparator" w:id="0">
    <w:p w14:paraId="4C6E1653" w14:textId="77777777" w:rsidR="00DC63DB" w:rsidRDefault="00DC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C4ECB" w14:textId="4E22DE10" w:rsidR="00EC0EB4" w:rsidRDefault="00EC0EB4">
    <w:pPr>
      <w:rPr>
        <w:lang w:val="en-US"/>
      </w:rPr>
    </w:pPr>
    <w:r>
      <w:fldChar w:fldCharType="begin"/>
    </w:r>
    <w:r>
      <w:rPr>
        <w:lang w:val="en-US"/>
      </w:rPr>
      <w:instrText xml:space="preserve"> FILENAME \p  \* MERGEFORMAT </w:instrText>
    </w:r>
    <w:r>
      <w:fldChar w:fldCharType="separate"/>
    </w:r>
    <w:r w:rsidR="00FF5B8B">
      <w:rPr>
        <w:noProof/>
        <w:lang w:val="en-US"/>
      </w:rPr>
      <w:t>P:\FRA\ITU-R\CONF-R\AR19\PLEN\000\084F.docx</w:t>
    </w:r>
    <w:r>
      <w:fldChar w:fldCharType="end"/>
    </w:r>
    <w:r>
      <w:rPr>
        <w:lang w:val="en-US"/>
      </w:rPr>
      <w:tab/>
    </w:r>
    <w:r>
      <w:fldChar w:fldCharType="begin"/>
    </w:r>
    <w:r>
      <w:instrText xml:space="preserve"> SAVEDATE \@ DD.MM.YY </w:instrText>
    </w:r>
    <w:r>
      <w:fldChar w:fldCharType="separate"/>
    </w:r>
    <w:r w:rsidR="00F40025">
      <w:rPr>
        <w:noProof/>
      </w:rPr>
      <w:t>01.11.19</w:t>
    </w:r>
    <w:r>
      <w:fldChar w:fldCharType="end"/>
    </w:r>
    <w:r>
      <w:rPr>
        <w:lang w:val="en-US"/>
      </w:rPr>
      <w:tab/>
    </w:r>
    <w:r>
      <w:fldChar w:fldCharType="begin"/>
    </w:r>
    <w:r>
      <w:instrText xml:space="preserve"> PRINTDATE \@ DD.MM.YY </w:instrText>
    </w:r>
    <w:r>
      <w:fldChar w:fldCharType="separate"/>
    </w:r>
    <w:r w:rsidR="00FF5B8B">
      <w:rPr>
        <w:noProof/>
      </w:rPr>
      <w:t>31.10.19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7" w:name="_GoBack"/>
  <w:bookmarkEnd w:id="7"/>
  <w:p w14:paraId="0A781DE2" w14:textId="21149309" w:rsidR="00EC0EB4" w:rsidRPr="00733FAD" w:rsidRDefault="00B11F65" w:rsidP="00B11F65">
    <w:pPr>
      <w:pStyle w:val="Footer"/>
      <w:rPr>
        <w:lang w:val="en-US"/>
      </w:rPr>
    </w:pPr>
    <w:r>
      <w:fldChar w:fldCharType="begin"/>
    </w:r>
    <w:r>
      <w:rPr>
        <w:lang w:val="en-US"/>
      </w:rPr>
      <w:instrText xml:space="preserve"> FILENAME \p  \* MERGEFORMAT </w:instrText>
    </w:r>
    <w:r>
      <w:fldChar w:fldCharType="separate"/>
    </w:r>
    <w:r w:rsidR="00F8484B">
      <w:rPr>
        <w:lang w:val="en-US"/>
      </w:rPr>
      <w:t>P:\FRA\ITU-R\CONF-R\AR19\PLEN\000\084V2F.docx</w:t>
    </w:r>
    <w:r>
      <w:fldChar w:fldCharType="end"/>
    </w:r>
    <w:r w:rsidR="00733FAD">
      <w:t xml:space="preserve"> (463523)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DEFE2" w14:textId="15243A8F" w:rsidR="00EC0EB4" w:rsidRDefault="00EC0EB4" w:rsidP="00B11F65">
    <w:pPr>
      <w:pStyle w:val="Footer"/>
      <w:rPr>
        <w:lang w:val="en-US"/>
      </w:rPr>
    </w:pPr>
    <w:r>
      <w:fldChar w:fldCharType="begin"/>
    </w:r>
    <w:r>
      <w:rPr>
        <w:lang w:val="en-US"/>
      </w:rPr>
      <w:instrText xml:space="preserve"> FILENAME \p  \* MERGEFORMAT </w:instrText>
    </w:r>
    <w:r>
      <w:fldChar w:fldCharType="separate"/>
    </w:r>
    <w:r w:rsidR="00F8484B">
      <w:rPr>
        <w:lang w:val="en-US"/>
      </w:rPr>
      <w:t>P:\FRA\ITU-R\CONF-R\AR19\PLEN\000\084V2F.docx</w:t>
    </w:r>
    <w:r>
      <w:fldChar w:fldCharType="end"/>
    </w:r>
    <w:r w:rsidR="00733FAD">
      <w:t xml:space="preserve"> (463523</w:t>
    </w:r>
    <w:r w:rsidR="00F8484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87FF2" w14:textId="77777777" w:rsidR="00DC63DB" w:rsidRDefault="00DC63DB">
      <w:r>
        <w:rPr>
          <w:b/>
        </w:rPr>
        <w:t>_______________</w:t>
      </w:r>
    </w:p>
  </w:footnote>
  <w:footnote w:type="continuationSeparator" w:id="0">
    <w:p w14:paraId="70A7C1AA" w14:textId="77777777" w:rsidR="00DC63DB" w:rsidRDefault="00DC6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4F976" w14:textId="77777777" w:rsidR="00F8484B" w:rsidRDefault="00F84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35A01"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1260D25A" w14:textId="7DE8034A" w:rsidR="0056236F" w:rsidRDefault="0056236F">
    <w:pPr>
      <w:pStyle w:val="Header"/>
    </w:pPr>
    <w:r>
      <w:t>RA19/</w:t>
    </w:r>
    <w:r w:rsidR="00733FAD">
      <w:t>PLEN/84</w:t>
    </w:r>
    <w: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6C6F9" w14:textId="77777777" w:rsidR="00F8484B" w:rsidRDefault="00F84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DB"/>
    <w:rsid w:val="00006711"/>
    <w:rsid w:val="00080657"/>
    <w:rsid w:val="000B1F11"/>
    <w:rsid w:val="0013523C"/>
    <w:rsid w:val="00160694"/>
    <w:rsid w:val="001676B8"/>
    <w:rsid w:val="001C1471"/>
    <w:rsid w:val="00223DF9"/>
    <w:rsid w:val="002F7D88"/>
    <w:rsid w:val="00312771"/>
    <w:rsid w:val="003644F8"/>
    <w:rsid w:val="003A411A"/>
    <w:rsid w:val="003B2ED7"/>
    <w:rsid w:val="003C77E1"/>
    <w:rsid w:val="00480B32"/>
    <w:rsid w:val="004829F4"/>
    <w:rsid w:val="004A6DFE"/>
    <w:rsid w:val="00516618"/>
    <w:rsid w:val="00530E6D"/>
    <w:rsid w:val="0056236F"/>
    <w:rsid w:val="00597A0E"/>
    <w:rsid w:val="005A46FB"/>
    <w:rsid w:val="0060664A"/>
    <w:rsid w:val="006506F4"/>
    <w:rsid w:val="006B7103"/>
    <w:rsid w:val="006F73A7"/>
    <w:rsid w:val="00733FAD"/>
    <w:rsid w:val="00815ECE"/>
    <w:rsid w:val="00840A51"/>
    <w:rsid w:val="00852305"/>
    <w:rsid w:val="008962EE"/>
    <w:rsid w:val="008B3C9C"/>
    <w:rsid w:val="008C5FD1"/>
    <w:rsid w:val="00992C42"/>
    <w:rsid w:val="00A0090F"/>
    <w:rsid w:val="00A339AE"/>
    <w:rsid w:val="00A769F2"/>
    <w:rsid w:val="00AD26C8"/>
    <w:rsid w:val="00B11F65"/>
    <w:rsid w:val="00B75698"/>
    <w:rsid w:val="00B82926"/>
    <w:rsid w:val="00B9065A"/>
    <w:rsid w:val="00D278A9"/>
    <w:rsid w:val="00D32DD4"/>
    <w:rsid w:val="00D54910"/>
    <w:rsid w:val="00DC4CBD"/>
    <w:rsid w:val="00DC63DB"/>
    <w:rsid w:val="00EC0EB4"/>
    <w:rsid w:val="00F40025"/>
    <w:rsid w:val="00F8484B"/>
    <w:rsid w:val="00FB596A"/>
    <w:rsid w:val="00FF5B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55CCCA"/>
  <w15:docId w15:val="{004ACD62-56CE-4554-90A1-51701DC5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basedOn w:val="DefaultParagraphFont"/>
    <w:unhideWhenUsed/>
    <w:rsid w:val="003B2ED7"/>
    <w:rPr>
      <w:color w:val="0000FF" w:themeColor="hyperlink"/>
      <w:u w:val="single"/>
    </w:rPr>
  </w:style>
  <w:style w:type="table" w:styleId="TableGrid">
    <w:name w:val="Table Grid"/>
    <w:basedOn w:val="TableNormal"/>
    <w:uiPriority w:val="39"/>
    <w:rsid w:val="003B2ED7"/>
    <w:rPr>
      <w:rFonts w:asciiTheme="minorHAnsi" w:eastAsiaTheme="minorEastAsia" w:hAnsiTheme="minorHAnsi" w:cstheme="minorBid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B2ED7"/>
    <w:rPr>
      <w:sz w:val="16"/>
      <w:szCs w:val="16"/>
    </w:rPr>
  </w:style>
  <w:style w:type="paragraph" w:styleId="CommentText">
    <w:name w:val="annotation text"/>
    <w:basedOn w:val="Normal"/>
    <w:link w:val="CommentTextChar"/>
    <w:semiHidden/>
    <w:unhideWhenUsed/>
    <w:rsid w:val="003B2ED7"/>
    <w:rPr>
      <w:sz w:val="20"/>
      <w:lang w:val="en-GB"/>
    </w:rPr>
  </w:style>
  <w:style w:type="character" w:customStyle="1" w:styleId="CommentTextChar">
    <w:name w:val="Comment Text Char"/>
    <w:basedOn w:val="DefaultParagraphFont"/>
    <w:link w:val="CommentText"/>
    <w:semiHidden/>
    <w:rsid w:val="003B2E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9-RA19-C-0063/en" TargetMode="External"/><Relationship Id="rId18" Type="http://schemas.openxmlformats.org/officeDocument/2006/relationships/hyperlink" Target="https://www.itu.int/md/R19-RA19-C-0076/en" TargetMode="External"/><Relationship Id="rId26" Type="http://schemas.openxmlformats.org/officeDocument/2006/relationships/hyperlink" Target="https://www.itu.int/md/R15-CCV-RP-1004/en" TargetMode="External"/><Relationship Id="rId3" Type="http://schemas.openxmlformats.org/officeDocument/2006/relationships/styles" Target="styles.xml"/><Relationship Id="rId21" Type="http://schemas.openxmlformats.org/officeDocument/2006/relationships/hyperlink" Target="https://www.itu.int/md/R15-SG05-RP-1003/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R19-RA19-C-0074/en" TargetMode="External"/><Relationship Id="rId17" Type="http://schemas.openxmlformats.org/officeDocument/2006/relationships/hyperlink" Target="https://www.itu.int/md/R19-RA19-C-0075/en" TargetMode="External"/><Relationship Id="rId25" Type="http://schemas.openxmlformats.org/officeDocument/2006/relationships/hyperlink" Target="https://www.itu.int/md/R15-CCV-RP-1003/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R19-RA19-C-0073/en" TargetMode="External"/><Relationship Id="rId20" Type="http://schemas.openxmlformats.org/officeDocument/2006/relationships/hyperlink" Target="https://www.itu.int/md/R15-SG05-RP-1002/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RA19-C-0072/en" TargetMode="External"/><Relationship Id="rId24" Type="http://schemas.openxmlformats.org/officeDocument/2006/relationships/hyperlink" Target="https://www.itu.int/md/R15-CCV-RP-1002/en"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R19-RA19-C-0071/en" TargetMode="External"/><Relationship Id="rId23" Type="http://schemas.openxmlformats.org/officeDocument/2006/relationships/hyperlink" Target="https://www.itu.int/md/R15-CCV-RP-1001/en" TargetMode="External"/><Relationship Id="rId28" Type="http://schemas.openxmlformats.org/officeDocument/2006/relationships/header" Target="header2.xml"/><Relationship Id="rId10" Type="http://schemas.openxmlformats.org/officeDocument/2006/relationships/hyperlink" Target="https://www.itu.int/md/R19-RA19-C-0069/en" TargetMode="External"/><Relationship Id="rId19" Type="http://schemas.openxmlformats.org/officeDocument/2006/relationships/hyperlink" Target="https://www.itu.int/md/R19-RA19-C-0077/en"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md/R19-RA19-ADM-0029/en" TargetMode="External"/><Relationship Id="rId14" Type="http://schemas.openxmlformats.org/officeDocument/2006/relationships/hyperlink" Target="https://www.itu.int/md/R19-RA19-C-0070/en" TargetMode="External"/><Relationship Id="rId22" Type="http://schemas.openxmlformats.org/officeDocument/2006/relationships/hyperlink" Target="https://www.itu.int/md/R15-SG05-RP-1004/en"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5E600-2674-4E78-A54E-1C53BE5B1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PF_RA19.dotx</Template>
  <TotalTime>1</TotalTime>
  <Pages>5</Pages>
  <Words>1449</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French1</cp:lastModifiedBy>
  <cp:revision>3</cp:revision>
  <cp:lastPrinted>2019-10-31T17:57:00Z</cp:lastPrinted>
  <dcterms:created xsi:type="dcterms:W3CDTF">2019-11-01T10:02:00Z</dcterms:created>
  <dcterms:modified xsi:type="dcterms:W3CDTF">2019-11-01T10:03:00Z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