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873686" w14:paraId="59DE3029" w14:textId="77777777">
        <w:trPr>
          <w:cantSplit/>
        </w:trPr>
        <w:tc>
          <w:tcPr>
            <w:tcW w:w="6345" w:type="dxa"/>
          </w:tcPr>
          <w:p w14:paraId="35537AF5" w14:textId="77777777" w:rsidR="00E307F2" w:rsidRPr="00873686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73686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873686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87368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873686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87368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873686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5EA0CCD0" w14:textId="77777777" w:rsidR="00E307F2" w:rsidRPr="00873686" w:rsidRDefault="00E307F2" w:rsidP="005335D1">
            <w:pPr>
              <w:spacing w:line="240" w:lineRule="atLeast"/>
              <w:jc w:val="right"/>
            </w:pPr>
            <w:r w:rsidRPr="00873686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15C559F2" wp14:editId="4F18448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873686" w14:paraId="073B1290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3BEA849D" w14:textId="77777777" w:rsidR="00E307F2" w:rsidRPr="00873686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2EEE4E35" w14:textId="77777777" w:rsidR="00E307F2" w:rsidRPr="00873686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873686" w14:paraId="1322D9BD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043C07C" w14:textId="77777777" w:rsidR="00E307F2" w:rsidRPr="00873686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23C01EE" w14:textId="77777777" w:rsidR="00E307F2" w:rsidRPr="00873686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873686" w14:paraId="49BA3696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36606B8B" w14:textId="59A70CA0" w:rsidR="00BA3DBD" w:rsidRPr="00873686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873686">
              <w:rPr>
                <w:rFonts w:ascii="Verdana" w:hAnsi="Verdana"/>
                <w:b/>
                <w:sz w:val="20"/>
              </w:rPr>
              <w:t>SESIÓN PLENARIA</w:t>
            </w:r>
          </w:p>
          <w:p w14:paraId="2C0A90A2" w14:textId="77777777" w:rsidR="00BA3DBD" w:rsidRPr="00873686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2C5B683A" w14:textId="4E64BA06" w:rsidR="00E307F2" w:rsidRPr="00873686" w:rsidRDefault="00143A49" w:rsidP="00283B2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873686">
              <w:rPr>
                <w:rFonts w:ascii="Verdana" w:hAnsi="Verdana"/>
                <w:b/>
                <w:sz w:val="20"/>
              </w:rPr>
              <w:t>Documento RA19/PLEN/8</w:t>
            </w:r>
            <w:r w:rsidR="00CD287E" w:rsidRPr="00873686">
              <w:rPr>
                <w:rFonts w:ascii="Verdana" w:hAnsi="Verdana"/>
                <w:b/>
                <w:sz w:val="20"/>
              </w:rPr>
              <w:t>4</w:t>
            </w:r>
            <w:r w:rsidR="0022505D" w:rsidRPr="00873686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873686" w14:paraId="3AF37581" w14:textId="77777777">
        <w:trPr>
          <w:cantSplit/>
          <w:trHeight w:val="23"/>
        </w:trPr>
        <w:tc>
          <w:tcPr>
            <w:tcW w:w="6345" w:type="dxa"/>
            <w:vMerge/>
          </w:tcPr>
          <w:p w14:paraId="07CCF735" w14:textId="77777777" w:rsidR="00E307F2" w:rsidRPr="00873686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5D345025" w14:textId="77777777" w:rsidR="00E307F2" w:rsidRPr="00873686" w:rsidRDefault="00143A49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73686">
              <w:rPr>
                <w:rFonts w:ascii="Verdana" w:hAnsi="Verdana"/>
                <w:b/>
                <w:sz w:val="20"/>
              </w:rPr>
              <w:t>31 de octubre</w:t>
            </w:r>
            <w:r w:rsidR="0022505D" w:rsidRPr="00873686">
              <w:rPr>
                <w:rFonts w:ascii="Verdana" w:hAnsi="Verdana"/>
                <w:b/>
                <w:sz w:val="20"/>
              </w:rPr>
              <w:t xml:space="preserve"> de 201</w:t>
            </w:r>
            <w:r w:rsidR="00B5074A" w:rsidRPr="00873686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873686" w14:paraId="44CBB69D" w14:textId="77777777">
        <w:trPr>
          <w:cantSplit/>
          <w:trHeight w:val="23"/>
        </w:trPr>
        <w:tc>
          <w:tcPr>
            <w:tcW w:w="6345" w:type="dxa"/>
            <w:vMerge/>
          </w:tcPr>
          <w:p w14:paraId="28EFBC71" w14:textId="77777777" w:rsidR="00E307F2" w:rsidRPr="00873686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101D0815" w14:textId="77777777" w:rsidR="00E307F2" w:rsidRPr="00873686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7368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873686" w14:paraId="13033162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56298C96" w14:textId="150A247C" w:rsidR="00BA3DBD" w:rsidRPr="00873686" w:rsidRDefault="00CD287E" w:rsidP="004A62A6">
            <w:pPr>
              <w:pStyle w:val="Title1"/>
              <w:spacing w:before="720"/>
            </w:pPr>
            <w:r w:rsidRPr="00873686">
              <w:t xml:space="preserve">INFORME </w:t>
            </w:r>
            <w:r w:rsidRPr="004A62A6">
              <w:t>RESUMIDO</w:t>
            </w:r>
            <w:r w:rsidRPr="00873686">
              <w:t xml:space="preserve"> DE LA SEXTA SESIÓN PLENARIA </w:t>
            </w:r>
            <w:r w:rsidR="007F21E6" w:rsidRPr="00873686">
              <w:br/>
            </w:r>
            <w:r w:rsidRPr="00873686">
              <w:t>DE LA ASAMBLEA DE RADIOCOMUNICACIONES</w:t>
            </w:r>
          </w:p>
        </w:tc>
      </w:tr>
      <w:tr w:rsidR="00143A49" w:rsidRPr="00873686" w14:paraId="5E490B14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7C8A3CBD" w14:textId="77777777" w:rsidR="00143A49" w:rsidRPr="00873686" w:rsidRDefault="00CD287E" w:rsidP="00D43731">
            <w:pPr>
              <w:pStyle w:val="Title3"/>
            </w:pPr>
            <w:r w:rsidRPr="00873686">
              <w:t>Viernes</w:t>
            </w:r>
            <w:r w:rsidR="00143A49" w:rsidRPr="00873686">
              <w:t>, 2</w:t>
            </w:r>
            <w:r w:rsidRPr="00873686">
              <w:t>5</w:t>
            </w:r>
            <w:r w:rsidR="00143A49" w:rsidRPr="00873686">
              <w:t xml:space="preserve"> </w:t>
            </w:r>
            <w:r w:rsidRPr="00873686">
              <w:t>de octubre de</w:t>
            </w:r>
            <w:r w:rsidR="00143A49" w:rsidRPr="00873686">
              <w:t xml:space="preserve"> 2019, </w:t>
            </w:r>
            <w:r w:rsidRPr="00873686">
              <w:t>a las 09.00 horas</w:t>
            </w:r>
          </w:p>
        </w:tc>
      </w:tr>
      <w:tr w:rsidR="00143A49" w:rsidRPr="00873686" w14:paraId="784F9E20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333AF82D" w14:textId="2EED1E10" w:rsidR="00143A49" w:rsidRPr="00873686" w:rsidRDefault="00143A49" w:rsidP="00D43731">
            <w:pPr>
              <w:pStyle w:val="Title3"/>
            </w:pPr>
          </w:p>
        </w:tc>
      </w:tr>
    </w:tbl>
    <w:p w14:paraId="21723247" w14:textId="77777777" w:rsidR="00E307F2" w:rsidRPr="00873686" w:rsidRDefault="00E307F2" w:rsidP="002B6243"/>
    <w:tbl>
      <w:tblPr>
        <w:tblW w:w="5221" w:type="pct"/>
        <w:tblLook w:val="0000" w:firstRow="0" w:lastRow="0" w:firstColumn="0" w:lastColumn="0" w:noHBand="0" w:noVBand="0"/>
      </w:tblPr>
      <w:tblGrid>
        <w:gridCol w:w="457"/>
        <w:gridCol w:w="7017"/>
        <w:gridCol w:w="2591"/>
      </w:tblGrid>
      <w:tr w:rsidR="00143A49" w:rsidRPr="00873686" w14:paraId="102CA532" w14:textId="77777777" w:rsidTr="007F21E6">
        <w:tc>
          <w:tcPr>
            <w:tcW w:w="227" w:type="pct"/>
          </w:tcPr>
          <w:p w14:paraId="34FFA2FD" w14:textId="77777777" w:rsidR="00143A49" w:rsidRPr="00873686" w:rsidRDefault="00143A49" w:rsidP="00143A49">
            <w:pPr>
              <w:rPr>
                <w:b/>
              </w:rPr>
            </w:pPr>
          </w:p>
        </w:tc>
        <w:tc>
          <w:tcPr>
            <w:tcW w:w="3486" w:type="pct"/>
          </w:tcPr>
          <w:p w14:paraId="4E1C8B8B" w14:textId="77777777" w:rsidR="00143A49" w:rsidRPr="00873686" w:rsidRDefault="00143A49" w:rsidP="00143A49">
            <w:pPr>
              <w:rPr>
                <w:b/>
              </w:rPr>
            </w:pPr>
          </w:p>
        </w:tc>
        <w:tc>
          <w:tcPr>
            <w:tcW w:w="1287" w:type="pct"/>
          </w:tcPr>
          <w:p w14:paraId="38221FD9" w14:textId="77777777" w:rsidR="00143A49" w:rsidRPr="00873686" w:rsidRDefault="00143A49" w:rsidP="00143A49">
            <w:pPr>
              <w:jc w:val="center"/>
              <w:rPr>
                <w:b/>
              </w:rPr>
            </w:pPr>
            <w:r w:rsidRPr="00873686">
              <w:rPr>
                <w:b/>
              </w:rPr>
              <w:t>Document</w:t>
            </w:r>
            <w:r w:rsidR="00BC2EB0" w:rsidRPr="00873686">
              <w:rPr>
                <w:b/>
              </w:rPr>
              <w:t>o</w:t>
            </w:r>
            <w:r w:rsidRPr="00873686">
              <w:rPr>
                <w:b/>
              </w:rPr>
              <w:t>s</w:t>
            </w:r>
          </w:p>
        </w:tc>
      </w:tr>
      <w:tr w:rsidR="00F7371B" w:rsidRPr="00873686" w14:paraId="2CD80A77" w14:textId="77777777" w:rsidTr="007F21E6">
        <w:tc>
          <w:tcPr>
            <w:tcW w:w="227" w:type="pct"/>
          </w:tcPr>
          <w:p w14:paraId="1BCA2F15" w14:textId="77777777" w:rsidR="00F7371B" w:rsidRPr="00873686" w:rsidRDefault="00F7371B" w:rsidP="00F7371B">
            <w:pPr>
              <w:rPr>
                <w:b/>
              </w:rPr>
            </w:pPr>
            <w:r w:rsidRPr="00873686">
              <w:rPr>
                <w:b/>
              </w:rPr>
              <w:t>1</w:t>
            </w:r>
          </w:p>
        </w:tc>
        <w:tc>
          <w:tcPr>
            <w:tcW w:w="3486" w:type="pct"/>
          </w:tcPr>
          <w:p w14:paraId="367CE9C8" w14:textId="20F0B7B8" w:rsidR="00F7371B" w:rsidRPr="00873686" w:rsidRDefault="0011304B" w:rsidP="00F7371B">
            <w:r w:rsidRPr="00873686">
              <w:t xml:space="preserve">Apertura de la </w:t>
            </w:r>
            <w:r w:rsidR="00283B2D" w:rsidRPr="00873686">
              <w:t>sesión</w:t>
            </w:r>
          </w:p>
        </w:tc>
        <w:tc>
          <w:tcPr>
            <w:tcW w:w="1287" w:type="pct"/>
          </w:tcPr>
          <w:p w14:paraId="71217D7D" w14:textId="78495C7F" w:rsidR="00F7371B" w:rsidRPr="00873686" w:rsidRDefault="0023698B" w:rsidP="00F7371B">
            <w:pPr>
              <w:jc w:val="center"/>
            </w:pPr>
            <w:r w:rsidRPr="00873686">
              <w:t>–</w:t>
            </w:r>
          </w:p>
        </w:tc>
      </w:tr>
      <w:tr w:rsidR="00F7371B" w:rsidRPr="00873686" w14:paraId="4AFE223E" w14:textId="77777777" w:rsidTr="007F21E6">
        <w:tc>
          <w:tcPr>
            <w:tcW w:w="227" w:type="pct"/>
          </w:tcPr>
          <w:p w14:paraId="771639FD" w14:textId="77777777" w:rsidR="00F7371B" w:rsidRPr="00873686" w:rsidRDefault="00F7371B" w:rsidP="00F7371B">
            <w:pPr>
              <w:rPr>
                <w:b/>
              </w:rPr>
            </w:pPr>
            <w:r w:rsidRPr="00873686">
              <w:rPr>
                <w:b/>
              </w:rPr>
              <w:t>2</w:t>
            </w:r>
          </w:p>
        </w:tc>
        <w:tc>
          <w:tcPr>
            <w:tcW w:w="3486" w:type="pct"/>
          </w:tcPr>
          <w:p w14:paraId="2ABB990B" w14:textId="77777777" w:rsidR="00F7371B" w:rsidRPr="00873686" w:rsidRDefault="0011304B" w:rsidP="00F7371B">
            <w:r w:rsidRPr="00873686">
              <w:t>Aprobación del orden del día</w:t>
            </w:r>
          </w:p>
        </w:tc>
        <w:tc>
          <w:tcPr>
            <w:tcW w:w="1287" w:type="pct"/>
          </w:tcPr>
          <w:p w14:paraId="79EB17D4" w14:textId="4B9FF46A" w:rsidR="00F7371B" w:rsidRPr="00873686" w:rsidRDefault="00A12510" w:rsidP="00F7371B">
            <w:pPr>
              <w:jc w:val="center"/>
            </w:pPr>
            <w:hyperlink r:id="rId8" w:history="1">
              <w:r w:rsidR="00F7371B" w:rsidRPr="00873686">
                <w:rPr>
                  <w:rStyle w:val="Hyperlink"/>
                </w:rPr>
                <w:t>ADM/29(Rev.1)</w:t>
              </w:r>
            </w:hyperlink>
          </w:p>
        </w:tc>
      </w:tr>
      <w:tr w:rsidR="00F7371B" w:rsidRPr="00873686" w14:paraId="3863A610" w14:textId="77777777" w:rsidTr="007F21E6">
        <w:tc>
          <w:tcPr>
            <w:tcW w:w="227" w:type="pct"/>
          </w:tcPr>
          <w:p w14:paraId="127472AD" w14:textId="77777777" w:rsidR="00F7371B" w:rsidRPr="00873686" w:rsidRDefault="00F7371B" w:rsidP="00F7371B">
            <w:pPr>
              <w:rPr>
                <w:b/>
              </w:rPr>
            </w:pPr>
            <w:r w:rsidRPr="00873686">
              <w:rPr>
                <w:b/>
              </w:rPr>
              <w:t>3</w:t>
            </w:r>
          </w:p>
        </w:tc>
        <w:tc>
          <w:tcPr>
            <w:tcW w:w="3486" w:type="pct"/>
          </w:tcPr>
          <w:p w14:paraId="18601BA2" w14:textId="77777777" w:rsidR="00F7371B" w:rsidRPr="00873686" w:rsidRDefault="006D35AB" w:rsidP="006D35AB">
            <w:r w:rsidRPr="00873686">
              <w:t>Proyecto de Informe de la Comisión de Control del Presupuesto a la Sesión Plenaria</w:t>
            </w:r>
          </w:p>
          <w:p w14:paraId="3A10E5F3" w14:textId="77777777" w:rsidR="00F7371B" w:rsidRPr="00873686" w:rsidRDefault="006D35AB" w:rsidP="00891E1E">
            <w:r w:rsidRPr="00873686">
              <w:t>El Presidente de la Comisión de Control del Presupuesto presentó el informe tal como figura en el Documento</w:t>
            </w:r>
            <w:r w:rsidR="00F7371B" w:rsidRPr="00873686">
              <w:t xml:space="preserve"> PLEN/69. </w:t>
            </w:r>
            <w:r w:rsidRPr="00873686">
              <w:t xml:space="preserve">No se formularon </w:t>
            </w:r>
            <w:r w:rsidR="00891E1E" w:rsidRPr="00873686">
              <w:t>observaciones</w:t>
            </w:r>
            <w:r w:rsidRPr="00873686">
              <w:t xml:space="preserve"> y se tomó nota del documento</w:t>
            </w:r>
            <w:r w:rsidR="00F7371B" w:rsidRPr="00873686">
              <w:t>.</w:t>
            </w:r>
          </w:p>
        </w:tc>
        <w:tc>
          <w:tcPr>
            <w:tcW w:w="1287" w:type="pct"/>
          </w:tcPr>
          <w:p w14:paraId="35527BC9" w14:textId="5AD691C6" w:rsidR="00F7371B" w:rsidRPr="00873686" w:rsidRDefault="00F7371B" w:rsidP="00F7371B">
            <w:pPr>
              <w:jc w:val="center"/>
            </w:pPr>
            <w:r w:rsidRPr="00873686">
              <w:t>PLEN/</w:t>
            </w:r>
            <w:hyperlink r:id="rId9" w:history="1">
              <w:r w:rsidRPr="00873686">
                <w:rPr>
                  <w:rStyle w:val="Hyperlink"/>
                </w:rPr>
                <w:t>69</w:t>
              </w:r>
            </w:hyperlink>
          </w:p>
        </w:tc>
      </w:tr>
      <w:tr w:rsidR="00F7371B" w:rsidRPr="00873686" w14:paraId="6AD5A5EB" w14:textId="77777777" w:rsidTr="007F21E6">
        <w:tc>
          <w:tcPr>
            <w:tcW w:w="227" w:type="pct"/>
          </w:tcPr>
          <w:p w14:paraId="61E677B2" w14:textId="77777777" w:rsidR="00F7371B" w:rsidRPr="00873686" w:rsidRDefault="00F7371B" w:rsidP="00F7371B">
            <w:pPr>
              <w:rPr>
                <w:b/>
              </w:rPr>
            </w:pPr>
            <w:r w:rsidRPr="00873686">
              <w:rPr>
                <w:b/>
              </w:rPr>
              <w:t>4</w:t>
            </w:r>
          </w:p>
        </w:tc>
        <w:tc>
          <w:tcPr>
            <w:tcW w:w="3486" w:type="pct"/>
          </w:tcPr>
          <w:p w14:paraId="618AD73B" w14:textId="15FBD04A" w:rsidR="00F7371B" w:rsidRPr="00873686" w:rsidRDefault="00824D2E" w:rsidP="00F7371B">
            <w:r w:rsidRPr="00873686">
              <w:t>Examen de los documentos finales de la Comisión</w:t>
            </w:r>
            <w:r w:rsidR="00873686">
              <w:t> </w:t>
            </w:r>
            <w:r w:rsidR="00F7371B" w:rsidRPr="00873686">
              <w:t>4</w:t>
            </w:r>
          </w:p>
          <w:p w14:paraId="266FDE08" w14:textId="77777777" w:rsidR="00F7371B" w:rsidRPr="00873686" w:rsidRDefault="000769D5" w:rsidP="000769D5">
            <w:r w:rsidRPr="00873686">
              <w:t xml:space="preserve">Se presentaron a la Asamblea los </w:t>
            </w:r>
            <w:r w:rsidR="00F7371B" w:rsidRPr="00873686">
              <w:t>Document</w:t>
            </w:r>
            <w:r w:rsidRPr="00873686">
              <w:t>o</w:t>
            </w:r>
            <w:r w:rsidR="00F7371B" w:rsidRPr="00873686">
              <w:t xml:space="preserve">s PLEN/72 </w:t>
            </w:r>
            <w:r w:rsidRPr="00873686">
              <w:t>y</w:t>
            </w:r>
            <w:r w:rsidR="00F7371B" w:rsidRPr="00873686">
              <w:t xml:space="preserve"> 74</w:t>
            </w:r>
            <w:r w:rsidRPr="00873686">
              <w:t>, preparados en consulta con la Secretaría</w:t>
            </w:r>
            <w:r w:rsidR="00F7371B" w:rsidRPr="00873686">
              <w:t xml:space="preserve">. </w:t>
            </w:r>
            <w:r w:rsidRPr="00873686">
              <w:t xml:space="preserve">Se aprobaron ambos documentos sin más </w:t>
            </w:r>
            <w:r w:rsidR="00891E1E" w:rsidRPr="00873686">
              <w:t>observaciones</w:t>
            </w:r>
            <w:r w:rsidRPr="00873686">
              <w:t>.</w:t>
            </w:r>
          </w:p>
        </w:tc>
        <w:tc>
          <w:tcPr>
            <w:tcW w:w="1287" w:type="pct"/>
          </w:tcPr>
          <w:p w14:paraId="2CA5AC74" w14:textId="4C3E3247" w:rsidR="00F7371B" w:rsidRPr="00873686" w:rsidRDefault="00F7371B" w:rsidP="00240E4D">
            <w:pPr>
              <w:jc w:val="center"/>
            </w:pPr>
            <w:r w:rsidRPr="00873686">
              <w:t>PLEN/</w:t>
            </w:r>
            <w:hyperlink r:id="rId10" w:history="1">
              <w:r w:rsidRPr="00873686">
                <w:rPr>
                  <w:rStyle w:val="Hyperlink"/>
                </w:rPr>
                <w:t>72</w:t>
              </w:r>
            </w:hyperlink>
            <w:r w:rsidRPr="00873686">
              <w:t xml:space="preserve">, </w:t>
            </w:r>
            <w:hyperlink r:id="rId11" w:history="1">
              <w:r w:rsidRPr="00873686">
                <w:rPr>
                  <w:rStyle w:val="Hyperlink"/>
                </w:rPr>
                <w:t>74</w:t>
              </w:r>
            </w:hyperlink>
          </w:p>
        </w:tc>
      </w:tr>
      <w:tr w:rsidR="00F7371B" w:rsidRPr="00873686" w14:paraId="55C35713" w14:textId="77777777" w:rsidTr="007F21E6">
        <w:tc>
          <w:tcPr>
            <w:tcW w:w="227" w:type="pct"/>
          </w:tcPr>
          <w:p w14:paraId="214B2906" w14:textId="77777777" w:rsidR="00F7371B" w:rsidRPr="00873686" w:rsidRDefault="00F7371B" w:rsidP="00F7371B">
            <w:pPr>
              <w:rPr>
                <w:b/>
              </w:rPr>
            </w:pPr>
            <w:r w:rsidRPr="00873686">
              <w:rPr>
                <w:b/>
              </w:rPr>
              <w:t>5</w:t>
            </w:r>
          </w:p>
        </w:tc>
        <w:tc>
          <w:tcPr>
            <w:tcW w:w="3486" w:type="pct"/>
          </w:tcPr>
          <w:p w14:paraId="5B71A05F" w14:textId="3DE7D3EB" w:rsidR="00F7371B" w:rsidRPr="00873686" w:rsidRDefault="000769D5" w:rsidP="00F7371B">
            <w:r w:rsidRPr="00873686">
              <w:t>Examen de los documentos finales de la Comisión</w:t>
            </w:r>
            <w:r w:rsidR="00873686">
              <w:t> </w:t>
            </w:r>
            <w:r w:rsidR="00F7371B" w:rsidRPr="00873686">
              <w:t>5</w:t>
            </w:r>
          </w:p>
          <w:p w14:paraId="31224A82" w14:textId="6C01D5B8" w:rsidR="00F7371B" w:rsidRPr="00873686" w:rsidRDefault="000769D5" w:rsidP="00283B2D">
            <w:r w:rsidRPr="00873686">
              <w:t>La Administración de la República Islámica del Irán</w:t>
            </w:r>
            <w:r w:rsidR="00F7371B" w:rsidRPr="00873686">
              <w:t xml:space="preserve"> </w:t>
            </w:r>
            <w:r w:rsidRPr="00873686">
              <w:t>propuso preparar una suerte de nota informativa y directrices para que los nuevos Vicepresidentes electos se familiari</w:t>
            </w:r>
            <w:r w:rsidR="00283B2D" w:rsidRPr="00873686">
              <w:t>zara</w:t>
            </w:r>
            <w:r w:rsidRPr="00873686">
              <w:t xml:space="preserve">n con los métodos de trabajo de las </w:t>
            </w:r>
            <w:r w:rsidR="006E22BC" w:rsidRPr="00873686">
              <w:t xml:space="preserve">CE. Estas notas informativas podrían compartirse con el GAR para someterlas a su consideración. Esta propuesta contó también con el apoyo de las Administraciones del Camerún y de </w:t>
            </w:r>
            <w:r w:rsidR="00F7371B" w:rsidRPr="00873686">
              <w:t>Côte d'Ivoire.</w:t>
            </w:r>
          </w:p>
          <w:p w14:paraId="0B912995" w14:textId="7BE21A32" w:rsidR="00F7371B" w:rsidRPr="00873686" w:rsidRDefault="00AF2A74" w:rsidP="00D0269B">
            <w:r w:rsidRPr="00873686">
              <w:t xml:space="preserve">El </w:t>
            </w:r>
            <w:r w:rsidR="00F7371B" w:rsidRPr="00873686">
              <w:t>Document</w:t>
            </w:r>
            <w:r w:rsidRPr="00873686">
              <w:t>o</w:t>
            </w:r>
            <w:r w:rsidR="00F7371B" w:rsidRPr="00873686">
              <w:t xml:space="preserve"> PLEN/63 </w:t>
            </w:r>
            <w:r w:rsidRPr="00873686">
              <w:t>es un proyecto de revisión de la Resolución UIT</w:t>
            </w:r>
            <w:r w:rsidR="00F7371B" w:rsidRPr="00873686">
              <w:t xml:space="preserve">-R 7 </w:t>
            </w:r>
            <w:r w:rsidRPr="00873686">
              <w:t>que consta principalmente de actualizaciones</w:t>
            </w:r>
            <w:r w:rsidR="00D0269B" w:rsidRPr="00873686">
              <w:t xml:space="preserve"> de carácter</w:t>
            </w:r>
            <w:r w:rsidRPr="00873686">
              <w:t xml:space="preserve"> editorial</w:t>
            </w:r>
            <w:r w:rsidR="00F7371B" w:rsidRPr="00873686">
              <w:t xml:space="preserve">. </w:t>
            </w:r>
            <w:r w:rsidRPr="00873686">
              <w:t>La</w:t>
            </w:r>
            <w:r w:rsidR="00F7371B" w:rsidRPr="00873686">
              <w:t xml:space="preserve"> </w:t>
            </w:r>
            <w:r w:rsidRPr="00873686">
              <w:t>Administración</w:t>
            </w:r>
            <w:r w:rsidR="00F7371B" w:rsidRPr="00873686">
              <w:t xml:space="preserve"> </w:t>
            </w:r>
            <w:r w:rsidRPr="00873686">
              <w:t>de</w:t>
            </w:r>
            <w:r w:rsidR="00F7371B" w:rsidRPr="00873686">
              <w:t xml:space="preserve"> Israel </w:t>
            </w:r>
            <w:r w:rsidRPr="00873686">
              <w:t>propuso añadir algunas remisiones a la labor del Grupo de Coordinación Intersectorial (GCIS)</w:t>
            </w:r>
            <w:r w:rsidR="00F7371B" w:rsidRPr="00873686">
              <w:t xml:space="preserve">. </w:t>
            </w:r>
            <w:r w:rsidR="0054218C" w:rsidRPr="00873686">
              <w:t>La reunión aprobó esta propuesta e invitó a la Secretaría a añadir esas remisiones en las páginas web de las CE</w:t>
            </w:r>
            <w:r w:rsidR="00F7371B" w:rsidRPr="00873686">
              <w:t>.</w:t>
            </w:r>
          </w:p>
          <w:p w14:paraId="5AF4F020" w14:textId="227FC570" w:rsidR="00F7371B" w:rsidRPr="00873686" w:rsidRDefault="0054218C" w:rsidP="007F21E6">
            <w:r w:rsidRPr="00873686">
              <w:t>La</w:t>
            </w:r>
            <w:r w:rsidR="00F7371B" w:rsidRPr="00873686">
              <w:t xml:space="preserve"> </w:t>
            </w:r>
            <w:r w:rsidRPr="00873686">
              <w:t>Administración</w:t>
            </w:r>
            <w:r w:rsidR="00F7371B" w:rsidRPr="00873686">
              <w:t xml:space="preserve"> </w:t>
            </w:r>
            <w:r w:rsidRPr="00873686">
              <w:t>de</w:t>
            </w:r>
            <w:r w:rsidR="00F7371B" w:rsidRPr="00873686">
              <w:t xml:space="preserve"> Senegal </w:t>
            </w:r>
            <w:r w:rsidRPr="00873686">
              <w:t>puso de relieve las dificultades que entraña</w:t>
            </w:r>
            <w:r w:rsidR="00D0269B" w:rsidRPr="00873686">
              <w:t>ba</w:t>
            </w:r>
            <w:r w:rsidRPr="00873686">
              <w:t xml:space="preserve"> participar en las sesiones de los GT y de las CE cuando los documentos </w:t>
            </w:r>
            <w:r w:rsidR="00873686">
              <w:t>sólo</w:t>
            </w:r>
            <w:r w:rsidRPr="00873686">
              <w:t xml:space="preserve"> est</w:t>
            </w:r>
            <w:r w:rsidR="00D0269B" w:rsidRPr="00873686">
              <w:t>aba</w:t>
            </w:r>
            <w:r w:rsidRPr="00873686">
              <w:t>n disponibles en inglés</w:t>
            </w:r>
            <w:r w:rsidR="00F7371B" w:rsidRPr="00873686">
              <w:t xml:space="preserve">. </w:t>
            </w:r>
            <w:r w:rsidRPr="00873686">
              <w:t xml:space="preserve">La Asamblea invitó al </w:t>
            </w:r>
            <w:r w:rsidRPr="00873686">
              <w:lastRenderedPageBreak/>
              <w:t xml:space="preserve">Director de la </w:t>
            </w:r>
            <w:r w:rsidR="00F7371B" w:rsidRPr="00873686">
              <w:t>BR</w:t>
            </w:r>
            <w:r w:rsidRPr="00873686">
              <w:t xml:space="preserve"> a informar sobre este asunto en la siguiente reunión del Consejo. A continuación se aprobó el</w:t>
            </w:r>
            <w:r w:rsidR="00F7371B" w:rsidRPr="00873686">
              <w:t xml:space="preserve"> Document</w:t>
            </w:r>
            <w:r w:rsidRPr="00873686">
              <w:t>o</w:t>
            </w:r>
            <w:r w:rsidR="00F7371B" w:rsidRPr="00873686">
              <w:t xml:space="preserve"> PLEN/63.</w:t>
            </w:r>
          </w:p>
          <w:p w14:paraId="01ACE1E8" w14:textId="616B6429" w:rsidR="00F7371B" w:rsidRPr="00873686" w:rsidRDefault="00891E1E" w:rsidP="00D0269B">
            <w:r w:rsidRPr="00873686">
              <w:t>Con r</w:t>
            </w:r>
            <w:r w:rsidR="0054218C" w:rsidRPr="00873686">
              <w:t xml:space="preserve">especto </w:t>
            </w:r>
            <w:r w:rsidRPr="00873686">
              <w:t>a</w:t>
            </w:r>
            <w:r w:rsidR="0054218C" w:rsidRPr="00873686">
              <w:t xml:space="preserve">l </w:t>
            </w:r>
            <w:r w:rsidR="00F7371B" w:rsidRPr="00873686">
              <w:t>Document</w:t>
            </w:r>
            <w:r w:rsidR="0054218C" w:rsidRPr="00873686">
              <w:t>o</w:t>
            </w:r>
            <w:r w:rsidR="00F7371B" w:rsidRPr="00873686">
              <w:t xml:space="preserve"> PLEN/73, </w:t>
            </w:r>
            <w:r w:rsidR="0054218C" w:rsidRPr="00873686">
              <w:t>en el que figura un proyecto de texto para las Actas de la Plenaria de la AR sobre las Resoluciones UIT-R 15 y UIT-R 1</w:t>
            </w:r>
            <w:r w:rsidR="00F7371B" w:rsidRPr="00873686">
              <w:t xml:space="preserve">, </w:t>
            </w:r>
            <w:r w:rsidR="0054218C" w:rsidRPr="00873686">
              <w:t>se recibieron algunas modificaciones relativas a</w:t>
            </w:r>
            <w:r w:rsidR="00F7371B" w:rsidRPr="00873686">
              <w:t xml:space="preserve"> </w:t>
            </w:r>
            <w:r w:rsidR="0054218C" w:rsidRPr="00873686">
              <w:t>la formulación de «los Miembros»</w:t>
            </w:r>
            <w:r w:rsidR="00F7371B" w:rsidRPr="00873686">
              <w:t xml:space="preserve">. </w:t>
            </w:r>
            <w:r w:rsidR="0054218C" w:rsidRPr="00873686">
              <w:t>«</w:t>
            </w:r>
            <w:r w:rsidR="00CA6083" w:rsidRPr="00873686">
              <w:t>La AR-19 encarga al Grupo Asesor de Radiocomunicaciones (GAR), con arreglo a las propuestas de los Estados Miembros y de los Miembros de Sector y en consulta con los Presidentes de las Comisiones de Estudio, que examine el periodo máximo de mandato de los Presidentes de los Grupos de Trabajo de Radiocomunicaciones y comunique los resultados de ese examen a la AR-23.</w:t>
            </w:r>
          </w:p>
          <w:p w14:paraId="6063326F" w14:textId="28A31D09" w:rsidR="00F7371B" w:rsidRPr="00873686" w:rsidRDefault="0011304B" w:rsidP="00891E1E">
            <w:r w:rsidRPr="00873686">
              <w:t>La AR-19 encarga también al GAR, con arreglo a las propuestas de los Estados Miembros y de los Miembros de Sector y en consulta con los Presidentes de las Comisiones de Estudio, que considere la necesidad de revisar la Resolución UIT-R 1, entre otras cosas con miras a añadir disposiciones que regulen la formación de los nuevos Presidentes y Vicepresidentes electos de las Comisiones de Estudio</w:t>
            </w:r>
            <w:r w:rsidR="0054218C" w:rsidRPr="00873686">
              <w:t>»</w:t>
            </w:r>
            <w:r w:rsidR="004A62A6">
              <w:t>.</w:t>
            </w:r>
            <w:r w:rsidR="00F7371B" w:rsidRPr="00873686">
              <w:t xml:space="preserve"> </w:t>
            </w:r>
            <w:r w:rsidR="00891E1E" w:rsidRPr="00873686">
              <w:t>El texto fue aprobado</w:t>
            </w:r>
            <w:r w:rsidR="00F7371B" w:rsidRPr="00873686">
              <w:t>.</w:t>
            </w:r>
          </w:p>
          <w:p w14:paraId="5892AC29" w14:textId="77777777" w:rsidR="00F7371B" w:rsidRPr="00873686" w:rsidRDefault="00891E1E" w:rsidP="00891E1E">
            <w:r w:rsidRPr="00873686">
              <w:t>Se presentó el Documento</w:t>
            </w:r>
            <w:r w:rsidR="00F7371B" w:rsidRPr="00873686">
              <w:t xml:space="preserve"> PLEN/70 </w:t>
            </w:r>
            <w:r w:rsidRPr="00873686">
              <w:t>en el que figura el proyecto de revisión de la Resolución</w:t>
            </w:r>
            <w:r w:rsidR="00F7371B" w:rsidRPr="00873686">
              <w:t xml:space="preserve"> </w:t>
            </w:r>
            <w:r w:rsidRPr="00873686">
              <w:t>UIT</w:t>
            </w:r>
            <w:r w:rsidR="00F7371B" w:rsidRPr="00873686">
              <w:t>-R 2. No</w:t>
            </w:r>
            <w:r w:rsidRPr="00873686">
              <w:t xml:space="preserve"> se recibieron observaciones y se adoptó el documento</w:t>
            </w:r>
            <w:r w:rsidR="00F7371B" w:rsidRPr="00873686">
              <w:t>.</w:t>
            </w:r>
          </w:p>
          <w:p w14:paraId="0DE37797" w14:textId="64C00278" w:rsidR="00F7371B" w:rsidRPr="00873686" w:rsidRDefault="00891E1E" w:rsidP="00F4718A">
            <w:r w:rsidRPr="00873686">
              <w:t xml:space="preserve">Se presentó el Documento </w:t>
            </w:r>
            <w:r w:rsidR="00F7371B" w:rsidRPr="00873686">
              <w:t xml:space="preserve">PLEN/71 </w:t>
            </w:r>
            <w:r w:rsidRPr="00873686">
              <w:t>en el que figura el proyecto de revisión de la Resolución UIT</w:t>
            </w:r>
            <w:r w:rsidR="00F7371B" w:rsidRPr="00873686">
              <w:t xml:space="preserve">-R 1. </w:t>
            </w:r>
            <w:r w:rsidR="009424AC" w:rsidRPr="00873686">
              <w:t>Era</w:t>
            </w:r>
            <w:r w:rsidRPr="00873686">
              <w:t xml:space="preserve"> necesario debatir más a fondo dos puntos pendientes, uno con respecto al </w:t>
            </w:r>
            <w:r w:rsidR="00F7371B" w:rsidRPr="00873686">
              <w:t>§</w:t>
            </w:r>
            <w:r w:rsidR="004A62A6">
              <w:t> </w:t>
            </w:r>
            <w:r w:rsidR="00F7371B" w:rsidRPr="00873686">
              <w:t xml:space="preserve">A2.6.2.1.2 </w:t>
            </w:r>
            <w:r w:rsidRPr="00873686">
              <w:t>y el segundo referido al</w:t>
            </w:r>
            <w:r w:rsidR="00F7371B" w:rsidRPr="00873686">
              <w:t xml:space="preserve"> §</w:t>
            </w:r>
            <w:r w:rsidR="004A62A6">
              <w:t xml:space="preserve"> </w:t>
            </w:r>
            <w:r w:rsidR="00F7371B" w:rsidRPr="00873686">
              <w:t xml:space="preserve">A2.6.2.2.3.6. </w:t>
            </w:r>
            <w:r w:rsidRPr="00873686">
              <w:t>Se presentaron dos propuestas de texto sobre esos dos puntos</w:t>
            </w:r>
            <w:r w:rsidR="00F7371B" w:rsidRPr="00873686">
              <w:t xml:space="preserve">. </w:t>
            </w:r>
            <w:r w:rsidR="009424AC" w:rsidRPr="00873686">
              <w:t>Tras entablar</w:t>
            </w:r>
            <w:r w:rsidRPr="00873686">
              <w:t xml:space="preserve"> algún debate </w:t>
            </w:r>
            <w:r w:rsidR="009424AC" w:rsidRPr="00873686">
              <w:t>al respecto, s</w:t>
            </w:r>
            <w:r w:rsidRPr="00873686">
              <w:t>e planteó la propuesta de suprimir el</w:t>
            </w:r>
            <w:r w:rsidR="00F7371B" w:rsidRPr="00873686">
              <w:t xml:space="preserve"> §</w:t>
            </w:r>
            <w:r w:rsidR="004A62A6">
              <w:t> </w:t>
            </w:r>
            <w:r w:rsidR="00F7371B" w:rsidRPr="00873686">
              <w:t>A2.6.2.1.2</w:t>
            </w:r>
            <w:r w:rsidRPr="00873686">
              <w:t xml:space="preserve"> </w:t>
            </w:r>
            <w:r w:rsidR="00F4718A" w:rsidRPr="00873686">
              <w:t>y</w:t>
            </w:r>
            <w:r w:rsidRPr="00873686">
              <w:t xml:space="preserve"> así se acordó</w:t>
            </w:r>
            <w:r w:rsidR="00F7371B" w:rsidRPr="00873686">
              <w:t>.</w:t>
            </w:r>
            <w:r w:rsidR="009424AC" w:rsidRPr="00873686">
              <w:t xml:space="preserve"> El</w:t>
            </w:r>
            <w:r w:rsidR="00F7371B" w:rsidRPr="00873686">
              <w:t xml:space="preserve"> §</w:t>
            </w:r>
            <w:r w:rsidR="004A62A6">
              <w:t> </w:t>
            </w:r>
            <w:r w:rsidR="00F7371B" w:rsidRPr="00873686">
              <w:t xml:space="preserve">A2.6.2.2.3.6 </w:t>
            </w:r>
            <w:r w:rsidR="009424AC" w:rsidRPr="00873686">
              <w:t>se modificó de conformidad con el texto presentado fuera de línea</w:t>
            </w:r>
            <w:r w:rsidR="00F7371B" w:rsidRPr="00873686">
              <w:t xml:space="preserve">. </w:t>
            </w:r>
            <w:r w:rsidR="009424AC" w:rsidRPr="00873686">
              <w:t>La AR invitó al GAR a identificar posibles modificaciones de la Resolución</w:t>
            </w:r>
            <w:r w:rsidR="00F7371B" w:rsidRPr="00873686">
              <w:t xml:space="preserve"> </w:t>
            </w:r>
            <w:r w:rsidR="009424AC" w:rsidRPr="00873686">
              <w:t>UIT</w:t>
            </w:r>
            <w:r w:rsidR="00F7371B" w:rsidRPr="00873686">
              <w:t xml:space="preserve">-R 1 </w:t>
            </w:r>
            <w:r w:rsidR="009424AC" w:rsidRPr="00873686">
              <w:t>con respecto a los procedimientos de aprobación cuando un texto es pertinente para los temas de varias CE</w:t>
            </w:r>
            <w:r w:rsidR="00F7371B" w:rsidRPr="00873686">
              <w:t xml:space="preserve">. </w:t>
            </w:r>
            <w:r w:rsidR="009424AC" w:rsidRPr="00873686">
              <w:t>La AR acordó asimismo que deberían distribuirse las objeciones recibidas durante el proceso de aprobación</w:t>
            </w:r>
            <w:r w:rsidR="00F7371B" w:rsidRPr="00873686">
              <w:t>.</w:t>
            </w:r>
          </w:p>
        </w:tc>
        <w:tc>
          <w:tcPr>
            <w:tcW w:w="1287" w:type="pct"/>
          </w:tcPr>
          <w:p w14:paraId="6A6F9566" w14:textId="6DDDEC70" w:rsidR="00F7371B" w:rsidRPr="00873686" w:rsidRDefault="00F7371B" w:rsidP="00F7371B">
            <w:pPr>
              <w:jc w:val="center"/>
            </w:pPr>
            <w:r w:rsidRPr="00873686">
              <w:lastRenderedPageBreak/>
              <w:t>PLEN/</w:t>
            </w:r>
            <w:hyperlink r:id="rId12" w:history="1">
              <w:r w:rsidRPr="00873686">
                <w:rPr>
                  <w:rStyle w:val="Hyperlink"/>
                </w:rPr>
                <w:t>63</w:t>
              </w:r>
            </w:hyperlink>
            <w:r w:rsidRPr="00873686">
              <w:t xml:space="preserve">, </w:t>
            </w:r>
            <w:hyperlink r:id="rId13" w:history="1">
              <w:r w:rsidRPr="00873686">
                <w:rPr>
                  <w:rStyle w:val="Hyperlink"/>
                </w:rPr>
                <w:t>70</w:t>
              </w:r>
            </w:hyperlink>
            <w:r w:rsidRPr="00873686">
              <w:t xml:space="preserve">, </w:t>
            </w:r>
            <w:hyperlink r:id="rId14" w:history="1">
              <w:r w:rsidRPr="00873686">
                <w:rPr>
                  <w:rStyle w:val="Hyperlink"/>
                </w:rPr>
                <w:t>71</w:t>
              </w:r>
            </w:hyperlink>
            <w:r w:rsidRPr="00873686">
              <w:t xml:space="preserve">, </w:t>
            </w:r>
            <w:hyperlink r:id="rId15" w:history="1">
              <w:r w:rsidRPr="00873686">
                <w:rPr>
                  <w:rStyle w:val="Hyperlink"/>
                </w:rPr>
                <w:t>73</w:t>
              </w:r>
            </w:hyperlink>
          </w:p>
        </w:tc>
      </w:tr>
      <w:tr w:rsidR="00F7371B" w:rsidRPr="00873686" w14:paraId="51A47BB0" w14:textId="77777777" w:rsidTr="007F21E6">
        <w:tc>
          <w:tcPr>
            <w:tcW w:w="227" w:type="pct"/>
          </w:tcPr>
          <w:p w14:paraId="41F058C2" w14:textId="77777777" w:rsidR="00F7371B" w:rsidRPr="00873686" w:rsidRDefault="00F7371B" w:rsidP="00F7371B">
            <w:pPr>
              <w:rPr>
                <w:b/>
              </w:rPr>
            </w:pPr>
            <w:r w:rsidRPr="00873686">
              <w:rPr>
                <w:b/>
              </w:rPr>
              <w:t>6</w:t>
            </w:r>
          </w:p>
        </w:tc>
        <w:tc>
          <w:tcPr>
            <w:tcW w:w="3486" w:type="pct"/>
          </w:tcPr>
          <w:p w14:paraId="3C89D0AF" w14:textId="4C0E408E" w:rsidR="00F7371B" w:rsidRPr="00873686" w:rsidRDefault="003D5436" w:rsidP="003D5436">
            <w:r w:rsidRPr="00873686">
              <w:t xml:space="preserve">Grupo de </w:t>
            </w:r>
            <w:r w:rsidR="004A62A6">
              <w:t>r</w:t>
            </w:r>
            <w:r w:rsidRPr="00873686">
              <w:t>edacción sobre la Recomendación UIT-R [IMT-EESS] de la Comisión de Estudio</w:t>
            </w:r>
            <w:r w:rsidR="00873686" w:rsidRPr="00873686">
              <w:t> </w:t>
            </w:r>
            <w:r w:rsidRPr="00873686">
              <w:t>7</w:t>
            </w:r>
          </w:p>
          <w:p w14:paraId="0E17AAFC" w14:textId="4B58B2BF" w:rsidR="00F7371B" w:rsidRPr="00873686" w:rsidRDefault="006836DF" w:rsidP="006836DF">
            <w:r w:rsidRPr="00873686">
              <w:t>En el Documento</w:t>
            </w:r>
            <w:r w:rsidR="00F7371B" w:rsidRPr="00873686">
              <w:t xml:space="preserve"> PLEN/75 </w:t>
            </w:r>
            <w:r w:rsidRPr="00873686">
              <w:t>figura el siguiente texto</w:t>
            </w:r>
            <w:r w:rsidR="00F7371B" w:rsidRPr="00873686">
              <w:t>:</w:t>
            </w:r>
            <w:r w:rsidR="00F7371B" w:rsidRPr="00873686">
              <w:br/>
            </w:r>
            <w:r w:rsidRPr="00873686">
              <w:t>«El proyecto de Recomendación UIT-R [IMT-EESS/SRS COORDINATION] elaborado por la Comisión de Estudio (CE)</w:t>
            </w:r>
            <w:r w:rsidR="00873686">
              <w:t> </w:t>
            </w:r>
            <w:r w:rsidRPr="00873686">
              <w:t>7 se envió para su adopción por correspondencia, pero no se adoptó como se describe en la Sección 5 del Documento 7/1001.</w:t>
            </w:r>
          </w:p>
          <w:p w14:paraId="3D073E1E" w14:textId="77777777" w:rsidR="00F7371B" w:rsidRPr="00873686" w:rsidRDefault="006836DF" w:rsidP="00F7371B">
            <w:r w:rsidRPr="00873686">
              <w:t>Algunas de las administraciones en la AR-19 propusieron que se examinara esa Recomendación para su aprobación, ya que consideraban que estaba suficientemente madura y era un elemento importante para facilitar la decisión que podría adoptar la CMR-19 en relación con el punto 1.13 del orden del día</w:t>
            </w:r>
            <w:r w:rsidR="00F7371B" w:rsidRPr="00873686">
              <w:t>.</w:t>
            </w:r>
          </w:p>
          <w:p w14:paraId="59E6E40E" w14:textId="75580476" w:rsidR="00F7371B" w:rsidRPr="00873686" w:rsidRDefault="006836DF" w:rsidP="006836DF">
            <w:r w:rsidRPr="00873686">
              <w:lastRenderedPageBreak/>
              <w:t>Otras manifestaron su preocupación y oposición a la aprobación de esa Recomendación en la AR 19, ya que consideraban que la metodología utilizada en el proyecto de Recomendación UIT-R podía no dar resultados exactos en cuanto al tamaño de la zona de coordinación. Esas últimas administraciones subrayaron la necesidad de seguir trabajando en la CE</w:t>
            </w:r>
            <w:r w:rsidR="00873686" w:rsidRPr="00873686">
              <w:t> </w:t>
            </w:r>
            <w:r w:rsidRPr="00873686">
              <w:t>7 y de mejorar la coordinación con la CE</w:t>
            </w:r>
            <w:r w:rsidR="00873686" w:rsidRPr="00873686">
              <w:t> </w:t>
            </w:r>
            <w:r w:rsidRPr="00873686">
              <w:t>5 antes de la aprobación final, ya que el Grupo de Trabajo (GT)</w:t>
            </w:r>
            <w:r w:rsidR="00873686" w:rsidRPr="00873686">
              <w:t> </w:t>
            </w:r>
            <w:r w:rsidRPr="00873686">
              <w:t>5D había manifestado su preocupación antes de iniciar el procedimiento de adopción por correspondencia y esta no se tuvo plenamente en cuenta</w:t>
            </w:r>
            <w:r w:rsidR="00F7371B" w:rsidRPr="00873686">
              <w:t>.</w:t>
            </w:r>
          </w:p>
          <w:p w14:paraId="09C7E127" w14:textId="5996A353" w:rsidR="00F7371B" w:rsidRPr="00873686" w:rsidRDefault="006836DF" w:rsidP="008E34BF">
            <w:r w:rsidRPr="00873686">
              <w:t>Sobre la base de las opiniones anteriores, la AR-19 llegó a la conclusión de que era necesario que la CE</w:t>
            </w:r>
            <w:r w:rsidR="00873686" w:rsidRPr="00873686">
              <w:t> </w:t>
            </w:r>
            <w:r w:rsidRPr="00873686">
              <w:t>7 siguiera trabajando en esa Recomendación</w:t>
            </w:r>
            <w:bookmarkStart w:id="0" w:name="_GoBack"/>
            <w:bookmarkEnd w:id="0"/>
            <w:r w:rsidRPr="00873686">
              <w:t>. Por lo tanto, la AR-19 encarga a la CE</w:t>
            </w:r>
            <w:r w:rsidR="00873686" w:rsidRPr="00873686">
              <w:t> </w:t>
            </w:r>
            <w:r w:rsidRPr="00873686">
              <w:t>7, en estrecha cooperación con la CE</w:t>
            </w:r>
            <w:r w:rsidR="00873686" w:rsidRPr="00873686">
              <w:t> </w:t>
            </w:r>
            <w:r w:rsidRPr="00873686">
              <w:t xml:space="preserve">5 </w:t>
            </w:r>
            <w:r w:rsidR="008E34BF" w:rsidRPr="00873686">
              <w:t>para</w:t>
            </w:r>
            <w:r w:rsidRPr="00873686">
              <w:t xml:space="preserve"> la elaboración de la Recomendación y teniendo en cuenta las contribuciones que reciba la CE</w:t>
            </w:r>
            <w:r w:rsidR="00873686" w:rsidRPr="00873686">
              <w:t> </w:t>
            </w:r>
            <w:r w:rsidRPr="00873686">
              <w:t>3, que vuelva a trabajar lo antes posible en ese proyecto de Recomendación durante el próximo ciclo de estudios, teniendo en cuenta los resultados de la CMR</w:t>
            </w:r>
            <w:r w:rsidR="004A62A6">
              <w:t>-</w:t>
            </w:r>
            <w:r w:rsidRPr="00873686">
              <w:t>19, que haga todo lo posible por concluir su labor sobre ese proyecto de Recomendación</w:t>
            </w:r>
            <w:r w:rsidR="00DE1D86" w:rsidRPr="00873686">
              <w:t>, en la medida posible,</w:t>
            </w:r>
            <w:r w:rsidRPr="00873686">
              <w:t xml:space="preserve"> para la primera reunión de la </w:t>
            </w:r>
            <w:r w:rsidR="00873686" w:rsidRPr="00873686">
              <w:t>CE </w:t>
            </w:r>
            <w:r w:rsidRPr="00873686">
              <w:t>7 de 2021</w:t>
            </w:r>
            <w:r w:rsidR="00DE1D86" w:rsidRPr="00873686">
              <w:t xml:space="preserve">, y que inicie su adopción y aprobación en consulta con la </w:t>
            </w:r>
            <w:r w:rsidR="00873686" w:rsidRPr="00873686">
              <w:t>CE </w:t>
            </w:r>
            <w:r w:rsidR="00DE1D86" w:rsidRPr="00873686">
              <w:t>5</w:t>
            </w:r>
            <w:r w:rsidRPr="00873686">
              <w:t>. De ser necesario, podrán efectuarse futuras revisiones de esa Recomendación</w:t>
            </w:r>
            <w:r w:rsidR="00DE1D86" w:rsidRPr="00873686">
              <w:t>, cuando proceda</w:t>
            </w:r>
            <w:r w:rsidR="00A12510">
              <w:t>»</w:t>
            </w:r>
            <w:r w:rsidRPr="00873686">
              <w:t>.</w:t>
            </w:r>
            <w:r w:rsidR="00F7371B" w:rsidRPr="00873686">
              <w:t xml:space="preserve"> </w:t>
            </w:r>
            <w:r w:rsidR="00DE1D86" w:rsidRPr="00873686">
              <w:t>Así se acordó en la reunión.</w:t>
            </w:r>
          </w:p>
        </w:tc>
        <w:tc>
          <w:tcPr>
            <w:tcW w:w="1287" w:type="pct"/>
          </w:tcPr>
          <w:p w14:paraId="54155681" w14:textId="29B0E9C8" w:rsidR="00F7371B" w:rsidRPr="00873686" w:rsidRDefault="00F7371B" w:rsidP="00F7371B">
            <w:pPr>
              <w:jc w:val="center"/>
            </w:pPr>
            <w:r w:rsidRPr="00873686">
              <w:lastRenderedPageBreak/>
              <w:t>PLEN/</w:t>
            </w:r>
            <w:hyperlink r:id="rId16" w:history="1">
              <w:r w:rsidRPr="00873686">
                <w:rPr>
                  <w:rStyle w:val="Hyperlink"/>
                </w:rPr>
                <w:t>75</w:t>
              </w:r>
            </w:hyperlink>
          </w:p>
        </w:tc>
      </w:tr>
      <w:tr w:rsidR="00F7371B" w:rsidRPr="00873686" w14:paraId="58A50D02" w14:textId="77777777" w:rsidTr="007F21E6">
        <w:tc>
          <w:tcPr>
            <w:tcW w:w="227" w:type="pct"/>
          </w:tcPr>
          <w:p w14:paraId="2E29ED33" w14:textId="77777777" w:rsidR="00F7371B" w:rsidRPr="00873686" w:rsidRDefault="00F7371B" w:rsidP="00F7371B">
            <w:pPr>
              <w:rPr>
                <w:b/>
              </w:rPr>
            </w:pPr>
            <w:r w:rsidRPr="00873686">
              <w:rPr>
                <w:b/>
              </w:rPr>
              <w:t>7</w:t>
            </w:r>
          </w:p>
        </w:tc>
        <w:tc>
          <w:tcPr>
            <w:tcW w:w="3486" w:type="pct"/>
          </w:tcPr>
          <w:p w14:paraId="197D8456" w14:textId="77777777" w:rsidR="00F7371B" w:rsidRPr="00873686" w:rsidRDefault="00834551" w:rsidP="00F7371B">
            <w:r w:rsidRPr="00873686">
              <w:t>Grupo ad hoc Plen-1</w:t>
            </w:r>
          </w:p>
          <w:p w14:paraId="7F4AA3AA" w14:textId="203E9D16" w:rsidR="00F7371B" w:rsidRPr="00873686" w:rsidRDefault="00834551" w:rsidP="008E34BF">
            <w:r w:rsidRPr="00873686">
              <w:t xml:space="preserve">En el </w:t>
            </w:r>
            <w:r w:rsidR="00F7371B" w:rsidRPr="00873686">
              <w:t>Document</w:t>
            </w:r>
            <w:r w:rsidRPr="00873686">
              <w:t>o</w:t>
            </w:r>
            <w:r w:rsidR="00F7371B" w:rsidRPr="00873686">
              <w:t xml:space="preserve"> PLEN/76 </w:t>
            </w:r>
            <w:r w:rsidRPr="00873686">
              <w:t>figura el proyecto de revisión de la Recomendación</w:t>
            </w:r>
            <w:r w:rsidR="00F7371B" w:rsidRPr="00873686">
              <w:t xml:space="preserve"> </w:t>
            </w:r>
            <w:r w:rsidR="004A62A6">
              <w:t>UIT</w:t>
            </w:r>
            <w:r w:rsidR="00F7371B" w:rsidRPr="00873686">
              <w:t xml:space="preserve">-R M.1036-5. </w:t>
            </w:r>
            <w:r w:rsidRPr="00873686">
              <w:t>Una cuestión pendiente</w:t>
            </w:r>
            <w:r w:rsidR="008E34BF" w:rsidRPr="00873686">
              <w:t xml:space="preserve"> de decidir </w:t>
            </w:r>
            <w:r w:rsidR="00C10780" w:rsidRPr="00873686">
              <w:t xml:space="preserve">se refiere a la posible adición de una nota al pie en el Adjunto 1 o en otra parte del documento, donde se explique que el Adjunto 1 no pertenece a la parte del </w:t>
            </w:r>
            <w:r w:rsidR="00C10780" w:rsidRPr="00873686">
              <w:rPr>
                <w:i/>
                <w:iCs/>
              </w:rPr>
              <w:t>recomienda</w:t>
            </w:r>
            <w:r w:rsidR="00C10780" w:rsidRPr="00873686">
              <w:t xml:space="preserve"> sino que se considera una parte descriptiva de la Recomendación. En la reunión se acordó introducir esta modificación y se aprobó la Recomendación en el entendimiento de que el Adjunto 1 no pertenece a la parte del </w:t>
            </w:r>
            <w:r w:rsidR="00C10780" w:rsidRPr="00873686">
              <w:rPr>
                <w:i/>
                <w:iCs/>
              </w:rPr>
              <w:t xml:space="preserve">recomienda </w:t>
            </w:r>
            <w:r w:rsidR="00C10780" w:rsidRPr="00873686">
              <w:t xml:space="preserve">sino que es una parte descriptiva de la Recomendación. La Administración de Australia propuso añadir formalmente el Informe </w:t>
            </w:r>
            <w:r w:rsidR="00F7371B" w:rsidRPr="00873686">
              <w:t xml:space="preserve">M.2841 </w:t>
            </w:r>
            <w:r w:rsidR="00C10780" w:rsidRPr="00873686">
              <w:t>a la lista de documentos a que se hace referencia en el texto. Se aprobó la Recomendación en su totalidad con estas modificaciones.</w:t>
            </w:r>
          </w:p>
        </w:tc>
        <w:tc>
          <w:tcPr>
            <w:tcW w:w="1287" w:type="pct"/>
          </w:tcPr>
          <w:p w14:paraId="6D75BB73" w14:textId="16B6F2D4" w:rsidR="00F7371B" w:rsidRPr="00873686" w:rsidRDefault="00F7371B" w:rsidP="00F7371B">
            <w:pPr>
              <w:jc w:val="center"/>
            </w:pPr>
            <w:r w:rsidRPr="00873686">
              <w:t>PLEN/</w:t>
            </w:r>
            <w:hyperlink r:id="rId17" w:history="1">
              <w:r w:rsidRPr="00873686">
                <w:rPr>
                  <w:rStyle w:val="Hyperlink"/>
                </w:rPr>
                <w:t>76</w:t>
              </w:r>
            </w:hyperlink>
          </w:p>
        </w:tc>
      </w:tr>
      <w:tr w:rsidR="00F7371B" w:rsidRPr="00873686" w14:paraId="1247602C" w14:textId="77777777" w:rsidTr="007F21E6">
        <w:tc>
          <w:tcPr>
            <w:tcW w:w="227" w:type="pct"/>
          </w:tcPr>
          <w:p w14:paraId="4EF0E4A9" w14:textId="77777777" w:rsidR="00F7371B" w:rsidRPr="00873686" w:rsidRDefault="00F7371B" w:rsidP="00F7371B">
            <w:pPr>
              <w:rPr>
                <w:b/>
              </w:rPr>
            </w:pPr>
            <w:r w:rsidRPr="00873686">
              <w:rPr>
                <w:b/>
              </w:rPr>
              <w:t>8</w:t>
            </w:r>
          </w:p>
        </w:tc>
        <w:tc>
          <w:tcPr>
            <w:tcW w:w="3486" w:type="pct"/>
          </w:tcPr>
          <w:p w14:paraId="0A81068F" w14:textId="77777777" w:rsidR="00F7371B" w:rsidRPr="00873686" w:rsidRDefault="00C10780" w:rsidP="00C10780">
            <w:r w:rsidRPr="00873686">
              <w:t xml:space="preserve">Lista de Resoluciones UIT-R </w:t>
            </w:r>
            <w:r w:rsidR="00F7371B" w:rsidRPr="00873686">
              <w:t>(</w:t>
            </w:r>
            <w:r w:rsidRPr="00873686">
              <w:t>AR</w:t>
            </w:r>
            <w:r w:rsidR="00F7371B" w:rsidRPr="00873686">
              <w:t>-19)</w:t>
            </w:r>
          </w:p>
          <w:p w14:paraId="12E5434A" w14:textId="77777777" w:rsidR="00F7371B" w:rsidRPr="00873686" w:rsidRDefault="00C10780" w:rsidP="00C10780">
            <w:r w:rsidRPr="00873686">
              <w:t xml:space="preserve">En la reunión se presentó y aprobó el </w:t>
            </w:r>
            <w:r w:rsidR="00F7371B" w:rsidRPr="00873686">
              <w:t>Document</w:t>
            </w:r>
            <w:r w:rsidRPr="00873686">
              <w:t>o</w:t>
            </w:r>
            <w:r w:rsidR="00F7371B" w:rsidRPr="00873686">
              <w:t xml:space="preserve"> PLEN/77.</w:t>
            </w:r>
          </w:p>
        </w:tc>
        <w:tc>
          <w:tcPr>
            <w:tcW w:w="1287" w:type="pct"/>
          </w:tcPr>
          <w:p w14:paraId="00532F39" w14:textId="7A58A032" w:rsidR="00F7371B" w:rsidRPr="00873686" w:rsidRDefault="00F7371B" w:rsidP="00F7371B">
            <w:pPr>
              <w:jc w:val="center"/>
            </w:pPr>
            <w:r w:rsidRPr="00873686">
              <w:t>PLEN/</w:t>
            </w:r>
            <w:hyperlink r:id="rId18" w:history="1">
              <w:r w:rsidRPr="00873686">
                <w:rPr>
                  <w:rStyle w:val="Hyperlink"/>
                </w:rPr>
                <w:t>77</w:t>
              </w:r>
            </w:hyperlink>
          </w:p>
        </w:tc>
      </w:tr>
      <w:tr w:rsidR="00F7371B" w:rsidRPr="00873686" w14:paraId="767413AC" w14:textId="77777777" w:rsidTr="007F21E6">
        <w:tc>
          <w:tcPr>
            <w:tcW w:w="227" w:type="pct"/>
          </w:tcPr>
          <w:p w14:paraId="57412FE2" w14:textId="77777777" w:rsidR="00F7371B" w:rsidRPr="00873686" w:rsidRDefault="00F7371B" w:rsidP="007F21E6">
            <w:pPr>
              <w:rPr>
                <w:b/>
              </w:rPr>
            </w:pPr>
            <w:r w:rsidRPr="00873686">
              <w:rPr>
                <w:b/>
              </w:rPr>
              <w:t>9</w:t>
            </w:r>
          </w:p>
        </w:tc>
        <w:tc>
          <w:tcPr>
            <w:tcW w:w="3486" w:type="pct"/>
          </w:tcPr>
          <w:p w14:paraId="7AD6C646" w14:textId="2F0883FA" w:rsidR="00F7371B" w:rsidRPr="00873686" w:rsidRDefault="00C10780" w:rsidP="007F21E6">
            <w:pPr>
              <w:tabs>
                <w:tab w:val="left" w:pos="567"/>
              </w:tabs>
              <w:spacing w:before="80"/>
            </w:pPr>
            <w:r w:rsidRPr="00873686">
              <w:t>Informe del Presidente del CCV</w:t>
            </w:r>
          </w:p>
          <w:p w14:paraId="1C81614B" w14:textId="77777777" w:rsidR="00F7371B" w:rsidRPr="00873686" w:rsidRDefault="00C10780" w:rsidP="007F21E6">
            <w:pPr>
              <w:tabs>
                <w:tab w:val="left" w:pos="567"/>
              </w:tabs>
              <w:spacing w:before="80"/>
            </w:pPr>
            <w:r w:rsidRPr="00873686">
              <w:t xml:space="preserve">El Presidente del </w:t>
            </w:r>
            <w:r w:rsidR="00F7371B" w:rsidRPr="00873686">
              <w:t xml:space="preserve">CCV </w:t>
            </w:r>
            <w:r w:rsidRPr="00873686">
              <w:t xml:space="preserve">presentó su informe sobre las actividades del </w:t>
            </w:r>
            <w:r w:rsidR="00F7371B" w:rsidRPr="00873686">
              <w:t xml:space="preserve">CCV </w:t>
            </w:r>
            <w:r w:rsidRPr="00873686">
              <w:t>en el último ciclo de la CE</w:t>
            </w:r>
            <w:r w:rsidR="00F7371B" w:rsidRPr="00873686">
              <w:t>.</w:t>
            </w:r>
          </w:p>
          <w:p w14:paraId="2A7E4972" w14:textId="02950179" w:rsidR="00F7371B" w:rsidRPr="00873686" w:rsidRDefault="00C10780" w:rsidP="007F21E6">
            <w:r w:rsidRPr="00873686">
              <w:t xml:space="preserve">El contenido de los </w:t>
            </w:r>
            <w:r w:rsidR="00F7371B" w:rsidRPr="00873686">
              <w:t>Document</w:t>
            </w:r>
            <w:r w:rsidRPr="00873686">
              <w:t>o</w:t>
            </w:r>
            <w:r w:rsidR="00F7371B" w:rsidRPr="00873686">
              <w:t>s CCV/</w:t>
            </w:r>
            <w:r w:rsidR="00F7371B" w:rsidRPr="00426CA7">
              <w:t>1002</w:t>
            </w:r>
            <w:r w:rsidR="00F7371B" w:rsidRPr="00873686">
              <w:t xml:space="preserve">, </w:t>
            </w:r>
            <w:r w:rsidR="00F7371B" w:rsidRPr="00426CA7">
              <w:t>1003</w:t>
            </w:r>
            <w:r w:rsidR="00F7371B" w:rsidRPr="00873686">
              <w:t xml:space="preserve"> </w:t>
            </w:r>
            <w:r w:rsidRPr="00873686">
              <w:t>y</w:t>
            </w:r>
            <w:r w:rsidR="00F7371B" w:rsidRPr="00873686">
              <w:t xml:space="preserve"> </w:t>
            </w:r>
            <w:r w:rsidR="00F7371B" w:rsidRPr="00426CA7">
              <w:t>1004</w:t>
            </w:r>
            <w:r w:rsidR="00F7371B" w:rsidRPr="00426CA7">
              <w:rPr>
                <w:rStyle w:val="Hyperlink"/>
                <w:color w:val="auto"/>
                <w:u w:val="none"/>
              </w:rPr>
              <w:t xml:space="preserve"> </w:t>
            </w:r>
            <w:r w:rsidRPr="00426CA7">
              <w:rPr>
                <w:rStyle w:val="Hyperlink"/>
                <w:color w:val="auto"/>
                <w:u w:val="none"/>
              </w:rPr>
              <w:t>será tratado por la Secretaría para generar una nueva Resolución</w:t>
            </w:r>
            <w:r w:rsidR="00F7371B" w:rsidRPr="00426CA7">
              <w:rPr>
                <w:rStyle w:val="Hyperlink"/>
                <w:color w:val="auto"/>
                <w:u w:val="none"/>
              </w:rPr>
              <w:t xml:space="preserve"> 4.</w:t>
            </w:r>
          </w:p>
        </w:tc>
        <w:tc>
          <w:tcPr>
            <w:tcW w:w="1287" w:type="pct"/>
          </w:tcPr>
          <w:p w14:paraId="49D47407" w14:textId="169F52B5" w:rsidR="00F7371B" w:rsidRPr="00873686" w:rsidRDefault="00F7371B" w:rsidP="007F21E6">
            <w:pPr>
              <w:jc w:val="center"/>
            </w:pPr>
            <w:r w:rsidRPr="00873686">
              <w:t>CCV/</w:t>
            </w:r>
            <w:hyperlink r:id="rId19" w:history="1">
              <w:r w:rsidRPr="00873686">
                <w:rPr>
                  <w:rStyle w:val="Hyperlink"/>
                </w:rPr>
                <w:t>1001</w:t>
              </w:r>
            </w:hyperlink>
            <w:r w:rsidRPr="00873686">
              <w:t xml:space="preserve">, </w:t>
            </w:r>
            <w:hyperlink r:id="rId20" w:history="1">
              <w:r w:rsidRPr="00873686">
                <w:rPr>
                  <w:rStyle w:val="Hyperlink"/>
                </w:rPr>
                <w:t>1002</w:t>
              </w:r>
            </w:hyperlink>
            <w:r w:rsidRPr="00873686">
              <w:t xml:space="preserve">, </w:t>
            </w:r>
            <w:hyperlink r:id="rId21" w:history="1">
              <w:r w:rsidRPr="00873686">
                <w:rPr>
                  <w:rStyle w:val="Hyperlink"/>
                </w:rPr>
                <w:t>1003</w:t>
              </w:r>
            </w:hyperlink>
            <w:r w:rsidRPr="00873686">
              <w:t xml:space="preserve">, </w:t>
            </w:r>
            <w:hyperlink r:id="rId22" w:history="1">
              <w:r w:rsidRPr="00873686">
                <w:rPr>
                  <w:rStyle w:val="Hyperlink"/>
                </w:rPr>
                <w:t>1004</w:t>
              </w:r>
            </w:hyperlink>
          </w:p>
        </w:tc>
      </w:tr>
      <w:tr w:rsidR="00F7371B" w:rsidRPr="00873686" w14:paraId="136E869C" w14:textId="77777777" w:rsidTr="007F21E6">
        <w:tc>
          <w:tcPr>
            <w:tcW w:w="227" w:type="pct"/>
            <w:shd w:val="clear" w:color="auto" w:fill="auto"/>
          </w:tcPr>
          <w:p w14:paraId="5E23933C" w14:textId="77777777" w:rsidR="00F7371B" w:rsidRPr="00873686" w:rsidRDefault="00F7371B" w:rsidP="007F21E6">
            <w:pPr>
              <w:keepNext/>
              <w:keepLines/>
              <w:rPr>
                <w:b/>
              </w:rPr>
            </w:pPr>
            <w:r w:rsidRPr="00873686">
              <w:rPr>
                <w:b/>
              </w:rPr>
              <w:lastRenderedPageBreak/>
              <w:t>10</w:t>
            </w:r>
          </w:p>
        </w:tc>
        <w:tc>
          <w:tcPr>
            <w:tcW w:w="3486" w:type="pct"/>
            <w:shd w:val="clear" w:color="auto" w:fill="auto"/>
          </w:tcPr>
          <w:p w14:paraId="15D4586A" w14:textId="77777777" w:rsidR="00F7371B" w:rsidRPr="00873686" w:rsidRDefault="00C10780" w:rsidP="007F21E6">
            <w:pPr>
              <w:keepNext/>
              <w:keepLines/>
            </w:pPr>
            <w:r w:rsidRPr="00873686">
              <w:t>Otros asuntos</w:t>
            </w:r>
          </w:p>
          <w:p w14:paraId="0E509867" w14:textId="77777777" w:rsidR="00F7371B" w:rsidRPr="00873686" w:rsidRDefault="00990D24" w:rsidP="007F21E6">
            <w:pPr>
              <w:keepNext/>
              <w:keepLines/>
            </w:pPr>
            <w:r w:rsidRPr="00873686">
              <w:t xml:space="preserve">A continuación se indican </w:t>
            </w:r>
            <w:r w:rsidR="00C10780" w:rsidRPr="00873686">
              <w:t>las candidaturas a los puestos de Presidente y Vicepresidente del GAR y de la RPC</w:t>
            </w:r>
            <w:r w:rsidRPr="00873686">
              <w:t>:</w:t>
            </w:r>
          </w:p>
          <w:p w14:paraId="44F35C3E" w14:textId="77777777" w:rsidR="00F7371B" w:rsidRPr="00873686" w:rsidRDefault="00F7371B" w:rsidP="007F21E6">
            <w:pPr>
              <w:keepNext/>
              <w:keepLines/>
            </w:pPr>
          </w:p>
          <w:tbl>
            <w:tblPr>
              <w:tblStyle w:val="TableGrid"/>
              <w:tblpPr w:leftFromText="180" w:rightFromText="180" w:vertAnchor="text" w:horzAnchor="margin" w:tblpX="210" w:tblpY="2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8"/>
              <w:gridCol w:w="4439"/>
            </w:tblGrid>
            <w:tr w:rsidR="00F7371B" w:rsidRPr="00873686" w14:paraId="300D8DB9" w14:textId="77777777" w:rsidTr="00240E4D">
              <w:trPr>
                <w:trHeight w:val="288"/>
              </w:trPr>
              <w:tc>
                <w:tcPr>
                  <w:tcW w:w="1888" w:type="dxa"/>
                  <w:shd w:val="clear" w:color="auto" w:fill="auto"/>
                  <w:noWrap/>
                  <w:hideMark/>
                </w:tcPr>
                <w:p w14:paraId="47269289" w14:textId="77777777" w:rsidR="00F7371B" w:rsidRPr="00873686" w:rsidRDefault="00990D24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b/>
                      <w:sz w:val="22"/>
                      <w:szCs w:val="24"/>
                      <w:lang w:eastAsia="zh-CN"/>
                    </w:rPr>
                  </w:pPr>
                  <w:r w:rsidRPr="00873686">
                    <w:rPr>
                      <w:rFonts w:cs="Times New Roman"/>
                      <w:b/>
                      <w:szCs w:val="24"/>
                    </w:rPr>
                    <w:t>RPC</w:t>
                  </w:r>
                </w:p>
              </w:tc>
              <w:tc>
                <w:tcPr>
                  <w:tcW w:w="4439" w:type="dxa"/>
                  <w:shd w:val="clear" w:color="auto" w:fill="auto"/>
                  <w:noWrap/>
                </w:tcPr>
                <w:p w14:paraId="2DD06DB5" w14:textId="77777777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</w:p>
              </w:tc>
            </w:tr>
            <w:tr w:rsidR="00F7371B" w:rsidRPr="00873686" w14:paraId="7DDF7B63" w14:textId="77777777" w:rsidTr="00240E4D">
              <w:trPr>
                <w:trHeight w:val="288"/>
              </w:trPr>
              <w:tc>
                <w:tcPr>
                  <w:tcW w:w="1888" w:type="dxa"/>
                  <w:noWrap/>
                  <w:hideMark/>
                </w:tcPr>
                <w:p w14:paraId="1302CB4D" w14:textId="77777777" w:rsidR="00F7371B" w:rsidRPr="00873686" w:rsidRDefault="00990D24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>Presidente</w:t>
                  </w:r>
                </w:p>
              </w:tc>
              <w:tc>
                <w:tcPr>
                  <w:tcW w:w="4439" w:type="dxa"/>
                  <w:noWrap/>
                  <w:hideMark/>
                </w:tcPr>
                <w:p w14:paraId="6D3DFB52" w14:textId="5B6EF9CB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>Sra.</w:t>
                  </w:r>
                  <w:r w:rsidR="00F7371B" w:rsidRPr="00873686">
                    <w:rPr>
                      <w:rFonts w:cs="Times New Roman"/>
                      <w:szCs w:val="24"/>
                    </w:rPr>
                    <w:t xml:space="preserve"> C.-L. Cook (</w:t>
                  </w:r>
                  <w:r w:rsidR="00990D24" w:rsidRPr="00873686">
                    <w:rPr>
                      <w:rFonts w:cs="Times New Roman"/>
                      <w:szCs w:val="24"/>
                    </w:rPr>
                    <w:t>Canadá</w:t>
                  </w:r>
                  <w:r w:rsidR="00F7371B"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873686" w14:paraId="5B3E58D0" w14:textId="77777777" w:rsidTr="00240E4D">
              <w:trPr>
                <w:trHeight w:val="288"/>
              </w:trPr>
              <w:tc>
                <w:tcPr>
                  <w:tcW w:w="1888" w:type="dxa"/>
                  <w:noWrap/>
                  <w:hideMark/>
                </w:tcPr>
                <w:p w14:paraId="018D75E3" w14:textId="77777777" w:rsidR="00F7371B" w:rsidRPr="00873686" w:rsidRDefault="00F7371B" w:rsidP="00240E4D">
                  <w:pPr>
                    <w:keepNext/>
                    <w:keepLines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>Vice</w:t>
                  </w:r>
                  <w:r w:rsidR="00990D24" w:rsidRPr="00873686">
                    <w:rPr>
                      <w:rFonts w:cs="Times New Roman"/>
                      <w:szCs w:val="24"/>
                    </w:rPr>
                    <w:t>presidentes</w:t>
                  </w:r>
                </w:p>
              </w:tc>
              <w:tc>
                <w:tcPr>
                  <w:tcW w:w="4439" w:type="dxa"/>
                  <w:noWrap/>
                  <w:hideMark/>
                </w:tcPr>
                <w:p w14:paraId="2AF02EC0" w14:textId="5FFA9318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>Dr</w:t>
                  </w:r>
                  <w:r w:rsidR="008E34BF" w:rsidRPr="00873686">
                    <w:rPr>
                      <w:rFonts w:cs="Times New Roman"/>
                      <w:szCs w:val="24"/>
                    </w:rPr>
                    <w:t>.</w:t>
                  </w:r>
                  <w:r w:rsidRPr="00873686">
                    <w:rPr>
                      <w:rFonts w:cs="Times New Roman"/>
                      <w:szCs w:val="24"/>
                    </w:rPr>
                    <w:t xml:space="preserve"> M.A. Abaga Abessolo (</w:t>
                  </w:r>
                  <w:r w:rsidR="00990D24" w:rsidRPr="00873686">
                    <w:rPr>
                      <w:rFonts w:cs="Times New Roman"/>
                      <w:szCs w:val="24"/>
                    </w:rPr>
                    <w:t>Gabón</w:t>
                  </w:r>
                  <w:r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873686" w14:paraId="1DC3466D" w14:textId="77777777" w:rsidTr="00240E4D">
              <w:trPr>
                <w:trHeight w:val="288"/>
              </w:trPr>
              <w:tc>
                <w:tcPr>
                  <w:tcW w:w="1888" w:type="dxa"/>
                  <w:noWrap/>
                </w:tcPr>
                <w:p w14:paraId="01E1F979" w14:textId="77777777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439" w:type="dxa"/>
                  <w:noWrap/>
                  <w:hideMark/>
                </w:tcPr>
                <w:p w14:paraId="552C40EA" w14:textId="2AE9D7D6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>Dr</w:t>
                  </w:r>
                  <w:r w:rsidR="008E34BF" w:rsidRPr="00873686">
                    <w:rPr>
                      <w:rFonts w:cs="Times New Roman"/>
                      <w:szCs w:val="24"/>
                    </w:rPr>
                    <w:t>.</w:t>
                  </w:r>
                  <w:r w:rsidRPr="00873686">
                    <w:rPr>
                      <w:rFonts w:cs="Times New Roman"/>
                      <w:szCs w:val="24"/>
                    </w:rPr>
                    <w:t xml:space="preserve"> M.A. El-Moghazi (</w:t>
                  </w:r>
                  <w:r w:rsidR="00990D24" w:rsidRPr="00873686">
                    <w:rPr>
                      <w:rFonts w:cs="Times New Roman"/>
                      <w:szCs w:val="24"/>
                    </w:rPr>
                    <w:t>Egipto</w:t>
                  </w:r>
                  <w:r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873686" w14:paraId="5D75E0E3" w14:textId="77777777" w:rsidTr="00240E4D">
              <w:trPr>
                <w:trHeight w:val="288"/>
              </w:trPr>
              <w:tc>
                <w:tcPr>
                  <w:tcW w:w="1888" w:type="dxa"/>
                  <w:noWrap/>
                </w:tcPr>
                <w:p w14:paraId="67717FEA" w14:textId="77777777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szCs w:val="24"/>
                    </w:rPr>
                  </w:pPr>
                </w:p>
              </w:tc>
              <w:tc>
                <w:tcPr>
                  <w:tcW w:w="4439" w:type="dxa"/>
                  <w:noWrap/>
                </w:tcPr>
                <w:p w14:paraId="08451651" w14:textId="17B7FEBB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>S</w:t>
                  </w:r>
                  <w:r w:rsidR="00F7371B" w:rsidRPr="00873686">
                    <w:rPr>
                      <w:rFonts w:cs="Times New Roman"/>
                      <w:szCs w:val="24"/>
                    </w:rPr>
                    <w:t>r</w:t>
                  </w:r>
                  <w:r w:rsidRPr="00873686">
                    <w:rPr>
                      <w:rFonts w:cs="Times New Roman"/>
                      <w:szCs w:val="24"/>
                    </w:rPr>
                    <w:t>.</w:t>
                  </w:r>
                  <w:r w:rsidR="00F7371B" w:rsidRPr="00873686">
                    <w:rPr>
                      <w:rFonts w:cs="Times New Roman"/>
                      <w:szCs w:val="24"/>
                    </w:rPr>
                    <w:t xml:space="preserve"> A. Kühn (</w:t>
                  </w:r>
                  <w:r w:rsidR="00990D24" w:rsidRPr="00873686">
                    <w:rPr>
                      <w:rFonts w:cs="Times New Roman"/>
                      <w:szCs w:val="24"/>
                    </w:rPr>
                    <w:t>Alemania</w:t>
                  </w:r>
                  <w:r w:rsidR="00F7371B"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A12510" w14:paraId="15E5FC8F" w14:textId="77777777" w:rsidTr="00240E4D">
              <w:trPr>
                <w:trHeight w:val="288"/>
              </w:trPr>
              <w:tc>
                <w:tcPr>
                  <w:tcW w:w="1888" w:type="dxa"/>
                  <w:noWrap/>
                </w:tcPr>
                <w:p w14:paraId="0E415EE7" w14:textId="77777777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4439" w:type="dxa"/>
                  <w:noWrap/>
                  <w:hideMark/>
                </w:tcPr>
                <w:p w14:paraId="7CE26FBF" w14:textId="08B41BF6" w:rsidR="00F7371B" w:rsidRPr="00A12510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  <w:lang w:val="en-US"/>
                    </w:rPr>
                  </w:pPr>
                  <w:r w:rsidRPr="00A12510">
                    <w:rPr>
                      <w:rFonts w:cs="Times New Roman"/>
                      <w:szCs w:val="24"/>
                      <w:lang w:val="en-US"/>
                    </w:rPr>
                    <w:t>Dr</w:t>
                  </w:r>
                  <w:r w:rsidR="008E34BF" w:rsidRPr="00A12510">
                    <w:rPr>
                      <w:rFonts w:cs="Times New Roman"/>
                      <w:szCs w:val="24"/>
                      <w:lang w:val="en-US"/>
                    </w:rPr>
                    <w:t>.</w:t>
                  </w:r>
                  <w:r w:rsidRPr="00A12510">
                    <w:rPr>
                      <w:rFonts w:cs="Times New Roman"/>
                      <w:szCs w:val="24"/>
                      <w:lang w:val="en-US"/>
                    </w:rPr>
                    <w:t xml:space="preserve"> J. Lim (</w:t>
                  </w:r>
                  <w:r w:rsidR="00990D24" w:rsidRPr="00A12510">
                    <w:rPr>
                      <w:rFonts w:cs="Times New Roman"/>
                      <w:szCs w:val="24"/>
                      <w:lang w:val="en-US"/>
                    </w:rPr>
                    <w:t>C</w:t>
                  </w:r>
                  <w:r w:rsidRPr="00A12510">
                    <w:rPr>
                      <w:rFonts w:cs="Times New Roman"/>
                      <w:szCs w:val="24"/>
                      <w:lang w:val="en-US"/>
                    </w:rPr>
                    <w:t xml:space="preserve">orea (Rep. </w:t>
                  </w:r>
                  <w:r w:rsidR="00990D24" w:rsidRPr="00A12510">
                    <w:rPr>
                      <w:rFonts w:cs="Times New Roman"/>
                      <w:szCs w:val="24"/>
                      <w:lang w:val="en-US"/>
                    </w:rPr>
                    <w:t>de</w:t>
                  </w:r>
                  <w:r w:rsidRPr="00A12510">
                    <w:rPr>
                      <w:rFonts w:cs="Times New Roman"/>
                      <w:szCs w:val="24"/>
                      <w:lang w:val="en-US"/>
                    </w:rPr>
                    <w:t>))</w:t>
                  </w:r>
                </w:p>
              </w:tc>
            </w:tr>
            <w:tr w:rsidR="00F7371B" w:rsidRPr="00873686" w14:paraId="264B9B85" w14:textId="77777777" w:rsidTr="00240E4D">
              <w:trPr>
                <w:trHeight w:val="288"/>
              </w:trPr>
              <w:tc>
                <w:tcPr>
                  <w:tcW w:w="1888" w:type="dxa"/>
                </w:tcPr>
                <w:p w14:paraId="3316AB54" w14:textId="77777777" w:rsidR="00F7371B" w:rsidRPr="00A12510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  <w:lang w:val="en-US"/>
                    </w:rPr>
                  </w:pPr>
                </w:p>
              </w:tc>
              <w:tc>
                <w:tcPr>
                  <w:tcW w:w="4439" w:type="dxa"/>
                  <w:noWrap/>
                  <w:hideMark/>
                </w:tcPr>
                <w:p w14:paraId="07B783E5" w14:textId="00A15F8C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>Dr</w:t>
                  </w:r>
                  <w:r w:rsidR="008E34BF" w:rsidRPr="00873686">
                    <w:rPr>
                      <w:rFonts w:cs="Times New Roman"/>
                      <w:szCs w:val="24"/>
                    </w:rPr>
                    <w:t>.</w:t>
                  </w:r>
                  <w:r w:rsidRPr="00873686">
                    <w:rPr>
                      <w:rFonts w:cs="Times New Roman"/>
                      <w:szCs w:val="24"/>
                    </w:rPr>
                    <w:t xml:space="preserve"> S. Pastukh (</w:t>
                  </w:r>
                  <w:r w:rsidR="00990D24" w:rsidRPr="00873686">
                    <w:rPr>
                      <w:rFonts w:cs="Times New Roman"/>
                      <w:szCs w:val="24"/>
                    </w:rPr>
                    <w:t>Federación de Rusia</w:t>
                  </w:r>
                  <w:r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873686" w14:paraId="729D3D88" w14:textId="77777777" w:rsidTr="00240E4D">
              <w:trPr>
                <w:trHeight w:val="288"/>
              </w:trPr>
              <w:tc>
                <w:tcPr>
                  <w:tcW w:w="1888" w:type="dxa"/>
                  <w:hideMark/>
                </w:tcPr>
                <w:p w14:paraId="3D9A010D" w14:textId="77777777" w:rsidR="00F7371B" w:rsidRPr="00873686" w:rsidRDefault="00F7371B" w:rsidP="00240E4D">
                  <w:pPr>
                    <w:keepNext/>
                    <w:keepLines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4439" w:type="dxa"/>
                  <w:noWrap/>
                  <w:hideMark/>
                </w:tcPr>
                <w:p w14:paraId="5827315A" w14:textId="79599DE7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>Sra.</w:t>
                  </w:r>
                  <w:r w:rsidR="00F7371B" w:rsidRPr="00873686">
                    <w:rPr>
                      <w:rFonts w:cs="Times New Roman"/>
                      <w:szCs w:val="24"/>
                    </w:rPr>
                    <w:t xml:space="preserve"> K. Zhu (China)</w:t>
                  </w:r>
                </w:p>
              </w:tc>
            </w:tr>
          </w:tbl>
          <w:tbl>
            <w:tblPr>
              <w:tblStyle w:val="TableGrid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8"/>
              <w:gridCol w:w="4415"/>
            </w:tblGrid>
            <w:tr w:rsidR="00F7371B" w:rsidRPr="00873686" w14:paraId="001A2094" w14:textId="77777777" w:rsidTr="00240E4D">
              <w:trPr>
                <w:trHeight w:val="288"/>
                <w:jc w:val="center"/>
              </w:trPr>
              <w:tc>
                <w:tcPr>
                  <w:tcW w:w="6303" w:type="dxa"/>
                  <w:gridSpan w:val="2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154E8391" w14:textId="1FD7E4DB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b/>
                      <w:szCs w:val="24"/>
                      <w:highlight w:val="yellow"/>
                    </w:rPr>
                  </w:pPr>
                  <w:r w:rsidRPr="00873686">
                    <w:rPr>
                      <w:rFonts w:cs="Times New Roman"/>
                      <w:b/>
                      <w:szCs w:val="24"/>
                    </w:rPr>
                    <w:t>GAR</w:t>
                  </w:r>
                </w:p>
              </w:tc>
            </w:tr>
            <w:tr w:rsidR="00F7371B" w:rsidRPr="00873686" w14:paraId="74F585F2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  <w:noWrap/>
                  <w:hideMark/>
                </w:tcPr>
                <w:p w14:paraId="05608B83" w14:textId="3F3F1C82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>Presidente</w:t>
                  </w: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63D4C77A" w14:textId="201F5A72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>Sr.</w:t>
                  </w:r>
                  <w:r w:rsidR="00F7371B" w:rsidRPr="00873686">
                    <w:rPr>
                      <w:rFonts w:cs="Times New Roman"/>
                      <w:szCs w:val="24"/>
                    </w:rPr>
                    <w:t xml:space="preserve"> D.O. Obam (Kenya)</w:t>
                  </w:r>
                </w:p>
              </w:tc>
            </w:tr>
            <w:tr w:rsidR="00F7371B" w:rsidRPr="00873686" w14:paraId="7C5797CD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  <w:hideMark/>
                </w:tcPr>
                <w:p w14:paraId="0A207AD2" w14:textId="6415D855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>Vicepresidentes</w:t>
                  </w: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1B147EF7" w14:textId="487E8625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 xml:space="preserve">Sr. </w:t>
                  </w:r>
                  <w:r w:rsidR="00F7371B" w:rsidRPr="00873686">
                    <w:rPr>
                      <w:rFonts w:cs="Times New Roman"/>
                      <w:szCs w:val="24"/>
                    </w:rPr>
                    <w:t>E.H. Abdouramane (Camer</w:t>
                  </w:r>
                  <w:r w:rsidR="00990D24" w:rsidRPr="00873686">
                    <w:rPr>
                      <w:rFonts w:cs="Times New Roman"/>
                      <w:szCs w:val="24"/>
                    </w:rPr>
                    <w:t>ú</w:t>
                  </w:r>
                  <w:r w:rsidR="00F7371B" w:rsidRPr="00873686">
                    <w:rPr>
                      <w:rFonts w:cs="Times New Roman"/>
                      <w:szCs w:val="24"/>
                    </w:rPr>
                    <w:t>n)</w:t>
                  </w:r>
                </w:p>
              </w:tc>
            </w:tr>
            <w:tr w:rsidR="00F7371B" w:rsidRPr="00873686" w14:paraId="5F392D7D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</w:tcPr>
                <w:p w14:paraId="47679E04" w14:textId="77777777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6D25D3BF" w14:textId="7BBE6F2B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 xml:space="preserve">Sr. </w:t>
                  </w:r>
                  <w:r w:rsidR="00F7371B" w:rsidRPr="00873686">
                    <w:rPr>
                      <w:rFonts w:cs="Times New Roman"/>
                      <w:szCs w:val="24"/>
                    </w:rPr>
                    <w:t>M. Alkahtani (</w:t>
                  </w:r>
                  <w:r w:rsidR="00990D24" w:rsidRPr="00873686">
                    <w:rPr>
                      <w:rFonts w:cs="Times New Roman"/>
                      <w:szCs w:val="24"/>
                    </w:rPr>
                    <w:t>Arabia Saudita</w:t>
                  </w:r>
                  <w:r w:rsidR="00F7371B"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873686" w14:paraId="6309A09F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</w:tcPr>
                <w:p w14:paraId="2F92EBDA" w14:textId="77777777" w:rsidR="00F7371B" w:rsidRPr="004A62A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  <w:lang w:val="es-ES"/>
                    </w:rPr>
                  </w:pP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326EE310" w14:textId="21C62F94" w:rsidR="00F7371B" w:rsidRPr="00873686" w:rsidRDefault="008E34BF" w:rsidP="004A62A6">
                  <w:pPr>
                    <w:keepNext/>
                    <w:keepLines/>
                    <w:spacing w:before="40" w:after="40"/>
                    <w:ind w:left="167" w:hanging="28"/>
                    <w:rPr>
                      <w:rFonts w:cs="Times New Roman"/>
                      <w:szCs w:val="24"/>
                      <w:highlight w:val="yellow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 xml:space="preserve">Dr. </w:t>
                  </w:r>
                  <w:r w:rsidR="00F7371B" w:rsidRPr="00873686">
                    <w:rPr>
                      <w:rFonts w:cs="Times New Roman"/>
                      <w:szCs w:val="24"/>
                    </w:rPr>
                    <w:t>M.S. AlMuathen (</w:t>
                  </w:r>
                  <w:r w:rsidR="00990D24" w:rsidRPr="00873686">
                    <w:rPr>
                      <w:rFonts w:cs="Times New Roman"/>
                      <w:szCs w:val="24"/>
                    </w:rPr>
                    <w:t>Emiratos Árabes Unidos</w:t>
                  </w:r>
                  <w:r w:rsidR="00F7371B"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873686" w14:paraId="7211293F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</w:tcPr>
                <w:p w14:paraId="0363DC5E" w14:textId="77777777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2909A524" w14:textId="63867AE6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 xml:space="preserve">Sr. </w:t>
                  </w:r>
                  <w:r w:rsidR="00F7371B" w:rsidRPr="00873686">
                    <w:rPr>
                      <w:rFonts w:cs="Times New Roman"/>
                      <w:szCs w:val="24"/>
                    </w:rPr>
                    <w:t>T. Ewers (</w:t>
                  </w:r>
                  <w:r w:rsidR="00990D24" w:rsidRPr="00873686">
                    <w:rPr>
                      <w:rFonts w:cs="Times New Roman"/>
                      <w:szCs w:val="24"/>
                    </w:rPr>
                    <w:t>Alemania</w:t>
                  </w:r>
                  <w:r w:rsidR="00F7371B"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873686" w14:paraId="5B1EC103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bottom w:val="nil"/>
                    <w:right w:val="nil"/>
                  </w:tcBorders>
                  <w:hideMark/>
                </w:tcPr>
                <w:p w14:paraId="1768478E" w14:textId="77777777" w:rsidR="00F7371B" w:rsidRPr="00873686" w:rsidRDefault="00F7371B" w:rsidP="00240E4D">
                  <w:pPr>
                    <w:keepNext/>
                    <w:keepLines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168DDB32" w14:textId="78EDD254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 xml:space="preserve">Sr. </w:t>
                  </w:r>
                  <w:r w:rsidR="00F7371B" w:rsidRPr="00873686">
                    <w:rPr>
                      <w:rFonts w:cs="Times New Roman"/>
                      <w:szCs w:val="24"/>
                    </w:rPr>
                    <w:t>S. Harutunyan (Armenia)</w:t>
                  </w:r>
                </w:p>
              </w:tc>
            </w:tr>
            <w:tr w:rsidR="00F7371B" w:rsidRPr="00873686" w14:paraId="2BF0AFD2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</w:tcPr>
                <w:p w14:paraId="45DF849A" w14:textId="77777777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2AEEF318" w14:textId="72457E24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 xml:space="preserve">Sr. </w:t>
                  </w:r>
                  <w:r w:rsidR="00F7371B" w:rsidRPr="00873686">
                    <w:rPr>
                      <w:rFonts w:cs="Times New Roman"/>
                      <w:szCs w:val="24"/>
                    </w:rPr>
                    <w:t>D. Ibarra (</w:t>
                  </w:r>
                  <w:r w:rsidR="00990D24" w:rsidRPr="00873686">
                    <w:rPr>
                      <w:rFonts w:cs="Times New Roman"/>
                      <w:szCs w:val="24"/>
                    </w:rPr>
                    <w:t>Estados Unidos</w:t>
                  </w:r>
                  <w:r w:rsidR="00F7371B"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873686" w14:paraId="3AF4D909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  <w:hideMark/>
                </w:tcPr>
                <w:p w14:paraId="4B95C56F" w14:textId="77777777" w:rsidR="00F7371B" w:rsidRPr="00873686" w:rsidRDefault="00F7371B" w:rsidP="00240E4D">
                  <w:pPr>
                    <w:keepNext/>
                    <w:keepLines/>
                    <w:ind w:firstLine="139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4BC40B5D" w14:textId="25743157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 xml:space="preserve">Dra. </w:t>
                  </w:r>
                  <w:r w:rsidR="00F7371B" w:rsidRPr="00873686">
                    <w:rPr>
                      <w:rFonts w:cs="Times New Roman"/>
                      <w:szCs w:val="24"/>
                    </w:rPr>
                    <w:t>L. Luisa La Franceschina (Ital</w:t>
                  </w:r>
                  <w:r w:rsidR="00990D24" w:rsidRPr="00873686">
                    <w:rPr>
                      <w:rFonts w:cs="Times New Roman"/>
                      <w:szCs w:val="24"/>
                    </w:rPr>
                    <w:t>ia</w:t>
                  </w:r>
                  <w:r w:rsidR="00F7371B"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873686" w14:paraId="67DAC321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</w:tcPr>
                <w:p w14:paraId="5E36F779" w14:textId="77777777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7DC0C88D" w14:textId="318E7B2E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 xml:space="preserve">Sr. </w:t>
                  </w:r>
                  <w:r w:rsidR="00F7371B" w:rsidRPr="00873686">
                    <w:rPr>
                      <w:rFonts w:cs="Times New Roman"/>
                      <w:szCs w:val="24"/>
                    </w:rPr>
                    <w:t>V. Martínez Vanegas (</w:t>
                  </w:r>
                  <w:r w:rsidR="00990D24" w:rsidRPr="00873686">
                    <w:rPr>
                      <w:rFonts w:cs="Times New Roman"/>
                      <w:szCs w:val="24"/>
                    </w:rPr>
                    <w:t>México</w:t>
                  </w:r>
                  <w:r w:rsidR="00F7371B"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873686" w14:paraId="44E36B96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</w:tcPr>
                <w:p w14:paraId="4E7CB735" w14:textId="77777777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218D4D83" w14:textId="3EC5052C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 xml:space="preserve">Sr. </w:t>
                  </w:r>
                  <w:r w:rsidR="00F7371B" w:rsidRPr="00873686">
                    <w:rPr>
                      <w:rFonts w:cs="Times New Roman"/>
                      <w:szCs w:val="24"/>
                    </w:rPr>
                    <w:t>A.K. Nwaulune (Nigeria)</w:t>
                  </w:r>
                </w:p>
              </w:tc>
            </w:tr>
            <w:tr w:rsidR="00F7371B" w:rsidRPr="00873686" w14:paraId="7B1179D2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</w:tcPr>
                <w:p w14:paraId="63A340E4" w14:textId="77777777" w:rsidR="00F7371B" w:rsidRPr="00873686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08FD5E25" w14:textId="48F4D1E6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 xml:space="preserve">Sr. </w:t>
                  </w:r>
                  <w:r w:rsidR="00F7371B" w:rsidRPr="00873686">
                    <w:rPr>
                      <w:rFonts w:cs="Times New Roman"/>
                      <w:szCs w:val="24"/>
                    </w:rPr>
                    <w:t>A. Vassiliev (</w:t>
                  </w:r>
                  <w:r w:rsidR="00990D24" w:rsidRPr="00873686">
                    <w:rPr>
                      <w:rFonts w:cs="Times New Roman"/>
                      <w:szCs w:val="24"/>
                    </w:rPr>
                    <w:t>Federación de Rusia</w:t>
                  </w:r>
                  <w:r w:rsidR="00F7371B" w:rsidRPr="00873686">
                    <w:rPr>
                      <w:rFonts w:cs="Times New Roman"/>
                      <w:szCs w:val="24"/>
                    </w:rPr>
                    <w:t>)</w:t>
                  </w:r>
                </w:p>
              </w:tc>
            </w:tr>
            <w:tr w:rsidR="00F7371B" w:rsidRPr="00A12510" w14:paraId="1E3B14A3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  <w:hideMark/>
                </w:tcPr>
                <w:p w14:paraId="687B58F5" w14:textId="77777777" w:rsidR="00F7371B" w:rsidRPr="00873686" w:rsidRDefault="00F7371B" w:rsidP="00240E4D">
                  <w:pPr>
                    <w:keepNext/>
                    <w:keepLines/>
                    <w:ind w:firstLine="139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5F10AFF4" w14:textId="0797D565" w:rsidR="00F7371B" w:rsidRPr="00A12510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lang w:val="en-US"/>
                    </w:rPr>
                  </w:pPr>
                  <w:r w:rsidRPr="00A12510">
                    <w:rPr>
                      <w:rFonts w:cs="Times New Roman"/>
                      <w:szCs w:val="24"/>
                      <w:lang w:val="en-US"/>
                    </w:rPr>
                    <w:t xml:space="preserve">Dr. </w:t>
                  </w:r>
                  <w:r w:rsidR="00F7371B" w:rsidRPr="00A12510">
                    <w:rPr>
                      <w:rFonts w:cs="Times New Roman"/>
                      <w:szCs w:val="24"/>
                      <w:lang w:val="en-US"/>
                    </w:rPr>
                    <w:t>K.-J. Wee (</w:t>
                  </w:r>
                  <w:r w:rsidR="00990D24" w:rsidRPr="00A12510">
                    <w:rPr>
                      <w:rFonts w:cs="Times New Roman"/>
                      <w:szCs w:val="24"/>
                      <w:lang w:val="en-US"/>
                    </w:rPr>
                    <w:t>C</w:t>
                  </w:r>
                  <w:r w:rsidR="00F7371B" w:rsidRPr="00A12510">
                    <w:rPr>
                      <w:rFonts w:cs="Times New Roman"/>
                      <w:szCs w:val="24"/>
                      <w:lang w:val="en-US"/>
                    </w:rPr>
                    <w:t xml:space="preserve">orea (Rep. </w:t>
                  </w:r>
                  <w:r w:rsidR="007833C5" w:rsidRPr="00A12510">
                    <w:rPr>
                      <w:rFonts w:cs="Times New Roman"/>
                      <w:szCs w:val="24"/>
                      <w:lang w:val="en-US"/>
                    </w:rPr>
                    <w:t>de</w:t>
                  </w:r>
                  <w:r w:rsidR="00F7371B" w:rsidRPr="00A12510">
                    <w:rPr>
                      <w:rFonts w:cs="Times New Roman"/>
                      <w:szCs w:val="24"/>
                      <w:lang w:val="en-US"/>
                    </w:rPr>
                    <w:t>))</w:t>
                  </w:r>
                </w:p>
              </w:tc>
            </w:tr>
            <w:tr w:rsidR="00F7371B" w:rsidRPr="00873686" w14:paraId="2EDA15A9" w14:textId="77777777" w:rsidTr="00240E4D">
              <w:trPr>
                <w:trHeight w:val="288"/>
                <w:jc w:val="center"/>
              </w:trPr>
              <w:tc>
                <w:tcPr>
                  <w:tcW w:w="1888" w:type="dxa"/>
                  <w:tcBorders>
                    <w:right w:val="nil"/>
                  </w:tcBorders>
                </w:tcPr>
                <w:p w14:paraId="5B936164" w14:textId="77777777" w:rsidR="00F7371B" w:rsidRPr="00A12510" w:rsidRDefault="00F7371B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  <w:lang w:val="en-US"/>
                    </w:rPr>
                  </w:pPr>
                </w:p>
              </w:tc>
              <w:tc>
                <w:tcPr>
                  <w:tcW w:w="4415" w:type="dxa"/>
                  <w:tcBorders>
                    <w:left w:val="nil"/>
                  </w:tcBorders>
                  <w:noWrap/>
                  <w:hideMark/>
                </w:tcPr>
                <w:p w14:paraId="400C31AA" w14:textId="760883AC" w:rsidR="00F7371B" w:rsidRPr="00873686" w:rsidRDefault="008E34BF" w:rsidP="00240E4D">
                  <w:pPr>
                    <w:keepNext/>
                    <w:keepLines/>
                    <w:spacing w:before="40" w:after="40"/>
                    <w:ind w:firstLine="139"/>
                    <w:rPr>
                      <w:rFonts w:cs="Times New Roman"/>
                      <w:szCs w:val="24"/>
                      <w:highlight w:val="yellow"/>
                    </w:rPr>
                  </w:pPr>
                  <w:r w:rsidRPr="00873686">
                    <w:rPr>
                      <w:rFonts w:cs="Times New Roman"/>
                      <w:szCs w:val="24"/>
                    </w:rPr>
                    <w:t xml:space="preserve">Sr. </w:t>
                  </w:r>
                  <w:r w:rsidR="00F7371B" w:rsidRPr="00873686">
                    <w:rPr>
                      <w:rFonts w:cs="Times New Roman"/>
                      <w:szCs w:val="24"/>
                    </w:rPr>
                    <w:t>Y. Xie (China)</w:t>
                  </w:r>
                </w:p>
              </w:tc>
            </w:tr>
          </w:tbl>
          <w:p w14:paraId="7F7DB222" w14:textId="472821C0" w:rsidR="00F7371B" w:rsidRPr="00873686" w:rsidRDefault="000147E0" w:rsidP="004A62A6">
            <w:pPr>
              <w:pStyle w:val="Reasons"/>
              <w:keepNext/>
              <w:keepLines/>
              <w:ind w:firstLine="2"/>
            </w:pPr>
            <w:r w:rsidRPr="00873686">
              <w:t>El debate relativo a la presidencia de la RPC</w:t>
            </w:r>
            <w:r w:rsidR="00F7371B" w:rsidRPr="00873686">
              <w:t xml:space="preserve">-23 </w:t>
            </w:r>
            <w:r w:rsidRPr="00873686">
              <w:t>concluyó con la intención de considerar favorablemente la candidatura de la</w:t>
            </w:r>
            <w:r w:rsidR="00F7371B" w:rsidRPr="00873686">
              <w:t xml:space="preserve"> CEPT, </w:t>
            </w:r>
            <w:r w:rsidRPr="00873686">
              <w:t>y en particular de</w:t>
            </w:r>
            <w:r w:rsidR="00F7371B" w:rsidRPr="00873686">
              <w:t xml:space="preserve"> </w:t>
            </w:r>
            <w:r w:rsidRPr="00873686">
              <w:t>Alemania</w:t>
            </w:r>
            <w:r w:rsidR="00F7371B" w:rsidRPr="00873686">
              <w:t xml:space="preserve">, </w:t>
            </w:r>
            <w:r w:rsidRPr="00873686">
              <w:t>si se presenta</w:t>
            </w:r>
            <w:r w:rsidR="00F7371B" w:rsidRPr="00873686">
              <w:t xml:space="preserve">, </w:t>
            </w:r>
            <w:r w:rsidRPr="00873686">
              <w:t>para el siguiente ciclo de estudios</w:t>
            </w:r>
            <w:r w:rsidR="00F7371B" w:rsidRPr="00873686">
              <w:t>.</w:t>
            </w:r>
          </w:p>
          <w:p w14:paraId="1427B5F8" w14:textId="306F3319" w:rsidR="00F7371B" w:rsidRPr="00873686" w:rsidRDefault="000147E0" w:rsidP="007F21E6">
            <w:pPr>
              <w:pStyle w:val="Reasons"/>
              <w:keepNext/>
              <w:keepLines/>
            </w:pPr>
            <w:r w:rsidRPr="00873686">
              <w:t>El Presidente de la COM 3 recordó a la reunión que los trabajos de la Comisión proseguirán tras el final de la Asamblea en una sesión única el sábado a las 09.30 horas para armonizar la labor en las seis lenguas</w:t>
            </w:r>
            <w:r w:rsidR="00F7371B" w:rsidRPr="00873686">
              <w:t>.</w:t>
            </w:r>
          </w:p>
        </w:tc>
        <w:tc>
          <w:tcPr>
            <w:tcW w:w="1287" w:type="pct"/>
            <w:shd w:val="clear" w:color="auto" w:fill="auto"/>
          </w:tcPr>
          <w:p w14:paraId="527CA90F" w14:textId="77777777" w:rsidR="00F7371B" w:rsidRPr="00873686" w:rsidRDefault="00F7371B" w:rsidP="007F21E6">
            <w:pPr>
              <w:keepNext/>
              <w:keepLines/>
              <w:jc w:val="center"/>
            </w:pPr>
            <w:r w:rsidRPr="00873686">
              <w:t>-</w:t>
            </w:r>
          </w:p>
        </w:tc>
      </w:tr>
      <w:tr w:rsidR="00F7371B" w:rsidRPr="00873686" w14:paraId="0714498E" w14:textId="77777777" w:rsidTr="007F21E6">
        <w:tc>
          <w:tcPr>
            <w:tcW w:w="227" w:type="pct"/>
            <w:shd w:val="clear" w:color="auto" w:fill="auto"/>
          </w:tcPr>
          <w:p w14:paraId="122EC034" w14:textId="77777777" w:rsidR="00F7371B" w:rsidRPr="00873686" w:rsidRDefault="00F7371B" w:rsidP="00F7371B">
            <w:pPr>
              <w:rPr>
                <w:b/>
              </w:rPr>
            </w:pPr>
          </w:p>
        </w:tc>
        <w:tc>
          <w:tcPr>
            <w:tcW w:w="4773" w:type="pct"/>
            <w:gridSpan w:val="2"/>
            <w:shd w:val="clear" w:color="auto" w:fill="auto"/>
          </w:tcPr>
          <w:p w14:paraId="269040D7" w14:textId="73DAF4EE" w:rsidR="00873686" w:rsidRPr="00873686" w:rsidRDefault="000147E0" w:rsidP="000147E0">
            <w:r w:rsidRPr="00873686">
              <w:t xml:space="preserve">El Presidente levantó la sesión a las </w:t>
            </w:r>
            <w:r w:rsidR="00F7371B" w:rsidRPr="00873686">
              <w:t>16</w:t>
            </w:r>
            <w:r w:rsidRPr="00873686">
              <w:t>.</w:t>
            </w:r>
            <w:r w:rsidR="00F7371B" w:rsidRPr="00873686">
              <w:t>00 ho</w:t>
            </w:r>
            <w:r w:rsidRPr="00873686">
              <w:t>ras</w:t>
            </w:r>
            <w:r w:rsidR="00F7371B" w:rsidRPr="00873686">
              <w:t>.</w:t>
            </w:r>
          </w:p>
        </w:tc>
      </w:tr>
    </w:tbl>
    <w:p w14:paraId="074FA3DC" w14:textId="24700755" w:rsidR="00873686" w:rsidRPr="00873686" w:rsidRDefault="00873686" w:rsidP="00873686"/>
    <w:p w14:paraId="154DE074" w14:textId="77777777" w:rsidR="00873686" w:rsidRPr="00873686" w:rsidRDefault="00873686" w:rsidP="00873686">
      <w:pPr>
        <w:tabs>
          <w:tab w:val="clear" w:pos="1134"/>
          <w:tab w:val="clear" w:pos="1871"/>
          <w:tab w:val="clear" w:pos="2268"/>
          <w:tab w:val="left" w:pos="7371"/>
          <w:tab w:val="left" w:pos="7513"/>
          <w:tab w:val="left" w:pos="7655"/>
        </w:tabs>
      </w:pPr>
      <w:r w:rsidRPr="00873686">
        <w:tab/>
        <w:t>S. PASTUKH</w:t>
      </w:r>
    </w:p>
    <w:p w14:paraId="4AAACE9E" w14:textId="4F248AA5" w:rsidR="00143A49" w:rsidRPr="00873686" w:rsidRDefault="00873686" w:rsidP="00873686">
      <w:pPr>
        <w:tabs>
          <w:tab w:val="clear" w:pos="1134"/>
          <w:tab w:val="clear" w:pos="1871"/>
          <w:tab w:val="clear" w:pos="2268"/>
          <w:tab w:val="left" w:pos="7230"/>
          <w:tab w:val="left" w:pos="7513"/>
          <w:tab w:val="left" w:pos="7655"/>
        </w:tabs>
        <w:spacing w:before="0"/>
      </w:pPr>
      <w:r w:rsidRPr="00873686">
        <w:tab/>
        <w:t>Presidente, AR-19</w:t>
      </w:r>
    </w:p>
    <w:sectPr w:rsidR="00143A49" w:rsidRPr="00873686" w:rsidSect="0022505D">
      <w:headerReference w:type="default" r:id="rId23"/>
      <w:footerReference w:type="even" r:id="rId24"/>
      <w:footerReference w:type="default" r:id="rId25"/>
      <w:footerReference w:type="first" r:id="rId2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8D664" w14:textId="77777777" w:rsidR="007E5857" w:rsidRDefault="007E5857">
      <w:r>
        <w:separator/>
      </w:r>
    </w:p>
  </w:endnote>
  <w:endnote w:type="continuationSeparator" w:id="0">
    <w:p w14:paraId="37FA2FFD" w14:textId="77777777" w:rsidR="007E5857" w:rsidRDefault="007E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59CA5" w14:textId="2395CB1E" w:rsidR="00020ACE" w:rsidRPr="00271DA3" w:rsidRDefault="00020ACE">
    <w:pPr>
      <w:rPr>
        <w:lang w:val="es-ES"/>
      </w:rPr>
    </w:pPr>
    <w:r>
      <w:fldChar w:fldCharType="begin"/>
    </w:r>
    <w:r w:rsidRPr="00271DA3">
      <w:rPr>
        <w:lang w:val="es-ES"/>
      </w:rPr>
      <w:instrText xml:space="preserve"> FILENAME \p  \* MERGEFORMAT </w:instrText>
    </w:r>
    <w:r>
      <w:fldChar w:fldCharType="separate"/>
    </w:r>
    <w:r w:rsidR="00271DA3">
      <w:rPr>
        <w:noProof/>
        <w:lang w:val="es-ES"/>
      </w:rPr>
      <w:t>P:\ESP\ITU-R\CONF-R\AR19\PLEN\000\084S.docx</w:t>
    </w:r>
    <w:r>
      <w:fldChar w:fldCharType="end"/>
    </w:r>
    <w:r w:rsidRPr="00271DA3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2510">
      <w:rPr>
        <w:noProof/>
      </w:rPr>
      <w:t>01.11.19</w:t>
    </w:r>
    <w:r>
      <w:fldChar w:fldCharType="end"/>
    </w:r>
    <w:r w:rsidRPr="00271DA3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1DA3">
      <w:rPr>
        <w:noProof/>
      </w:rPr>
      <w:t>01.11.19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5F24" w14:textId="073A4737" w:rsidR="0023698B" w:rsidRPr="0023698B" w:rsidRDefault="0023698B" w:rsidP="0023698B">
    <w:pPr>
      <w:pStyle w:val="Footer"/>
      <w:rPr>
        <w:lang w:val="es-ES"/>
      </w:rPr>
    </w:pPr>
    <w:r>
      <w:fldChar w:fldCharType="begin"/>
    </w:r>
    <w:r w:rsidRPr="0023698B">
      <w:rPr>
        <w:lang w:val="es-ES"/>
      </w:rPr>
      <w:instrText xml:space="preserve"> FILENAME \p  \* MERGEFORMAT </w:instrText>
    </w:r>
    <w:r>
      <w:fldChar w:fldCharType="separate"/>
    </w:r>
    <w:r w:rsidR="004A62A6">
      <w:rPr>
        <w:lang w:val="es-ES"/>
      </w:rPr>
      <w:t>P:\ESP\ITU-R\CONF-R\AR19\PLEN\000\084S.docx</w:t>
    </w:r>
    <w:r>
      <w:fldChar w:fldCharType="end"/>
    </w:r>
    <w:r>
      <w:t xml:space="preserve"> (463523)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CF8B7" w14:textId="2400873D" w:rsidR="00020ACE" w:rsidRPr="0023698B" w:rsidRDefault="00143A49" w:rsidP="00143A49">
    <w:pPr>
      <w:pStyle w:val="Footer"/>
      <w:rPr>
        <w:lang w:val="es-ES"/>
      </w:rPr>
    </w:pPr>
    <w:r>
      <w:fldChar w:fldCharType="begin"/>
    </w:r>
    <w:r w:rsidRPr="0023698B">
      <w:rPr>
        <w:lang w:val="es-ES"/>
      </w:rPr>
      <w:instrText xml:space="preserve"> FILENAME \p  \* MERGEFORMAT </w:instrText>
    </w:r>
    <w:r>
      <w:fldChar w:fldCharType="separate"/>
    </w:r>
    <w:r w:rsidR="004A62A6">
      <w:rPr>
        <w:lang w:val="es-ES"/>
      </w:rPr>
      <w:t>P:\ESP\ITU-R\CONF-R\AR19\PLEN\000\084S.docx</w:t>
    </w:r>
    <w:r>
      <w:fldChar w:fldCharType="end"/>
    </w:r>
    <w:r w:rsidR="0023698B">
      <w:t xml:space="preserve"> (463523)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A7DF1" w14:textId="77777777" w:rsidR="007E5857" w:rsidRDefault="007E5857">
      <w:r>
        <w:rPr>
          <w:b/>
        </w:rPr>
        <w:t>_______________</w:t>
      </w:r>
    </w:p>
  </w:footnote>
  <w:footnote w:type="continuationSeparator" w:id="0">
    <w:p w14:paraId="323A48AF" w14:textId="77777777" w:rsidR="007E5857" w:rsidRDefault="007E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6C3D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833C5">
      <w:rPr>
        <w:noProof/>
      </w:rPr>
      <w:t>4</w:t>
    </w:r>
    <w:r>
      <w:fldChar w:fldCharType="end"/>
    </w:r>
  </w:p>
  <w:p w14:paraId="569747DC" w14:textId="74E83670" w:rsidR="0022505D" w:rsidRDefault="0022505D" w:rsidP="0022505D">
    <w:pPr>
      <w:pStyle w:val="Header"/>
    </w:pPr>
    <w:r>
      <w:t>RA19/</w:t>
    </w:r>
    <w:r w:rsidR="00E6452D">
      <w:t>PLEN/84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57"/>
    <w:rsid w:val="00012B52"/>
    <w:rsid w:val="000147E0"/>
    <w:rsid w:val="00016A7C"/>
    <w:rsid w:val="00020ACE"/>
    <w:rsid w:val="000524F2"/>
    <w:rsid w:val="000769D5"/>
    <w:rsid w:val="0011304B"/>
    <w:rsid w:val="00143A49"/>
    <w:rsid w:val="001721DD"/>
    <w:rsid w:val="0022505D"/>
    <w:rsid w:val="00226A2B"/>
    <w:rsid w:val="002334F2"/>
    <w:rsid w:val="0023698B"/>
    <w:rsid w:val="00240E4D"/>
    <w:rsid w:val="00271DA3"/>
    <w:rsid w:val="00283B2D"/>
    <w:rsid w:val="002B6243"/>
    <w:rsid w:val="002F2D68"/>
    <w:rsid w:val="003D5436"/>
    <w:rsid w:val="00426CA7"/>
    <w:rsid w:val="00466F3C"/>
    <w:rsid w:val="004A62A6"/>
    <w:rsid w:val="005335D1"/>
    <w:rsid w:val="0054218C"/>
    <w:rsid w:val="005648DF"/>
    <w:rsid w:val="005C4F7E"/>
    <w:rsid w:val="006050EE"/>
    <w:rsid w:val="006836DF"/>
    <w:rsid w:val="00693CB4"/>
    <w:rsid w:val="006B07B5"/>
    <w:rsid w:val="006D35AB"/>
    <w:rsid w:val="006E22BC"/>
    <w:rsid w:val="007833C5"/>
    <w:rsid w:val="007E5857"/>
    <w:rsid w:val="007F21E6"/>
    <w:rsid w:val="008246E6"/>
    <w:rsid w:val="00824D2E"/>
    <w:rsid w:val="00834551"/>
    <w:rsid w:val="00854C28"/>
    <w:rsid w:val="00873686"/>
    <w:rsid w:val="00891E1E"/>
    <w:rsid w:val="008E02B6"/>
    <w:rsid w:val="008E34BF"/>
    <w:rsid w:val="00934911"/>
    <w:rsid w:val="00936035"/>
    <w:rsid w:val="009424AC"/>
    <w:rsid w:val="009630C4"/>
    <w:rsid w:val="00990D24"/>
    <w:rsid w:val="009E3B42"/>
    <w:rsid w:val="00A12510"/>
    <w:rsid w:val="00AF2A74"/>
    <w:rsid w:val="00AF7660"/>
    <w:rsid w:val="00B33436"/>
    <w:rsid w:val="00B5074A"/>
    <w:rsid w:val="00B91FE2"/>
    <w:rsid w:val="00BA3DBD"/>
    <w:rsid w:val="00BC2EB0"/>
    <w:rsid w:val="00BF1023"/>
    <w:rsid w:val="00C10780"/>
    <w:rsid w:val="00C278F8"/>
    <w:rsid w:val="00CA6083"/>
    <w:rsid w:val="00CD287E"/>
    <w:rsid w:val="00CD4E93"/>
    <w:rsid w:val="00D0269B"/>
    <w:rsid w:val="00D43731"/>
    <w:rsid w:val="00DE1D86"/>
    <w:rsid w:val="00DE35E9"/>
    <w:rsid w:val="00E01901"/>
    <w:rsid w:val="00E307F2"/>
    <w:rsid w:val="00E6452D"/>
    <w:rsid w:val="00E8062F"/>
    <w:rsid w:val="00EB5C7B"/>
    <w:rsid w:val="00F4718A"/>
    <w:rsid w:val="00F7371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5A9F6D"/>
  <w15:docId w15:val="{0DD8FF9E-D5C5-44D2-8C58-7A8D936F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hps">
    <w:name w:val="hps"/>
    <w:basedOn w:val="DefaultParagraphFont"/>
    <w:rsid w:val="00B33436"/>
  </w:style>
  <w:style w:type="character" w:styleId="Hyperlink">
    <w:name w:val="Hyperlink"/>
    <w:basedOn w:val="DefaultParagraphFont"/>
    <w:unhideWhenUsed/>
    <w:rsid w:val="00F7371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7371B"/>
    <w:rPr>
      <w:rFonts w:asciiTheme="minorHAnsi" w:eastAsiaTheme="minorEastAsia" w:hAnsiTheme="minorHAnsi" w:cstheme="minorBid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4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4551"/>
    <w:rPr>
      <w:rFonts w:ascii="Times New Roman" w:hAnsi="Times New Roman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834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4551"/>
    <w:rPr>
      <w:rFonts w:ascii="Segoe UI" w:hAnsi="Segoe UI" w:cs="Segoe UI"/>
      <w:sz w:val="18"/>
      <w:szCs w:val="18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052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ADM-0029/es" TargetMode="External"/><Relationship Id="rId13" Type="http://schemas.openxmlformats.org/officeDocument/2006/relationships/hyperlink" Target="https://www.itu.int/md/R19-RA19-C-0070/es" TargetMode="External"/><Relationship Id="rId18" Type="http://schemas.openxmlformats.org/officeDocument/2006/relationships/hyperlink" Target="https://www.itu.int/md/R19-RA19-C-0077/es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itu.int/md/R15-CCV-RP-1003/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R19-RA19-C-0063/es" TargetMode="External"/><Relationship Id="rId17" Type="http://schemas.openxmlformats.org/officeDocument/2006/relationships/hyperlink" Target="https://www.itu.int/md/R19-RA19-C-0076/e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md/R19-RA19-C-0075/es" TargetMode="External"/><Relationship Id="rId20" Type="http://schemas.openxmlformats.org/officeDocument/2006/relationships/hyperlink" Target="https://www.itu.int/md/R15-CCV-RP-1002/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RA19-C-0074/e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RA19-C-0073/e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R19-RA19-C-0072/es" TargetMode="External"/><Relationship Id="rId19" Type="http://schemas.openxmlformats.org/officeDocument/2006/relationships/hyperlink" Target="https://www.itu.int/md/R15-CCV-RP-1001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C-0069/es" TargetMode="External"/><Relationship Id="rId14" Type="http://schemas.openxmlformats.org/officeDocument/2006/relationships/hyperlink" Target="https://www.itu.int/md/R19-RA19-C-0071/es" TargetMode="External"/><Relationship Id="rId22" Type="http://schemas.openxmlformats.org/officeDocument/2006/relationships/hyperlink" Target="https://www.itu.int/md/R15-CCV-RP-1004/es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a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57</TotalTime>
  <Pages>4</Pages>
  <Words>1430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15</cp:revision>
  <cp:lastPrinted>2019-11-01T07:31:00Z</cp:lastPrinted>
  <dcterms:created xsi:type="dcterms:W3CDTF">2019-11-01T06:21:00Z</dcterms:created>
  <dcterms:modified xsi:type="dcterms:W3CDTF">2019-11-01T09:47:00Z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