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RPr="002959E8" w:rsidTr="000E1D05">
        <w:trPr>
          <w:cantSplit/>
        </w:trPr>
        <w:tc>
          <w:tcPr>
            <w:tcW w:w="6772" w:type="dxa"/>
            <w:vAlign w:val="center"/>
          </w:tcPr>
          <w:p w:rsidR="0057336B" w:rsidRPr="002959E8" w:rsidRDefault="0057336B" w:rsidP="00F77D5F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2959E8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 w:rsidRPr="002959E8">
              <w:rPr>
                <w:b/>
                <w:caps/>
                <w:sz w:val="32"/>
              </w:rPr>
              <w:br/>
            </w:r>
            <w:r w:rsidRPr="002959E8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F77D5F" w:rsidRPr="002959E8">
              <w:rPr>
                <w:rFonts w:ascii="Verdana" w:hAnsi="Verdana" w:cs="Times New Roman Bold"/>
                <w:b/>
                <w:bCs/>
                <w:sz w:val="20"/>
              </w:rPr>
              <w:t>15</w:t>
            </w:r>
            <w:r w:rsidRPr="002959E8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F77D5F" w:rsidRPr="002959E8">
              <w:rPr>
                <w:rFonts w:ascii="Verdana" w:hAnsi="Verdana" w:cs="Times New Roman Bold"/>
                <w:b/>
                <w:bCs/>
                <w:sz w:val="20"/>
              </w:rPr>
              <w:t>17</w:t>
            </w:r>
            <w:r w:rsidRPr="002959E8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F77D5F" w:rsidRPr="002959E8">
              <w:rPr>
                <w:rFonts w:ascii="Verdana" w:hAnsi="Verdana" w:cs="Times New Roman Bold"/>
                <w:b/>
                <w:bCs/>
                <w:sz w:val="20"/>
              </w:rPr>
              <w:t>abril</w:t>
            </w:r>
            <w:r w:rsidRPr="002959E8">
              <w:rPr>
                <w:rFonts w:ascii="Verdana" w:hAnsi="Verdana" w:cs="Times New Roman Bold"/>
                <w:b/>
                <w:bCs/>
                <w:sz w:val="20"/>
              </w:rPr>
              <w:t xml:space="preserve"> de 201</w:t>
            </w:r>
            <w:r w:rsidR="00F77D5F" w:rsidRPr="002959E8">
              <w:rPr>
                <w:rFonts w:ascii="Verdana" w:hAnsi="Verdana" w:cs="Times New Roman Bold"/>
                <w:b/>
                <w:bCs/>
                <w:sz w:val="20"/>
              </w:rPr>
              <w:t>9</w:t>
            </w:r>
          </w:p>
        </w:tc>
        <w:tc>
          <w:tcPr>
            <w:tcW w:w="3117" w:type="dxa"/>
            <w:vAlign w:val="center"/>
          </w:tcPr>
          <w:p w:rsidR="0057336B" w:rsidRPr="002959E8" w:rsidRDefault="0057336B" w:rsidP="008F0106">
            <w:pPr>
              <w:shd w:val="solid" w:color="FFFFFF" w:fill="FFFFFF"/>
              <w:spacing w:before="0"/>
              <w:jc w:val="right"/>
            </w:pPr>
            <w:r w:rsidRPr="002959E8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7320830C" wp14:editId="41505B7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2959E8" w:rsidTr="000E1D05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:rsidR="006E291F" w:rsidRPr="002959E8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2959E8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6E291F" w:rsidRPr="002959E8" w:rsidTr="000E1D05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:rsidR="006E291F" w:rsidRPr="002959E8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6E291F" w:rsidRPr="002959E8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2959E8" w:rsidTr="000E1D05">
        <w:trPr>
          <w:cantSplit/>
        </w:trPr>
        <w:tc>
          <w:tcPr>
            <w:tcW w:w="6772" w:type="dxa"/>
            <w:vMerge w:val="restart"/>
          </w:tcPr>
          <w:p w:rsidR="006E291F" w:rsidRPr="002959E8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:rsidR="00851FDA" w:rsidRDefault="00851FDA" w:rsidP="00851FDA">
            <w:pPr>
              <w:shd w:val="solid" w:color="FFFFFF" w:fill="FFFFFF"/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Revisión 1 al</w:t>
            </w:r>
          </w:p>
          <w:p w:rsidR="006E291F" w:rsidRPr="002959E8" w:rsidRDefault="00434873" w:rsidP="0043487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959E8">
              <w:rPr>
                <w:rFonts w:ascii="Verdana" w:hAnsi="Verdana"/>
                <w:b/>
                <w:sz w:val="20"/>
              </w:rPr>
              <w:t>Addéndum 2 al</w:t>
            </w:r>
            <w:r w:rsidRPr="002959E8">
              <w:rPr>
                <w:rFonts w:ascii="Verdana" w:hAnsi="Verdana"/>
                <w:b/>
                <w:sz w:val="20"/>
              </w:rPr>
              <w:br/>
              <w:t>Documento RAG19/1-S</w:t>
            </w:r>
          </w:p>
        </w:tc>
      </w:tr>
      <w:tr w:rsidR="006E291F" w:rsidRPr="002959E8" w:rsidTr="000E1D05">
        <w:trPr>
          <w:cantSplit/>
        </w:trPr>
        <w:tc>
          <w:tcPr>
            <w:tcW w:w="6772" w:type="dxa"/>
            <w:vMerge/>
          </w:tcPr>
          <w:p w:rsidR="006E291F" w:rsidRPr="002959E8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:rsidR="006E291F" w:rsidRPr="002959E8" w:rsidRDefault="00E47C42" w:rsidP="0043487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</w:t>
            </w:r>
            <w:r w:rsidR="00434873" w:rsidRPr="002959E8">
              <w:rPr>
                <w:rFonts w:ascii="Verdana" w:hAnsi="Verdana"/>
                <w:b/>
                <w:sz w:val="20"/>
              </w:rPr>
              <w:t xml:space="preserve"> de marzo de 2019</w:t>
            </w:r>
          </w:p>
        </w:tc>
      </w:tr>
      <w:tr w:rsidR="006E291F" w:rsidRPr="002959E8" w:rsidTr="000E1D05">
        <w:trPr>
          <w:cantSplit/>
        </w:trPr>
        <w:tc>
          <w:tcPr>
            <w:tcW w:w="6772" w:type="dxa"/>
            <w:vMerge/>
          </w:tcPr>
          <w:p w:rsidR="006E291F" w:rsidRPr="002959E8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:rsidR="006E291F" w:rsidRPr="002959E8" w:rsidRDefault="00434873" w:rsidP="00434873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2959E8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2959E8" w:rsidTr="008F0106">
        <w:trPr>
          <w:cantSplit/>
        </w:trPr>
        <w:tc>
          <w:tcPr>
            <w:tcW w:w="9889" w:type="dxa"/>
            <w:gridSpan w:val="2"/>
          </w:tcPr>
          <w:p w:rsidR="006E291F" w:rsidRPr="002959E8" w:rsidRDefault="001A4AE7" w:rsidP="00CB7A43">
            <w:pPr>
              <w:pStyle w:val="Source"/>
            </w:pPr>
            <w:bookmarkStart w:id="3" w:name="dsource" w:colFirst="0" w:colLast="0"/>
            <w:bookmarkEnd w:id="2"/>
            <w:r w:rsidRPr="002959E8">
              <w:t>Director de la Oficina de Radiocomunicaciones</w:t>
            </w:r>
          </w:p>
        </w:tc>
      </w:tr>
      <w:tr w:rsidR="006E291F" w:rsidRPr="002959E8" w:rsidTr="008F0106">
        <w:trPr>
          <w:cantSplit/>
        </w:trPr>
        <w:tc>
          <w:tcPr>
            <w:tcW w:w="9889" w:type="dxa"/>
            <w:gridSpan w:val="2"/>
          </w:tcPr>
          <w:p w:rsidR="006E291F" w:rsidRPr="002959E8" w:rsidRDefault="001A4AE7" w:rsidP="00CB7A43">
            <w:pPr>
              <w:pStyle w:val="Title1"/>
            </w:pPr>
            <w:bookmarkStart w:id="4" w:name="dtitle1" w:colFirst="0" w:colLast="0"/>
            <w:bookmarkEnd w:id="3"/>
            <w:r w:rsidRPr="002959E8">
              <w:t xml:space="preserve">INFORME A LA VIGÉSIMO sexta REUNIÓN DEL </w:t>
            </w:r>
            <w:r w:rsidRPr="002959E8">
              <w:br/>
              <w:t>GRUPO ASESOR DE RADIOCOMUNICACIONES</w:t>
            </w:r>
          </w:p>
        </w:tc>
      </w:tr>
    </w:tbl>
    <w:bookmarkEnd w:id="4"/>
    <w:p w:rsidR="000E1D05" w:rsidRPr="002959E8" w:rsidRDefault="000E1D05" w:rsidP="000E1D05">
      <w:pPr>
        <w:pStyle w:val="Heading1"/>
      </w:pPr>
      <w:r w:rsidRPr="002959E8">
        <w:t>1</w:t>
      </w:r>
      <w:r w:rsidRPr="002959E8">
        <w:tab/>
        <w:t>Introducción</w:t>
      </w:r>
    </w:p>
    <w:p w:rsidR="000E1D05" w:rsidRPr="002959E8" w:rsidRDefault="000E1D05" w:rsidP="000E1D05">
      <w:r w:rsidRPr="002959E8">
        <w:t>El Plan Operacional cuatrienal renovable del Sector de Radiocomunicaciones (UIT-R) se ha elaborado de conformidad con el Plan Estratégico de la UIT para 2020-2023, dentro de los límites fijados en el Plan Financiero para 2020-2023 y el presupuesto bienal para 2020-2021. La estructura se ajusta al marco de resultados de la UIT y refleja los objetivos del Sector, sus correspondientes resultados y los indicadores para la medición del progreso, así como los productos (artículos y servicios) resultantes de las actividades del Sector y de los facilitadores de la Oficina.</w:t>
      </w:r>
    </w:p>
    <w:p w:rsidR="000E1D05" w:rsidRPr="002959E8" w:rsidRDefault="000E1D05" w:rsidP="000E1D05"/>
    <w:p w:rsidR="001A4AE7" w:rsidRPr="002959E8" w:rsidRDefault="001A4AE7" w:rsidP="00E72EA7">
      <w:pPr>
        <w:pStyle w:val="Normalaftertitle"/>
        <w:sectPr w:rsidR="001A4AE7" w:rsidRPr="002959E8" w:rsidSect="004D6C09">
          <w:headerReference w:type="default" r:id="rId9"/>
          <w:footerReference w:type="default" r:id="rId10"/>
          <w:footerReference w:type="first" r:id="rId1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D49D7" w:rsidRPr="00F852F4" w:rsidRDefault="00FD49D7" w:rsidP="00FD49D7">
      <w:pPr>
        <w:pStyle w:val="Figure"/>
        <w:rPr>
          <w:rFonts w:asciiTheme="minorHAnsi" w:hAnsiTheme="minorHAnsi"/>
          <w:rPrChange w:id="5" w:author="Soriano, Manuel" w:date="2018-04-24T18:04:00Z">
            <w:rPr>
              <w:rFonts w:asciiTheme="minorHAnsi" w:hAnsiTheme="minorHAnsi"/>
              <w:lang w:val="es-ES"/>
            </w:rPr>
          </w:rPrChange>
        </w:rPr>
      </w:pPr>
      <w:r w:rsidRPr="0098025A">
        <w:rPr>
          <w:rFonts w:asciiTheme="minorHAnsi" w:hAnsiTheme="minorHAnsi"/>
          <w:noProof/>
          <w:lang w:val="en-GB" w:eastAsia="zh-CN"/>
        </w:rPr>
        <w:lastRenderedPageBreak/>
        <w:drawing>
          <wp:inline distT="0" distB="0" distL="0" distR="0" wp14:anchorId="019DC840" wp14:editId="1D17F0EE">
            <wp:extent cx="1924050" cy="2115185"/>
            <wp:effectExtent l="0" t="0" r="0" b="0"/>
            <wp:docPr id="12" name="Picture 12" descr="Objetivos 2 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jetivos 2 ui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25A">
        <w:rPr>
          <w:rFonts w:asciiTheme="minorHAnsi" w:hAnsiTheme="minorHAnsi"/>
          <w:noProof/>
          <w:lang w:val="en-GB" w:eastAsia="zh-CN"/>
        </w:rPr>
        <w:drawing>
          <wp:inline distT="0" distB="0" distL="0" distR="0" wp14:anchorId="3A829E59" wp14:editId="4001910A">
            <wp:extent cx="4184385" cy="2436125"/>
            <wp:effectExtent l="0" t="0" r="6985" b="2540"/>
            <wp:docPr id="11" name="Picture 11" descr="C:\Users\hernandf\Pictures\Objetivos 23 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ernandf\Pictures\Objetivos 23 ui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6"/>
                    <a:stretch/>
                  </pic:blipFill>
                  <pic:spPr bwMode="auto">
                    <a:xfrm>
                      <a:off x="0" y="0"/>
                      <a:ext cx="4190093" cy="243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B95" w:rsidRPr="002959E8" w:rsidRDefault="00D94B95" w:rsidP="00D94B95"/>
    <w:p w:rsidR="00D94B95" w:rsidRPr="002959E8" w:rsidRDefault="00D94B95" w:rsidP="00D94B95">
      <w:pPr>
        <w:sectPr w:rsidR="00D94B95" w:rsidRPr="002959E8" w:rsidSect="00D94B95">
          <w:headerReference w:type="default" r:id="rId14"/>
          <w:footerReference w:type="default" r:id="rId15"/>
          <w:headerReference w:type="first" r:id="rId16"/>
          <w:footerReference w:type="first" r:id="rId17"/>
          <w:pgSz w:w="16834" w:h="11907" w:orient="landscape"/>
          <w:pgMar w:top="1418" w:right="1418" w:bottom="1134" w:left="1418" w:header="720" w:footer="720" w:gutter="0"/>
          <w:paperSrc w:first="15" w:other="15"/>
          <w:cols w:space="720"/>
          <w:titlePg/>
          <w:docGrid w:linePitch="326"/>
        </w:sectPr>
      </w:pPr>
    </w:p>
    <w:p w:rsidR="001A4AE7" w:rsidRPr="002959E8" w:rsidRDefault="001A4AE7" w:rsidP="001A4AE7">
      <w:pPr>
        <w:pStyle w:val="Heading1"/>
      </w:pPr>
      <w:r w:rsidRPr="002959E8">
        <w:lastRenderedPageBreak/>
        <w:t>2</w:t>
      </w:r>
      <w:r w:rsidRPr="002959E8">
        <w:tab/>
        <w:t>Prioridades fundamentales</w:t>
      </w:r>
    </w:p>
    <w:p w:rsidR="001A4AE7" w:rsidRPr="002959E8" w:rsidRDefault="001A4AE7" w:rsidP="001341B2">
      <w:pPr>
        <w:pStyle w:val="Headingb"/>
      </w:pPr>
      <w:r w:rsidRPr="002959E8">
        <w:t>El Sector UIT-R</w:t>
      </w:r>
    </w:p>
    <w:p w:rsidR="001A4AE7" w:rsidRPr="002959E8" w:rsidRDefault="001A4AE7" w:rsidP="001341B2">
      <w:pPr>
        <w:pStyle w:val="Headingb"/>
      </w:pPr>
      <w:r w:rsidRPr="002959E8">
        <w:t>Contexto y prioridades fundamentales del Sector UIT-R</w:t>
      </w:r>
    </w:p>
    <w:p w:rsidR="001A4AE7" w:rsidRPr="002959E8" w:rsidRDefault="001A4AE7" w:rsidP="001A4AE7">
      <w:pPr>
        <w:rPr>
          <w:iCs/>
        </w:rPr>
      </w:pPr>
      <w:r w:rsidRPr="002959E8">
        <w:t xml:space="preserve">El periodo 2020-2023 se distinguirá por la aplicación total de </w:t>
      </w:r>
      <w:r w:rsidR="00C062B7">
        <w:t>las decisiones de la AR-19 y la </w:t>
      </w:r>
      <w:r w:rsidRPr="002959E8">
        <w:t>CMR-19, la preparación de la AR-23 y la CMR-23, así como la aplicación de sus decisiones, y la elaboración de normas esenciales y prácticas óptimas en materia de radiocomunicaciones. A continuación figuran las esferas prioritarias de las cuatro actividades operacionales del UIT-R y de los servicios de apoyo de la</w:t>
      </w:r>
      <w:r w:rsidR="00A27B61" w:rsidRPr="002959E8">
        <w:t xml:space="preserve"> Oficina de Radiocomunicaciones.</w:t>
      </w:r>
    </w:p>
    <w:p w:rsidR="001A4AE7" w:rsidRPr="002959E8" w:rsidRDefault="001A4AE7" w:rsidP="00EF4D08">
      <w:pPr>
        <w:pStyle w:val="Heading2"/>
      </w:pPr>
      <w:r w:rsidRPr="002959E8">
        <w:t>2.1</w:t>
      </w:r>
      <w:r w:rsidRPr="002959E8">
        <w:tab/>
        <w:t>Establecer y actualizar la reglamentación internacional sobre la utilización del espectro de radiofrecuencias y las órbitas de los satélites</w:t>
      </w:r>
    </w:p>
    <w:p w:rsidR="001A4AE7" w:rsidRPr="002959E8" w:rsidRDefault="001A4AE7" w:rsidP="001A4AE7">
      <w:pPr>
        <w:pStyle w:val="enumlev1"/>
      </w:pPr>
      <w:r w:rsidRPr="002959E8">
        <w:t>•</w:t>
      </w:r>
      <w:r w:rsidRPr="002959E8">
        <w:tab/>
        <w:t>Aplicar las decisiones de la CMR-19.</w:t>
      </w:r>
    </w:p>
    <w:p w:rsidR="001A4AE7" w:rsidRPr="002959E8" w:rsidRDefault="001A4AE7" w:rsidP="001A4AE7">
      <w:pPr>
        <w:pStyle w:val="enumlev1"/>
      </w:pPr>
      <w:r w:rsidRPr="002959E8">
        <w:t>•</w:t>
      </w:r>
      <w:r w:rsidRPr="002959E8">
        <w:tab/>
        <w:t>Adoptar las reglas de procedimiento conexas en el marco de la RRB.</w:t>
      </w:r>
    </w:p>
    <w:p w:rsidR="001A4AE7" w:rsidRPr="002959E8" w:rsidRDefault="001A4AE7" w:rsidP="001A4AE7">
      <w:pPr>
        <w:pStyle w:val="Heading2"/>
      </w:pPr>
      <w:r w:rsidRPr="002959E8">
        <w:t>2.2</w:t>
      </w:r>
      <w:r w:rsidRPr="002959E8">
        <w:tab/>
        <w:t>Implementar y aplicar la reglamentación internacional sobre la utilización del espectro de radiofrecuencias y las órbitas de los satélites</w:t>
      </w:r>
    </w:p>
    <w:p w:rsidR="001A4AE7" w:rsidRPr="002959E8" w:rsidRDefault="001A4AE7" w:rsidP="001A4AE7">
      <w:pPr>
        <w:pStyle w:val="enumlev1"/>
      </w:pPr>
      <w:r w:rsidRPr="002959E8">
        <w:t>•</w:t>
      </w:r>
      <w:r w:rsidRPr="002959E8">
        <w:tab/>
        <w:t xml:space="preserve">Desarrollar y facilitar a los miembros las herramientas informáticas relativas a la aplicación del Reglamento de Radiocomunicaciones y las Reglas de Procedimiento conexas. </w:t>
      </w:r>
    </w:p>
    <w:p w:rsidR="001A4AE7" w:rsidRPr="002959E8" w:rsidRDefault="001A4AE7" w:rsidP="001A4AE7">
      <w:pPr>
        <w:pStyle w:val="enumlev1"/>
      </w:pPr>
      <w:r w:rsidRPr="002959E8">
        <w:t>•</w:t>
      </w:r>
      <w:r w:rsidRPr="002959E8">
        <w:tab/>
        <w:t>Ejecutar de forma adecuada y oportuna las disposiciones del Reglamento de Radiocomunicaciones y los Acuerdos Regionales aplicables a los servicios terrenales y espaciales, junto con la versión actualizada del Registro Internacional de Frecuencias (MIFR) y los planes y listas de asignación y/o adjudicación.</w:t>
      </w:r>
    </w:p>
    <w:p w:rsidR="001A4AE7" w:rsidRPr="002959E8" w:rsidRDefault="001A4AE7" w:rsidP="001A4AE7">
      <w:pPr>
        <w:pStyle w:val="enumlev1"/>
      </w:pPr>
      <w:r w:rsidRPr="002959E8">
        <w:t>•</w:t>
      </w:r>
      <w:r w:rsidRPr="002959E8">
        <w:tab/>
        <w:t>Realizar un seguimiento de los casos de interferencia perjudicial y, en general, de las controversias dimanantes del uso compartido de recursos del espectro de radiofrecuencias y las órbitas de satélites, y proceder a su resolución.</w:t>
      </w:r>
    </w:p>
    <w:p w:rsidR="001A4AE7" w:rsidRPr="002959E8" w:rsidRDefault="001A4AE7" w:rsidP="001A4AE7">
      <w:pPr>
        <w:pStyle w:val="enumlev1"/>
      </w:pPr>
      <w:r w:rsidRPr="002959E8">
        <w:t>•</w:t>
      </w:r>
      <w:r w:rsidRPr="002959E8">
        <w:tab/>
        <w:t>Las publicaciones asociadas (véanse la BR IFIC, las publicaciones relativas al servicio marítimo, el nomenclátor de las estaciones de comprobación técnica internacional de las emisiones, etc.).</w:t>
      </w:r>
    </w:p>
    <w:p w:rsidR="001A4AE7" w:rsidRPr="002959E8" w:rsidRDefault="001A4AE7" w:rsidP="001A4AE7">
      <w:pPr>
        <w:pStyle w:val="Heading2"/>
      </w:pPr>
      <w:r w:rsidRPr="002959E8">
        <w:t>2.3</w:t>
      </w:r>
      <w:r w:rsidRPr="002959E8">
        <w:tab/>
        <w:t>Establecer y actualizar Recomendaciones, Informes y Manuales de ámbito mundial para lograr una utilización más eficaz del espectro de radiofrecuencias y de las órbitas de los satélites</w:t>
      </w:r>
    </w:p>
    <w:p w:rsidR="001A4AE7" w:rsidRPr="002959E8" w:rsidRDefault="001A4AE7" w:rsidP="001A4AE7">
      <w:pPr>
        <w:pStyle w:val="enumlev1"/>
      </w:pPr>
      <w:r w:rsidRPr="002959E8">
        <w:t>•</w:t>
      </w:r>
      <w:r w:rsidRPr="002959E8">
        <w:tab/>
        <w:t>Preparar la AR-23 y la CMR-23 en el seno de las Comisiones de Estudio del UIT-R y, en estrecha colaboración con los Grupos Regionales, elaborar proyectos de textos técnicos, reglamentarios y de procedimiento en apoyo de la RPC23-2.</w:t>
      </w:r>
    </w:p>
    <w:p w:rsidR="001A4AE7" w:rsidRPr="002959E8" w:rsidRDefault="001A4AE7" w:rsidP="001A4AE7">
      <w:pPr>
        <w:pStyle w:val="enumlev1"/>
      </w:pPr>
      <w:r w:rsidRPr="002959E8">
        <w:t>•</w:t>
      </w:r>
      <w:r w:rsidRPr="002959E8">
        <w:tab/>
        <w:t>Elaborar Recomendaciones, Informes y Manuales clave, en particular, sobre la</w:t>
      </w:r>
      <w:r w:rsidRPr="002959E8">
        <w:rPr>
          <w:sz w:val="18"/>
          <w:szCs w:val="18"/>
        </w:rPr>
        <w:t xml:space="preserve"> </w:t>
      </w:r>
      <w:r w:rsidRPr="002959E8">
        <w:t>interfaz radioeléctrica de las IMT 2020, en estrecha colaboración con el UIT-T, las organizaciones regionales y otros organismos de normalización.</w:t>
      </w:r>
    </w:p>
    <w:p w:rsidR="001A4AE7" w:rsidRPr="002959E8" w:rsidRDefault="001A4AE7" w:rsidP="001A4AE7">
      <w:pPr>
        <w:pStyle w:val="Heading2"/>
      </w:pPr>
      <w:r w:rsidRPr="002959E8">
        <w:t>2.4</w:t>
      </w:r>
      <w:r w:rsidRPr="002959E8">
        <w:tab/>
        <w:t>Informar y ayudar a los Miembros del UIT-R en asuntos de radiocomunicaciones</w:t>
      </w:r>
    </w:p>
    <w:p w:rsidR="001A4AE7" w:rsidRPr="002959E8" w:rsidRDefault="001A4AE7" w:rsidP="001A4AE7">
      <w:pPr>
        <w:pStyle w:val="enumlev1"/>
      </w:pPr>
      <w:r w:rsidRPr="002959E8">
        <w:t>•</w:t>
      </w:r>
      <w:r w:rsidRPr="002959E8">
        <w:tab/>
        <w:t>Publicar y promover productos del UIT-R, tales como el Reglamento de Radiocomunicaciones, las Recomendaciones, los Informes y los Manuales.</w:t>
      </w:r>
    </w:p>
    <w:p w:rsidR="001A4AE7" w:rsidRPr="002959E8" w:rsidRDefault="001A4AE7" w:rsidP="001A4AE7">
      <w:pPr>
        <w:pStyle w:val="enumlev1"/>
      </w:pPr>
      <w:r w:rsidRPr="002959E8">
        <w:t>•</w:t>
      </w:r>
      <w:r w:rsidRPr="002959E8">
        <w:tab/>
        <w:t>En estrecha colaboración con los demás Sectores, las oficinas regionales de la UIT, las organizaciones regionales pertinentes y los miembros:</w:t>
      </w:r>
    </w:p>
    <w:p w:rsidR="001A4AE7" w:rsidRPr="002959E8" w:rsidRDefault="001A4AE7" w:rsidP="001A4AE7">
      <w:pPr>
        <w:pStyle w:val="enumlev2"/>
      </w:pPr>
      <w:r w:rsidRPr="002959E8">
        <w:lastRenderedPageBreak/>
        <w:t>–</w:t>
      </w:r>
      <w:r w:rsidRPr="002959E8">
        <w:tab/>
        <w:t>divulgar e intercambiar información, por ejemplo, en seminarios, conferencias, talleres y otros eventos mundiales o regionales relacionados con las radiocomunicaciones; y</w:t>
      </w:r>
    </w:p>
    <w:p w:rsidR="001A4AE7" w:rsidRPr="002959E8" w:rsidRDefault="001A4AE7" w:rsidP="001A4AE7">
      <w:pPr>
        <w:pStyle w:val="enumlev2"/>
      </w:pPr>
      <w:r w:rsidRPr="002959E8">
        <w:t>–</w:t>
      </w:r>
      <w:r w:rsidRPr="002959E8">
        <w:tab/>
        <w:t>prestar asistencia a los miembros que experimenten dificultades en el desarrollo de sus servicios de radiocomunicaciones, en particular, con respecto a la transición a la radiodifusión de televisión digital y a la utilización del dividendo digital.</w:t>
      </w:r>
    </w:p>
    <w:p w:rsidR="001A4AE7" w:rsidRPr="002959E8" w:rsidRDefault="001A4AE7" w:rsidP="001A4AE7">
      <w:pPr>
        <w:pStyle w:val="Heading2"/>
      </w:pPr>
      <w:r w:rsidRPr="002959E8">
        <w:t>2.5</w:t>
      </w:r>
      <w:r w:rsidRPr="002959E8">
        <w:tab/>
        <w:t>Respaldar las actividades de la Oficina de Radiocomunicaciones</w:t>
      </w:r>
    </w:p>
    <w:p w:rsidR="001A4AE7" w:rsidRPr="002959E8" w:rsidRDefault="001A4AE7" w:rsidP="001A4AE7">
      <w:pPr>
        <w:pStyle w:val="enumlev1"/>
      </w:pPr>
      <w:r w:rsidRPr="002959E8">
        <w:t>•</w:t>
      </w:r>
      <w:r w:rsidRPr="002959E8">
        <w:tab/>
        <w:t>Elaborar, mejorar y actualizar de forma constante las herramientas de software de la BR, con objeto de mantener un alto nivel de eficacia, fiabilidad, facilidad de uso y satisfacción de los miembros.</w:t>
      </w:r>
    </w:p>
    <w:p w:rsidR="001A4AE7" w:rsidRPr="002959E8" w:rsidRDefault="001A4AE7" w:rsidP="001A4AE7">
      <w:pPr>
        <w:pStyle w:val="enumlev1"/>
      </w:pPr>
      <w:r w:rsidRPr="002959E8">
        <w:t>•</w:t>
      </w:r>
      <w:r w:rsidRPr="002959E8">
        <w:tab/>
        <w:t>Conceder apoyo logístico y administrativo a las Comisiones de Estudio del UIT-R y participar en las actividades conexas de los grupos regionales.</w:t>
      </w:r>
    </w:p>
    <w:p w:rsidR="001A4AE7" w:rsidRPr="002959E8" w:rsidRDefault="001A4AE7" w:rsidP="001A4AE7">
      <w:pPr>
        <w:pStyle w:val="enumlev1"/>
      </w:pPr>
      <w:r w:rsidRPr="002959E8">
        <w:t>•</w:t>
      </w:r>
      <w:r w:rsidRPr="002959E8">
        <w:tab/>
        <w:t>Prestar asistencia a los miembros, en estrecha colaboración con las demás Oficinas, las oficinas regionales de la UIT y las organizaciones regionales pertinentes.</w:t>
      </w:r>
    </w:p>
    <w:p w:rsidR="0034044B" w:rsidRPr="002959E8" w:rsidRDefault="0034044B" w:rsidP="001A4AE7">
      <w:pPr>
        <w:pStyle w:val="enumlev1"/>
      </w:pPr>
    </w:p>
    <w:p w:rsidR="0034044B" w:rsidRPr="002959E8" w:rsidRDefault="0034044B" w:rsidP="001A4AE7">
      <w:pPr>
        <w:sectPr w:rsidR="0034044B" w:rsidRPr="002959E8" w:rsidSect="00F40FF2">
          <w:pgSz w:w="11907" w:h="16834"/>
          <w:pgMar w:top="1418" w:right="1134" w:bottom="1418" w:left="1418" w:header="720" w:footer="720" w:gutter="0"/>
          <w:paperSrc w:first="15" w:other="15"/>
          <w:cols w:space="720"/>
          <w:titlePg/>
          <w:docGrid w:linePitch="326"/>
        </w:sectPr>
      </w:pPr>
    </w:p>
    <w:p w:rsidR="0034044B" w:rsidRPr="002959E8" w:rsidRDefault="0034044B" w:rsidP="0034044B">
      <w:pPr>
        <w:pStyle w:val="Heading1"/>
        <w:spacing w:before="120"/>
      </w:pPr>
      <w:r w:rsidRPr="002959E8">
        <w:lastRenderedPageBreak/>
        <w:t>3</w:t>
      </w:r>
      <w:r w:rsidRPr="002959E8">
        <w:tab/>
        <w:t>Objetivos, resultados y productos del UIT-R</w:t>
      </w:r>
    </w:p>
    <w:p w:rsidR="0034044B" w:rsidRPr="002959E8" w:rsidRDefault="0034044B" w:rsidP="00603369">
      <w:pPr>
        <w:pStyle w:val="Heading2"/>
        <w:spacing w:after="120"/>
      </w:pPr>
      <w:r w:rsidRPr="002959E8">
        <w:t>3.1</w:t>
      </w:r>
      <w:r w:rsidRPr="002959E8">
        <w:tab/>
        <w:t>Atribución de recursos a los objetivos y productos del UIT-R en 2020-2021</w:t>
      </w:r>
    </w:p>
    <w:tbl>
      <w:tblPr>
        <w:tblStyle w:val="TableGrid"/>
        <w:tblW w:w="14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386"/>
        <w:gridCol w:w="906"/>
        <w:gridCol w:w="980"/>
      </w:tblGrid>
      <w:tr w:rsidR="0034044B" w:rsidRPr="002959E8" w:rsidTr="00735A92">
        <w:tc>
          <w:tcPr>
            <w:tcW w:w="7230" w:type="dxa"/>
            <w:vMerge w:val="restart"/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Calibri" w:eastAsiaTheme="minorHAnsi" w:hAnsi="Calibri" w:cstheme="minorBidi"/>
                <w:color w:val="4F81BD" w:themeColor="accent1"/>
                <w:sz w:val="22"/>
                <w:szCs w:val="22"/>
                <w:lang w:eastAsia="zh-CN"/>
              </w:rPr>
            </w:pPr>
            <w:r w:rsidRPr="002959E8">
              <w:rPr>
                <w:rFonts w:ascii="Calibri" w:eastAsiaTheme="minorHAnsi" w:hAnsi="Calibri" w:cstheme="minorBidi"/>
                <w:noProof/>
                <w:color w:val="4F81BD" w:themeColor="accent1"/>
                <w:sz w:val="22"/>
                <w:szCs w:val="22"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2CE9E6C" wp14:editId="1BA03E99">
                      <wp:simplePos x="0" y="0"/>
                      <wp:positionH relativeFrom="column">
                        <wp:posOffset>3525409</wp:posOffset>
                      </wp:positionH>
                      <wp:positionV relativeFrom="paragraph">
                        <wp:posOffset>1388856</wp:posOffset>
                      </wp:positionV>
                      <wp:extent cx="621706" cy="142605"/>
                      <wp:effectExtent l="0" t="0" r="6985" b="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06" cy="142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2E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FE5" w:rsidRPr="00DF14DE" w:rsidRDefault="000B6FE5" w:rsidP="0034044B">
                                  <w:pPr>
                                    <w:spacing w:before="0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Objetivo</w:t>
                                  </w:r>
                                  <w:r w:rsidRPr="00DF14D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R.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E9E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7.6pt;margin-top:109.35pt;width:48.95pt;height:1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" fillcolor="#e2e2e2" stroked="f">
                      <v:textbox inset="0,0,0,0">
                        <w:txbxContent>
                          <w:p w:rsidR="000B6FE5" w:rsidRPr="00DF14DE" w:rsidRDefault="000B6FE5" w:rsidP="0034044B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Objetivo</w:t>
                            </w:r>
                            <w:r w:rsidRPr="00DF14D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R.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9E8">
              <w:rPr>
                <w:rFonts w:ascii="Calibri" w:eastAsiaTheme="minorHAnsi" w:hAnsi="Calibri" w:cstheme="minorBidi"/>
                <w:noProof/>
                <w:color w:val="4F81BD" w:themeColor="accent1"/>
                <w:sz w:val="22"/>
                <w:szCs w:val="22"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D8E313F" wp14:editId="03042A89">
                      <wp:simplePos x="0" y="0"/>
                      <wp:positionH relativeFrom="column">
                        <wp:posOffset>3541312</wp:posOffset>
                      </wp:positionH>
                      <wp:positionV relativeFrom="paragraph">
                        <wp:posOffset>1182121</wp:posOffset>
                      </wp:positionV>
                      <wp:extent cx="621706" cy="142605"/>
                      <wp:effectExtent l="0" t="0" r="6985" b="0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06" cy="142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2E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FE5" w:rsidRPr="00DF14DE" w:rsidRDefault="000B6FE5" w:rsidP="0034044B">
                                  <w:pPr>
                                    <w:spacing w:before="0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Objetivo</w:t>
                                  </w:r>
                                  <w:r w:rsidRPr="00DF14D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R.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E313F" id="_x0000_s1027" type="#_x0000_t202" style="position:absolute;margin-left:278.85pt;margin-top:93.1pt;width:48.95pt;height:11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" fillcolor="#e2e2e2" stroked="f">
                      <v:textbox inset="0,0,0,0">
                        <w:txbxContent>
                          <w:p w:rsidR="000B6FE5" w:rsidRPr="00DF14DE" w:rsidRDefault="000B6FE5" w:rsidP="0034044B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Objetivo</w:t>
                            </w:r>
                            <w:r w:rsidRPr="00DF14D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R.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9E8">
              <w:rPr>
                <w:rFonts w:ascii="Calibri" w:eastAsiaTheme="minorHAnsi" w:hAnsi="Calibri" w:cstheme="minorBidi"/>
                <w:noProof/>
                <w:color w:val="4F81BD" w:themeColor="accent1"/>
                <w:sz w:val="22"/>
                <w:szCs w:val="22"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51E08BEE" wp14:editId="2E651237">
                      <wp:simplePos x="0" y="0"/>
                      <wp:positionH relativeFrom="column">
                        <wp:posOffset>3530573</wp:posOffset>
                      </wp:positionH>
                      <wp:positionV relativeFrom="paragraph">
                        <wp:posOffset>963295</wp:posOffset>
                      </wp:positionV>
                      <wp:extent cx="621706" cy="142605"/>
                      <wp:effectExtent l="0" t="0" r="698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06" cy="142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2E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FE5" w:rsidRPr="00DF14DE" w:rsidRDefault="000B6FE5" w:rsidP="0034044B">
                                  <w:pPr>
                                    <w:spacing w:before="0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Objetivo</w:t>
                                  </w:r>
                                  <w:r w:rsidRPr="00DF14D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R.1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08BEE" id="_x0000_s1028" type="#_x0000_t202" style="position:absolute;margin-left:278pt;margin-top:75.85pt;width:48.95pt;height:11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" fillcolor="#e2e2e2" stroked="f">
                      <v:textbox inset="0,0,0,0">
                        <w:txbxContent>
                          <w:p w:rsidR="000B6FE5" w:rsidRPr="00DF14DE" w:rsidRDefault="000B6FE5" w:rsidP="0034044B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Objetivo</w:t>
                            </w:r>
                            <w:r w:rsidRPr="00DF14D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R.1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9E8">
              <w:rPr>
                <w:rFonts w:asciiTheme="majorBidi" w:hAnsiTheme="majorBidi" w:cstheme="majorBidi"/>
                <w:noProof/>
                <w:sz w:val="22"/>
                <w:lang w:val="en-GB" w:eastAsia="zh-CN"/>
              </w:rPr>
              <w:drawing>
                <wp:inline distT="0" distB="0" distL="0" distR="0" wp14:anchorId="76788FE9" wp14:editId="0A35C5E0">
                  <wp:extent cx="4276725" cy="2419350"/>
                  <wp:effectExtent l="0" t="0" r="9525" b="0"/>
                  <wp:docPr id="30" name="Chart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7272" w:type="dxa"/>
            <w:gridSpan w:val="3"/>
            <w:tcBorders>
              <w:bottom w:val="single" w:sz="4" w:space="0" w:color="auto"/>
            </w:tcBorders>
          </w:tcPr>
          <w:p w:rsidR="0034044B" w:rsidRPr="002959E8" w:rsidRDefault="00A16191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="Calibri" w:eastAsiaTheme="minorHAnsi" w:hAnsi="Calibri" w:cstheme="minorBidi"/>
                <w:b/>
                <w:color w:val="4F81BD" w:themeColor="accent1"/>
                <w:sz w:val="22"/>
                <w:szCs w:val="22"/>
                <w:lang w:eastAsia="zh-CN"/>
              </w:rPr>
            </w:pPr>
            <w:r w:rsidRPr="002959E8">
              <w:rPr>
                <w:rFonts w:asciiTheme="majorHAnsi" w:hAnsiTheme="majorHAnsi"/>
                <w:b/>
                <w:color w:val="0070C0"/>
                <w:sz w:val="22"/>
                <w:lang w:eastAsia="zh-CN"/>
              </w:rPr>
              <w:t>Atribución de recursos planificada por Producto</w:t>
            </w:r>
          </w:p>
        </w:tc>
      </w:tr>
      <w:tr w:rsidR="0034044B" w:rsidRPr="002959E8" w:rsidTr="00735A92">
        <w:tc>
          <w:tcPr>
            <w:tcW w:w="7230" w:type="dxa"/>
            <w:vMerge/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Calibri" w:hAnsi="Calibri" w:cs="Times New Roman Bold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="Calibri" w:hAnsi="Calibri" w:cs="Times New Roman Bold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34044B" w:rsidRPr="002959E8" w:rsidRDefault="00A16191" w:rsidP="00735A92">
            <w:pPr>
              <w:pStyle w:val="Tabletext"/>
              <w:rPr>
                <w:rFonts w:asciiTheme="majorHAnsi" w:hAnsiTheme="majorHAnsi"/>
                <w:b/>
                <w:color w:val="0070C0"/>
                <w:sz w:val="18"/>
                <w:szCs w:val="16"/>
                <w:lang w:eastAsia="zh-CN"/>
              </w:rPr>
            </w:pPr>
            <w:r w:rsidRPr="002959E8">
              <w:rPr>
                <w:rFonts w:asciiTheme="majorHAnsi" w:hAnsiTheme="majorHAnsi"/>
                <w:b/>
                <w:color w:val="0070C0"/>
                <w:sz w:val="18"/>
                <w:szCs w:val="16"/>
                <w:lang w:eastAsia="zh-CN"/>
              </w:rPr>
              <w:t>% del</w:t>
            </w:r>
            <w:r w:rsidR="0034044B" w:rsidRPr="002959E8">
              <w:rPr>
                <w:rFonts w:asciiTheme="majorHAnsi" w:hAnsiTheme="majorHAnsi"/>
                <w:b/>
                <w:color w:val="0070C0"/>
                <w:sz w:val="18"/>
                <w:szCs w:val="16"/>
                <w:lang w:eastAsia="zh-CN"/>
              </w:rPr>
              <w:t xml:space="preserve"> total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4044B" w:rsidRPr="002959E8" w:rsidRDefault="0034044B" w:rsidP="00735A92">
            <w:pPr>
              <w:pStyle w:val="Tabletext"/>
              <w:rPr>
                <w:rFonts w:asciiTheme="majorHAnsi" w:hAnsiTheme="majorHAnsi"/>
                <w:b/>
                <w:color w:val="0070C0"/>
                <w:sz w:val="18"/>
                <w:szCs w:val="16"/>
                <w:lang w:eastAsia="zh-CN"/>
              </w:rPr>
            </w:pPr>
            <w:r w:rsidRPr="002959E8">
              <w:rPr>
                <w:rFonts w:asciiTheme="majorHAnsi" w:hAnsiTheme="majorHAnsi"/>
                <w:b/>
                <w:color w:val="0070C0"/>
                <w:sz w:val="18"/>
                <w:szCs w:val="16"/>
                <w:lang w:eastAsia="zh-CN"/>
              </w:rPr>
              <w:t>% de</w:t>
            </w:r>
            <w:r w:rsidR="00A16191" w:rsidRPr="002959E8">
              <w:rPr>
                <w:rFonts w:asciiTheme="majorHAnsi" w:hAnsiTheme="majorHAnsi"/>
                <w:b/>
                <w:color w:val="0070C0"/>
                <w:sz w:val="18"/>
                <w:szCs w:val="16"/>
                <w:lang w:eastAsia="zh-CN"/>
              </w:rPr>
              <w:t>l objetivo</w:t>
            </w:r>
          </w:p>
        </w:tc>
      </w:tr>
      <w:tr w:rsidR="0034044B" w:rsidRPr="002959E8" w:rsidTr="00735A92">
        <w:tc>
          <w:tcPr>
            <w:tcW w:w="7230" w:type="dxa"/>
            <w:vMerge/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4044B" w:rsidRPr="002959E8" w:rsidRDefault="0034044B" w:rsidP="00735A92">
            <w:pPr>
              <w:pStyle w:val="Tabletext"/>
            </w:pPr>
            <w:r w:rsidRPr="002959E8">
              <w:rPr>
                <w:b/>
                <w:bCs/>
                <w:color w:val="548DD4" w:themeColor="text2" w:themeTint="99"/>
              </w:rPr>
              <w:t>R.1-1</w:t>
            </w:r>
            <w:r w:rsidRPr="002959E8">
              <w:t>:</w:t>
            </w:r>
            <w:r w:rsidRPr="002959E8">
              <w:tab/>
            </w:r>
            <w:r w:rsidR="008B229F" w:rsidRPr="002959E8">
              <w:t>Actas Finales de Conferencias Mundiales de Radiocomunicaciones, Reglamento de Radiocomunicaciones actualizado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34044B" w:rsidRPr="002959E8" w:rsidRDefault="0034044B" w:rsidP="00735A92">
            <w:pPr>
              <w:pStyle w:val="Tabletext"/>
              <w:jc w:val="right"/>
            </w:pPr>
            <w:r w:rsidRPr="002959E8">
              <w:t>3%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34044B" w:rsidRPr="002959E8" w:rsidRDefault="0034044B" w:rsidP="00735A92">
            <w:pPr>
              <w:pStyle w:val="Tabletext"/>
              <w:jc w:val="right"/>
            </w:pPr>
            <w:r w:rsidRPr="002959E8">
              <w:rPr>
                <w:b/>
                <w:bCs/>
              </w:rPr>
              <w:t>4%</w:t>
            </w:r>
          </w:p>
        </w:tc>
      </w:tr>
      <w:tr w:rsidR="0034044B" w:rsidRPr="002959E8" w:rsidTr="00735A92">
        <w:tc>
          <w:tcPr>
            <w:tcW w:w="7230" w:type="dxa"/>
            <w:vMerge/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34044B" w:rsidRPr="002959E8" w:rsidRDefault="0034044B" w:rsidP="00735A92">
            <w:pPr>
              <w:pStyle w:val="Tabletext"/>
              <w:rPr>
                <w:b/>
                <w:bCs/>
                <w:color w:val="548DD4" w:themeColor="text2" w:themeTint="99"/>
              </w:rPr>
            </w:pPr>
            <w:r w:rsidRPr="002959E8">
              <w:rPr>
                <w:b/>
                <w:bCs/>
                <w:color w:val="548DD4" w:themeColor="text2" w:themeTint="99"/>
              </w:rPr>
              <w:t>R.1-2</w:t>
            </w:r>
            <w:r w:rsidRPr="002959E8">
              <w:t>:</w:t>
            </w:r>
            <w:r w:rsidRPr="002959E8">
              <w:tab/>
            </w:r>
            <w:r w:rsidR="008B229F" w:rsidRPr="002959E8">
              <w:t>Actas Finales de Conferencias Regionales de Radiocomunicaciones, Acuerdos Regionales</w:t>
            </w:r>
          </w:p>
        </w:tc>
        <w:tc>
          <w:tcPr>
            <w:tcW w:w="906" w:type="dxa"/>
            <w:vAlign w:val="center"/>
          </w:tcPr>
          <w:p w:rsidR="0034044B" w:rsidRPr="002959E8" w:rsidRDefault="0034044B" w:rsidP="00735A92">
            <w:pPr>
              <w:pStyle w:val="Tabletext"/>
              <w:jc w:val="right"/>
            </w:pPr>
            <w:r w:rsidRPr="002959E8">
              <w:t>1%</w:t>
            </w:r>
          </w:p>
        </w:tc>
        <w:tc>
          <w:tcPr>
            <w:tcW w:w="980" w:type="dxa"/>
            <w:vAlign w:val="center"/>
          </w:tcPr>
          <w:p w:rsidR="0034044B" w:rsidRPr="002959E8" w:rsidRDefault="0034044B" w:rsidP="00735A92">
            <w:pPr>
              <w:pStyle w:val="Tabletext"/>
              <w:jc w:val="right"/>
              <w:rPr>
                <w:b/>
                <w:bCs/>
              </w:rPr>
            </w:pPr>
            <w:r w:rsidRPr="002959E8">
              <w:rPr>
                <w:b/>
                <w:bCs/>
              </w:rPr>
              <w:t>2%</w:t>
            </w:r>
          </w:p>
        </w:tc>
      </w:tr>
      <w:tr w:rsidR="0034044B" w:rsidRPr="002959E8" w:rsidTr="00735A92">
        <w:tc>
          <w:tcPr>
            <w:tcW w:w="7230" w:type="dxa"/>
            <w:vMerge/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34044B" w:rsidRPr="002959E8" w:rsidRDefault="0034044B" w:rsidP="00735A92">
            <w:pPr>
              <w:pStyle w:val="Tabletext"/>
              <w:rPr>
                <w:b/>
                <w:bCs/>
                <w:color w:val="548DD4" w:themeColor="text2" w:themeTint="99"/>
              </w:rPr>
            </w:pPr>
            <w:r w:rsidRPr="002959E8">
              <w:rPr>
                <w:b/>
                <w:bCs/>
                <w:color w:val="548DD4" w:themeColor="text2" w:themeTint="99"/>
              </w:rPr>
              <w:t>R.1-3</w:t>
            </w:r>
            <w:r w:rsidRPr="002959E8">
              <w:t>:</w:t>
            </w:r>
            <w:r w:rsidRPr="002959E8">
              <w:tab/>
            </w:r>
            <w:r w:rsidR="008B229F" w:rsidRPr="002959E8">
              <w:t>Reglas de Procedimiento adoptadas por la Junta del Reglamento de Radiocomunicaciones (RRB)</w:t>
            </w:r>
          </w:p>
        </w:tc>
        <w:tc>
          <w:tcPr>
            <w:tcW w:w="906" w:type="dxa"/>
            <w:vAlign w:val="center"/>
          </w:tcPr>
          <w:p w:rsidR="0034044B" w:rsidRPr="002959E8" w:rsidRDefault="0034044B" w:rsidP="00735A92">
            <w:pPr>
              <w:pStyle w:val="Tabletext"/>
              <w:jc w:val="right"/>
            </w:pPr>
            <w:r w:rsidRPr="002959E8">
              <w:t>4%</w:t>
            </w:r>
          </w:p>
        </w:tc>
        <w:tc>
          <w:tcPr>
            <w:tcW w:w="980" w:type="dxa"/>
            <w:vAlign w:val="center"/>
          </w:tcPr>
          <w:p w:rsidR="0034044B" w:rsidRPr="002959E8" w:rsidRDefault="0034044B" w:rsidP="00735A92">
            <w:pPr>
              <w:pStyle w:val="Tabletext"/>
              <w:jc w:val="right"/>
              <w:rPr>
                <w:b/>
                <w:bCs/>
              </w:rPr>
            </w:pPr>
            <w:r w:rsidRPr="002959E8">
              <w:rPr>
                <w:b/>
                <w:bCs/>
              </w:rPr>
              <w:t>7%</w:t>
            </w:r>
          </w:p>
        </w:tc>
      </w:tr>
      <w:tr w:rsidR="0034044B" w:rsidRPr="002959E8" w:rsidTr="00735A92">
        <w:tc>
          <w:tcPr>
            <w:tcW w:w="7230" w:type="dxa"/>
            <w:vMerge/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34044B" w:rsidRPr="002959E8" w:rsidRDefault="0034044B" w:rsidP="008B229F">
            <w:pPr>
              <w:pStyle w:val="Tabletext"/>
              <w:rPr>
                <w:b/>
                <w:bCs/>
                <w:color w:val="548DD4" w:themeColor="text2" w:themeTint="99"/>
              </w:rPr>
            </w:pPr>
            <w:r w:rsidRPr="002959E8">
              <w:rPr>
                <w:b/>
                <w:bCs/>
                <w:color w:val="548DD4" w:themeColor="text2" w:themeTint="99"/>
              </w:rPr>
              <w:t>R.1-4</w:t>
            </w:r>
            <w:r w:rsidRPr="002959E8">
              <w:t>:</w:t>
            </w:r>
            <w:r w:rsidRPr="002959E8">
              <w:tab/>
            </w:r>
            <w:r w:rsidR="008B229F" w:rsidRPr="002959E8">
              <w:t>Publicación de notificaciones espaciales y otras actividades conexas</w:t>
            </w:r>
          </w:p>
        </w:tc>
        <w:tc>
          <w:tcPr>
            <w:tcW w:w="906" w:type="dxa"/>
            <w:vAlign w:val="center"/>
          </w:tcPr>
          <w:p w:rsidR="0034044B" w:rsidRPr="002959E8" w:rsidRDefault="0034044B" w:rsidP="00735A92">
            <w:pPr>
              <w:pStyle w:val="Tabletext"/>
              <w:jc w:val="right"/>
            </w:pPr>
            <w:r w:rsidRPr="002959E8">
              <w:t>35%</w:t>
            </w:r>
          </w:p>
        </w:tc>
        <w:tc>
          <w:tcPr>
            <w:tcW w:w="980" w:type="dxa"/>
            <w:vAlign w:val="center"/>
          </w:tcPr>
          <w:p w:rsidR="0034044B" w:rsidRPr="002959E8" w:rsidRDefault="0034044B" w:rsidP="00735A92">
            <w:pPr>
              <w:pStyle w:val="Tabletext"/>
              <w:jc w:val="right"/>
              <w:rPr>
                <w:b/>
                <w:bCs/>
              </w:rPr>
            </w:pPr>
            <w:r w:rsidRPr="002959E8">
              <w:rPr>
                <w:b/>
                <w:bCs/>
              </w:rPr>
              <w:t>59%</w:t>
            </w:r>
          </w:p>
        </w:tc>
      </w:tr>
      <w:tr w:rsidR="0034044B" w:rsidRPr="002959E8" w:rsidTr="00735A92">
        <w:tc>
          <w:tcPr>
            <w:tcW w:w="7230" w:type="dxa"/>
            <w:vMerge/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34044B" w:rsidRPr="002959E8" w:rsidRDefault="0034044B" w:rsidP="00735A92">
            <w:pPr>
              <w:pStyle w:val="Tabletext"/>
              <w:rPr>
                <w:b/>
                <w:bCs/>
                <w:color w:val="548DD4" w:themeColor="text2" w:themeTint="99"/>
              </w:rPr>
            </w:pPr>
            <w:r w:rsidRPr="002959E8">
              <w:rPr>
                <w:b/>
                <w:bCs/>
                <w:color w:val="548DD4" w:themeColor="text2" w:themeTint="99"/>
              </w:rPr>
              <w:t>R.1-5</w:t>
            </w:r>
            <w:r w:rsidRPr="002959E8">
              <w:t>:</w:t>
            </w:r>
            <w:r w:rsidRPr="002959E8">
              <w:tab/>
            </w:r>
            <w:r w:rsidR="00603369" w:rsidRPr="002959E8">
              <w:t>Publicación de notificaciones terrenales y otras actividades conexas</w:t>
            </w:r>
          </w:p>
        </w:tc>
        <w:tc>
          <w:tcPr>
            <w:tcW w:w="906" w:type="dxa"/>
            <w:vAlign w:val="center"/>
          </w:tcPr>
          <w:p w:rsidR="0034044B" w:rsidRPr="002959E8" w:rsidRDefault="0034044B" w:rsidP="00735A92">
            <w:pPr>
              <w:pStyle w:val="Tabletext"/>
              <w:jc w:val="right"/>
            </w:pPr>
            <w:r w:rsidRPr="002959E8">
              <w:t>17%</w:t>
            </w:r>
          </w:p>
        </w:tc>
        <w:tc>
          <w:tcPr>
            <w:tcW w:w="980" w:type="dxa"/>
            <w:vAlign w:val="center"/>
          </w:tcPr>
          <w:p w:rsidR="0034044B" w:rsidRPr="002959E8" w:rsidRDefault="0034044B" w:rsidP="00735A92">
            <w:pPr>
              <w:pStyle w:val="Tabletext"/>
              <w:jc w:val="right"/>
              <w:rPr>
                <w:b/>
                <w:bCs/>
              </w:rPr>
            </w:pPr>
            <w:r w:rsidRPr="002959E8">
              <w:rPr>
                <w:b/>
                <w:bCs/>
              </w:rPr>
              <w:t>28%</w:t>
            </w:r>
          </w:p>
        </w:tc>
      </w:tr>
      <w:tr w:rsidR="0034044B" w:rsidRPr="002959E8" w:rsidTr="00735A92">
        <w:tc>
          <w:tcPr>
            <w:tcW w:w="7230" w:type="dxa"/>
            <w:vMerge w:val="restart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992"/>
            </w:tblGrid>
            <w:tr w:rsidR="0034044B" w:rsidRPr="002959E8" w:rsidTr="00735A92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34044B" w:rsidRPr="002959E8" w:rsidRDefault="0034044B" w:rsidP="00735A92">
                  <w:pPr>
                    <w:pStyle w:val="Tabletext"/>
                  </w:pPr>
                  <w:r w:rsidRPr="002959E8">
                    <w:rPr>
                      <w:b/>
                      <w:bCs/>
                      <w:color w:val="4F81BD" w:themeColor="accent1"/>
                      <w:lang w:eastAsia="zh-CN"/>
                    </w:rPr>
                    <w:t>R.1</w:t>
                  </w:r>
                  <w:r w:rsidRPr="002959E8">
                    <w:rPr>
                      <w:color w:val="4F81BD" w:themeColor="accent1"/>
                      <w:lang w:eastAsia="zh-CN"/>
                    </w:rPr>
                    <w:tab/>
                  </w:r>
                  <w:r w:rsidR="00A16191" w:rsidRPr="002959E8">
                    <w:t>Regulación y gestión del espectro/órbita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</w:tcPr>
                <w:p w:rsidR="0034044B" w:rsidRPr="002959E8" w:rsidRDefault="0034044B" w:rsidP="00735A92">
                  <w:pPr>
                    <w:pStyle w:val="Tabletext"/>
                    <w:rPr>
                      <w:b/>
                      <w:bCs/>
                    </w:rPr>
                  </w:pPr>
                  <w:r w:rsidRPr="002959E8">
                    <w:rPr>
                      <w:b/>
                      <w:bCs/>
                    </w:rPr>
                    <w:t>60%</w:t>
                  </w:r>
                </w:p>
              </w:tc>
            </w:tr>
            <w:tr w:rsidR="0034044B" w:rsidRPr="002959E8" w:rsidTr="00735A92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34044B" w:rsidRPr="002959E8" w:rsidRDefault="0034044B" w:rsidP="00735A92">
                  <w:pPr>
                    <w:pStyle w:val="Tabletext"/>
                    <w:rPr>
                      <w:b/>
                      <w:bCs/>
                      <w:color w:val="548DD4" w:themeColor="text2" w:themeTint="99"/>
                    </w:rPr>
                  </w:pPr>
                  <w:r w:rsidRPr="002959E8">
                    <w:rPr>
                      <w:b/>
                      <w:bCs/>
                      <w:color w:val="548DD4" w:themeColor="text2" w:themeTint="99"/>
                    </w:rPr>
                    <w:t>R.2</w:t>
                  </w:r>
                  <w:r w:rsidRPr="002959E8">
                    <w:tab/>
                  </w:r>
                  <w:r w:rsidR="00A16191" w:rsidRPr="002959E8">
                    <w:t>Normas en materia de radiocomunicaciones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</w:tcPr>
                <w:p w:rsidR="0034044B" w:rsidRPr="002959E8" w:rsidRDefault="0034044B" w:rsidP="00735A92">
                  <w:pPr>
                    <w:pStyle w:val="Tabletext"/>
                    <w:rPr>
                      <w:b/>
                      <w:bCs/>
                    </w:rPr>
                  </w:pPr>
                  <w:r w:rsidRPr="002959E8">
                    <w:rPr>
                      <w:b/>
                      <w:bCs/>
                    </w:rPr>
                    <w:t>13%</w:t>
                  </w:r>
                </w:p>
              </w:tc>
            </w:tr>
            <w:tr w:rsidR="0034044B" w:rsidRPr="002959E8" w:rsidTr="00735A92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34044B" w:rsidRPr="002959E8" w:rsidRDefault="0034044B" w:rsidP="00735A92">
                  <w:pPr>
                    <w:pStyle w:val="Tabletext"/>
                    <w:rPr>
                      <w:b/>
                      <w:bCs/>
                      <w:color w:val="548DD4" w:themeColor="text2" w:themeTint="99"/>
                    </w:rPr>
                  </w:pPr>
                  <w:r w:rsidRPr="002959E8">
                    <w:rPr>
                      <w:b/>
                      <w:bCs/>
                      <w:color w:val="548DD4" w:themeColor="text2" w:themeTint="99"/>
                    </w:rPr>
                    <w:t>R.3</w:t>
                  </w:r>
                  <w:r w:rsidRPr="002959E8">
                    <w:tab/>
                  </w:r>
                  <w:r w:rsidR="00A16191" w:rsidRPr="002959E8">
                    <w:t>Compartición de conocimientos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</w:tcPr>
                <w:p w:rsidR="0034044B" w:rsidRPr="002959E8" w:rsidRDefault="0034044B" w:rsidP="00735A92">
                  <w:pPr>
                    <w:pStyle w:val="Tabletext"/>
                    <w:rPr>
                      <w:b/>
                      <w:bCs/>
                    </w:rPr>
                  </w:pPr>
                  <w:r w:rsidRPr="002959E8">
                    <w:rPr>
                      <w:b/>
                      <w:bCs/>
                    </w:rPr>
                    <w:t>27%</w:t>
                  </w:r>
                </w:p>
              </w:tc>
            </w:tr>
          </w:tbl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34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4044B" w:rsidRPr="002959E8" w:rsidRDefault="0034044B" w:rsidP="00735A92">
            <w:pPr>
              <w:pStyle w:val="Tabletext"/>
            </w:pPr>
            <w:r w:rsidRPr="002959E8">
              <w:rPr>
                <w:b/>
                <w:bCs/>
                <w:color w:val="548DD4" w:themeColor="text2" w:themeTint="99"/>
              </w:rPr>
              <w:t>R.2-1</w:t>
            </w:r>
            <w:r w:rsidRPr="002959E8">
              <w:t>:</w:t>
            </w:r>
            <w:r w:rsidRPr="002959E8">
              <w:tab/>
            </w:r>
            <w:r w:rsidR="00603369" w:rsidRPr="002959E8">
              <w:t>Decisiones de la Asamblea de Radiocomunicaciones, Resoluciones del UIT-R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34044B" w:rsidRPr="002959E8" w:rsidRDefault="0034044B" w:rsidP="00735A92">
            <w:pPr>
              <w:pStyle w:val="Tabletext"/>
              <w:jc w:val="right"/>
            </w:pPr>
            <w:r w:rsidRPr="002959E8">
              <w:t>1%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34044B" w:rsidRPr="002959E8" w:rsidRDefault="0034044B" w:rsidP="00735A92">
            <w:pPr>
              <w:pStyle w:val="Tabletext"/>
              <w:jc w:val="right"/>
              <w:rPr>
                <w:b/>
                <w:bCs/>
              </w:rPr>
            </w:pPr>
            <w:r w:rsidRPr="002959E8">
              <w:rPr>
                <w:b/>
                <w:bCs/>
              </w:rPr>
              <w:t>9%</w:t>
            </w:r>
          </w:p>
        </w:tc>
      </w:tr>
      <w:tr w:rsidR="0034044B" w:rsidRPr="002959E8" w:rsidTr="00735A92">
        <w:tc>
          <w:tcPr>
            <w:tcW w:w="7230" w:type="dxa"/>
            <w:vMerge/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34044B" w:rsidRPr="002959E8" w:rsidRDefault="0034044B" w:rsidP="00735A92">
            <w:pPr>
              <w:pStyle w:val="Tabletext"/>
              <w:rPr>
                <w:b/>
                <w:bCs/>
                <w:color w:val="548DD4" w:themeColor="text2" w:themeTint="99"/>
              </w:rPr>
            </w:pPr>
            <w:r w:rsidRPr="002959E8">
              <w:rPr>
                <w:b/>
                <w:bCs/>
                <w:color w:val="548DD4" w:themeColor="text2" w:themeTint="99"/>
              </w:rPr>
              <w:t>R.2-2</w:t>
            </w:r>
            <w:r w:rsidRPr="002959E8">
              <w:t>:</w:t>
            </w:r>
            <w:r w:rsidRPr="002959E8">
              <w:tab/>
            </w:r>
            <w:r w:rsidR="00603369" w:rsidRPr="002959E8">
              <w:t>Recomendaciones, Informes (incluido el Informe de la RPC) y Manuales del UIT-R</w:t>
            </w:r>
          </w:p>
        </w:tc>
        <w:tc>
          <w:tcPr>
            <w:tcW w:w="906" w:type="dxa"/>
            <w:vAlign w:val="center"/>
          </w:tcPr>
          <w:p w:rsidR="0034044B" w:rsidRPr="002959E8" w:rsidRDefault="0034044B" w:rsidP="00735A92">
            <w:pPr>
              <w:pStyle w:val="Tabletext"/>
              <w:jc w:val="right"/>
            </w:pPr>
            <w:r w:rsidRPr="002959E8">
              <w:t>10%</w:t>
            </w:r>
          </w:p>
        </w:tc>
        <w:tc>
          <w:tcPr>
            <w:tcW w:w="980" w:type="dxa"/>
            <w:vAlign w:val="center"/>
          </w:tcPr>
          <w:p w:rsidR="0034044B" w:rsidRPr="002959E8" w:rsidRDefault="0034044B" w:rsidP="00735A92">
            <w:pPr>
              <w:pStyle w:val="Tabletext"/>
              <w:jc w:val="right"/>
              <w:rPr>
                <w:b/>
                <w:bCs/>
              </w:rPr>
            </w:pPr>
            <w:r w:rsidRPr="002959E8">
              <w:rPr>
                <w:b/>
                <w:bCs/>
              </w:rPr>
              <w:t>73%</w:t>
            </w:r>
          </w:p>
        </w:tc>
      </w:tr>
      <w:tr w:rsidR="0034044B" w:rsidRPr="002959E8" w:rsidTr="00735A92">
        <w:tc>
          <w:tcPr>
            <w:tcW w:w="7230" w:type="dxa"/>
            <w:vMerge/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34044B" w:rsidRPr="002959E8" w:rsidRDefault="0034044B" w:rsidP="00735A92">
            <w:pPr>
              <w:pStyle w:val="Tabletext"/>
              <w:rPr>
                <w:b/>
                <w:bCs/>
                <w:color w:val="548DD4" w:themeColor="text2" w:themeTint="99"/>
              </w:rPr>
            </w:pPr>
            <w:r w:rsidRPr="002959E8">
              <w:rPr>
                <w:b/>
                <w:bCs/>
                <w:color w:val="548DD4" w:themeColor="text2" w:themeTint="99"/>
              </w:rPr>
              <w:t>R.2-3</w:t>
            </w:r>
            <w:r w:rsidRPr="002959E8">
              <w:t>:</w:t>
            </w:r>
            <w:r w:rsidRPr="002959E8">
              <w:tab/>
            </w:r>
            <w:r w:rsidR="00603369" w:rsidRPr="002959E8">
              <w:t>Asesoramiento del Grupo Asesor de Radiocomunicaciones</w:t>
            </w:r>
          </w:p>
        </w:tc>
        <w:tc>
          <w:tcPr>
            <w:tcW w:w="906" w:type="dxa"/>
            <w:vAlign w:val="center"/>
          </w:tcPr>
          <w:p w:rsidR="0034044B" w:rsidRPr="002959E8" w:rsidRDefault="0034044B" w:rsidP="00735A92">
            <w:pPr>
              <w:pStyle w:val="Tabletext"/>
              <w:jc w:val="right"/>
            </w:pPr>
            <w:r w:rsidRPr="002959E8">
              <w:t>2%</w:t>
            </w:r>
          </w:p>
        </w:tc>
        <w:tc>
          <w:tcPr>
            <w:tcW w:w="980" w:type="dxa"/>
            <w:vAlign w:val="center"/>
          </w:tcPr>
          <w:p w:rsidR="0034044B" w:rsidRPr="002959E8" w:rsidRDefault="0034044B" w:rsidP="00735A92">
            <w:pPr>
              <w:pStyle w:val="Tabletext"/>
              <w:jc w:val="right"/>
              <w:rPr>
                <w:b/>
                <w:bCs/>
              </w:rPr>
            </w:pPr>
            <w:r w:rsidRPr="002959E8">
              <w:rPr>
                <w:b/>
                <w:bCs/>
              </w:rPr>
              <w:t>18%</w:t>
            </w:r>
          </w:p>
        </w:tc>
      </w:tr>
      <w:tr w:rsidR="0034044B" w:rsidRPr="002959E8" w:rsidTr="00735A92">
        <w:tc>
          <w:tcPr>
            <w:tcW w:w="7230" w:type="dxa"/>
            <w:vMerge/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4044B" w:rsidRPr="002959E8" w:rsidRDefault="0034044B" w:rsidP="00735A92">
            <w:pPr>
              <w:pStyle w:val="Tabletext"/>
            </w:pPr>
            <w:r w:rsidRPr="002959E8">
              <w:rPr>
                <w:b/>
                <w:bCs/>
                <w:color w:val="548DD4" w:themeColor="text2" w:themeTint="99"/>
              </w:rPr>
              <w:t>R.3-1</w:t>
            </w:r>
            <w:r w:rsidRPr="002959E8">
              <w:t>:</w:t>
            </w:r>
            <w:r w:rsidRPr="002959E8">
              <w:tab/>
            </w:r>
            <w:r w:rsidR="00603369" w:rsidRPr="002959E8">
              <w:t>Publicaciones del UIT-R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34044B" w:rsidRPr="002959E8" w:rsidRDefault="0034044B" w:rsidP="00735A92">
            <w:pPr>
              <w:pStyle w:val="Tabletext"/>
              <w:jc w:val="right"/>
            </w:pPr>
            <w:r w:rsidRPr="002959E8">
              <w:t>11%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34044B" w:rsidRPr="002959E8" w:rsidRDefault="0034044B" w:rsidP="00735A92">
            <w:pPr>
              <w:pStyle w:val="Tabletext"/>
              <w:jc w:val="right"/>
              <w:rPr>
                <w:b/>
                <w:bCs/>
              </w:rPr>
            </w:pPr>
            <w:r w:rsidRPr="002959E8">
              <w:rPr>
                <w:b/>
                <w:bCs/>
              </w:rPr>
              <w:t>39%</w:t>
            </w:r>
          </w:p>
        </w:tc>
      </w:tr>
      <w:tr w:rsidR="0034044B" w:rsidRPr="002959E8" w:rsidTr="00735A92">
        <w:tc>
          <w:tcPr>
            <w:tcW w:w="7230" w:type="dxa"/>
            <w:vMerge/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34044B" w:rsidRPr="002959E8" w:rsidRDefault="0034044B" w:rsidP="00735A92">
            <w:pPr>
              <w:pStyle w:val="Tabletext"/>
              <w:rPr>
                <w:b/>
                <w:bCs/>
                <w:color w:val="548DD4" w:themeColor="text2" w:themeTint="99"/>
              </w:rPr>
            </w:pPr>
            <w:r w:rsidRPr="002959E8">
              <w:rPr>
                <w:b/>
                <w:bCs/>
                <w:color w:val="548DD4" w:themeColor="text2" w:themeTint="99"/>
              </w:rPr>
              <w:t>R.3-2</w:t>
            </w:r>
            <w:r w:rsidRPr="002959E8">
              <w:t>:</w:t>
            </w:r>
            <w:r w:rsidRPr="002959E8">
              <w:tab/>
            </w:r>
            <w:r w:rsidR="00603369" w:rsidRPr="002959E8">
              <w:t>Asistencia a los miembros, en particular países en desarrollo y PMA</w:t>
            </w:r>
          </w:p>
        </w:tc>
        <w:tc>
          <w:tcPr>
            <w:tcW w:w="906" w:type="dxa"/>
            <w:vAlign w:val="center"/>
          </w:tcPr>
          <w:p w:rsidR="0034044B" w:rsidRPr="002959E8" w:rsidRDefault="0034044B" w:rsidP="00735A92">
            <w:pPr>
              <w:pStyle w:val="Tabletext"/>
              <w:jc w:val="right"/>
            </w:pPr>
            <w:r w:rsidRPr="002959E8">
              <w:t>7%</w:t>
            </w:r>
          </w:p>
        </w:tc>
        <w:tc>
          <w:tcPr>
            <w:tcW w:w="980" w:type="dxa"/>
            <w:vAlign w:val="center"/>
          </w:tcPr>
          <w:p w:rsidR="0034044B" w:rsidRPr="002959E8" w:rsidRDefault="0034044B" w:rsidP="00735A92">
            <w:pPr>
              <w:pStyle w:val="Tabletext"/>
              <w:jc w:val="right"/>
              <w:rPr>
                <w:b/>
                <w:bCs/>
              </w:rPr>
            </w:pPr>
            <w:r w:rsidRPr="002959E8">
              <w:rPr>
                <w:b/>
                <w:bCs/>
              </w:rPr>
              <w:t>26%</w:t>
            </w:r>
          </w:p>
        </w:tc>
      </w:tr>
      <w:tr w:rsidR="0034044B" w:rsidRPr="002959E8" w:rsidTr="00735A92">
        <w:tc>
          <w:tcPr>
            <w:tcW w:w="7230" w:type="dxa"/>
            <w:vMerge/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34044B" w:rsidRPr="002959E8" w:rsidRDefault="0034044B" w:rsidP="00735A92">
            <w:pPr>
              <w:pStyle w:val="Tabletext"/>
              <w:rPr>
                <w:b/>
                <w:bCs/>
                <w:color w:val="548DD4" w:themeColor="text2" w:themeTint="99"/>
              </w:rPr>
            </w:pPr>
            <w:r w:rsidRPr="002959E8">
              <w:rPr>
                <w:b/>
                <w:bCs/>
                <w:color w:val="548DD4" w:themeColor="text2" w:themeTint="99"/>
              </w:rPr>
              <w:t>R.3-3</w:t>
            </w:r>
            <w:r w:rsidRPr="002959E8">
              <w:t>:</w:t>
            </w:r>
            <w:r w:rsidRPr="002959E8">
              <w:tab/>
            </w:r>
            <w:r w:rsidR="00603369" w:rsidRPr="002959E8">
              <w:t>Coordinación/apoyo a actividades de desarrollo</w:t>
            </w:r>
          </w:p>
        </w:tc>
        <w:tc>
          <w:tcPr>
            <w:tcW w:w="906" w:type="dxa"/>
            <w:tcBorders>
              <w:bottom w:val="nil"/>
            </w:tcBorders>
            <w:vAlign w:val="center"/>
          </w:tcPr>
          <w:p w:rsidR="0034044B" w:rsidRPr="002959E8" w:rsidRDefault="0034044B" w:rsidP="00735A92">
            <w:pPr>
              <w:pStyle w:val="Tabletext"/>
              <w:jc w:val="right"/>
            </w:pPr>
            <w:r w:rsidRPr="002959E8">
              <w:t>2%</w:t>
            </w:r>
          </w:p>
        </w:tc>
        <w:tc>
          <w:tcPr>
            <w:tcW w:w="980" w:type="dxa"/>
            <w:tcBorders>
              <w:bottom w:val="nil"/>
            </w:tcBorders>
            <w:vAlign w:val="center"/>
          </w:tcPr>
          <w:p w:rsidR="0034044B" w:rsidRPr="002959E8" w:rsidRDefault="0034044B" w:rsidP="00735A92">
            <w:pPr>
              <w:pStyle w:val="Tabletext"/>
              <w:jc w:val="right"/>
              <w:rPr>
                <w:b/>
                <w:bCs/>
              </w:rPr>
            </w:pPr>
            <w:r w:rsidRPr="002959E8">
              <w:rPr>
                <w:b/>
                <w:bCs/>
              </w:rPr>
              <w:t>9%</w:t>
            </w:r>
          </w:p>
        </w:tc>
      </w:tr>
      <w:tr w:rsidR="0034044B" w:rsidRPr="002959E8" w:rsidTr="00735A92">
        <w:tc>
          <w:tcPr>
            <w:tcW w:w="7230" w:type="dxa"/>
            <w:vMerge/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4044B" w:rsidRPr="002959E8" w:rsidRDefault="0034044B" w:rsidP="00735A92">
            <w:pPr>
              <w:pStyle w:val="Tabletext"/>
              <w:rPr>
                <w:b/>
                <w:bCs/>
                <w:color w:val="548DD4" w:themeColor="text2" w:themeTint="99"/>
              </w:rPr>
            </w:pPr>
            <w:r w:rsidRPr="002959E8">
              <w:rPr>
                <w:b/>
                <w:bCs/>
                <w:color w:val="548DD4" w:themeColor="text2" w:themeTint="99"/>
              </w:rPr>
              <w:t>R.3-4</w:t>
            </w:r>
            <w:r w:rsidRPr="002959E8">
              <w:t>:</w:t>
            </w:r>
            <w:r w:rsidRPr="002959E8">
              <w:tab/>
            </w:r>
            <w:r w:rsidR="00603369" w:rsidRPr="002959E8">
              <w:t>Seminarios, talleres y otros eventos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34044B" w:rsidRPr="002959E8" w:rsidRDefault="0034044B" w:rsidP="00735A92">
            <w:pPr>
              <w:pStyle w:val="Tabletext"/>
              <w:jc w:val="right"/>
            </w:pPr>
            <w:r w:rsidRPr="002959E8">
              <w:t>7%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34044B" w:rsidRPr="002959E8" w:rsidRDefault="0034044B" w:rsidP="00735A92">
            <w:pPr>
              <w:pStyle w:val="Tabletext"/>
              <w:jc w:val="right"/>
              <w:rPr>
                <w:b/>
                <w:bCs/>
              </w:rPr>
            </w:pPr>
            <w:r w:rsidRPr="002959E8">
              <w:rPr>
                <w:b/>
                <w:bCs/>
              </w:rPr>
              <w:t>26%</w:t>
            </w:r>
          </w:p>
        </w:tc>
      </w:tr>
      <w:tr w:rsidR="0034044B" w:rsidRPr="002959E8" w:rsidTr="00735A92">
        <w:tc>
          <w:tcPr>
            <w:tcW w:w="7230" w:type="dxa"/>
            <w:vMerge/>
          </w:tcPr>
          <w:p w:rsidR="0034044B" w:rsidRPr="002959E8" w:rsidRDefault="0034044B" w:rsidP="00735A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</w:tcBorders>
          </w:tcPr>
          <w:p w:rsidR="0034044B" w:rsidRPr="002959E8" w:rsidRDefault="0034044B" w:rsidP="00735A92">
            <w:pPr>
              <w:pStyle w:val="Tablelegend"/>
              <w:spacing w:before="0"/>
              <w:rPr>
                <w:b/>
                <w:bCs/>
              </w:rPr>
            </w:pPr>
            <w:r w:rsidRPr="002959E8">
              <w:t>*</w:t>
            </w:r>
            <w:r w:rsidRPr="002959E8">
              <w:tab/>
            </w:r>
            <w:r w:rsidR="00603369" w:rsidRPr="000B6FE5">
              <w:rPr>
                <w:i/>
                <w:iCs/>
              </w:rPr>
              <w:t>El coste de estos productos se asigna a todos los objetivos de la Unión.</w:t>
            </w:r>
          </w:p>
        </w:tc>
      </w:tr>
    </w:tbl>
    <w:p w:rsidR="00603369" w:rsidRPr="002959E8" w:rsidRDefault="00603369" w:rsidP="001A4AE7">
      <w:r w:rsidRPr="002959E8">
        <w:br w:type="page"/>
      </w:r>
    </w:p>
    <w:p w:rsidR="000B6FE5" w:rsidRPr="001E6357" w:rsidRDefault="000B6FE5" w:rsidP="001E6357">
      <w:pPr>
        <w:pStyle w:val="Heading1"/>
        <w:spacing w:before="120"/>
      </w:pPr>
      <w:r w:rsidRPr="001E6357">
        <w:lastRenderedPageBreak/>
        <w:t>4</w:t>
      </w:r>
      <w:r w:rsidRPr="001E6357">
        <w:tab/>
        <w:t>Análisis de riesgos</w:t>
      </w:r>
    </w:p>
    <w:p w:rsidR="000B6FE5" w:rsidRPr="00C56A50" w:rsidRDefault="000B6FE5" w:rsidP="000B6FE5">
      <w:pPr>
        <w:spacing w:after="120"/>
      </w:pPr>
      <w:r w:rsidRPr="00C56A50">
        <w:t>Al pasar de la estrategia a la ejecución, se han identificado, analizado y evaluado los riesgos operacionales de nivel superior que figuran en el cuadro</w:t>
      </w:r>
      <w:r w:rsidRPr="00C56A50">
        <w:rPr>
          <w:i/>
          <w:iCs/>
        </w:rPr>
        <w:t xml:space="preserve"> infra</w:t>
      </w:r>
      <w:r w:rsidRPr="00C56A50">
        <w:t>. Las Oficinas y los Departamentos gestionarán todos los riesgos asociados a la consecución de los resultados pertinentes.</w:t>
      </w:r>
    </w:p>
    <w:tbl>
      <w:tblPr>
        <w:tblW w:w="14553" w:type="dxa"/>
        <w:tblLook w:val="04A0" w:firstRow="1" w:lastRow="0" w:firstColumn="1" w:lastColumn="0" w:noHBand="0" w:noVBand="1"/>
      </w:tblPr>
      <w:tblGrid>
        <w:gridCol w:w="2016"/>
        <w:gridCol w:w="3986"/>
        <w:gridCol w:w="1711"/>
        <w:gridCol w:w="1527"/>
        <w:gridCol w:w="5313"/>
      </w:tblGrid>
      <w:tr w:rsidR="000B6FE5" w:rsidRPr="00C56A50" w:rsidTr="000B6FE5">
        <w:trPr>
          <w:tblHeader/>
        </w:trPr>
        <w:tc>
          <w:tcPr>
            <w:tcW w:w="2017" w:type="dxa"/>
            <w:shd w:val="clear" w:color="auto" w:fill="5B9BD5"/>
            <w:vAlign w:val="center"/>
            <w:hideMark/>
          </w:tcPr>
          <w:p w:rsidR="000B6FE5" w:rsidRPr="00C56A50" w:rsidRDefault="000B6FE5" w:rsidP="000B6FE5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C56A50">
              <w:rPr>
                <w:color w:val="FFFFFF" w:themeColor="background1"/>
                <w:sz w:val="18"/>
                <w:szCs w:val="18"/>
              </w:rPr>
              <w:t>PERSPECTIVA</w:t>
            </w:r>
          </w:p>
        </w:tc>
        <w:tc>
          <w:tcPr>
            <w:tcW w:w="3991" w:type="dxa"/>
            <w:shd w:val="clear" w:color="auto" w:fill="5B9BD5"/>
            <w:vAlign w:val="center"/>
            <w:hideMark/>
          </w:tcPr>
          <w:p w:rsidR="000B6FE5" w:rsidRPr="00C56A50" w:rsidRDefault="000B6FE5" w:rsidP="000B6FE5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C56A50">
              <w:rPr>
                <w:color w:val="FFFFFF" w:themeColor="background1"/>
                <w:sz w:val="18"/>
                <w:szCs w:val="18"/>
              </w:rPr>
              <w:t>DESCRIPCIÓN DEL RIESGO</w:t>
            </w:r>
          </w:p>
        </w:tc>
        <w:tc>
          <w:tcPr>
            <w:tcW w:w="1711" w:type="dxa"/>
            <w:shd w:val="clear" w:color="auto" w:fill="5B9BD5"/>
            <w:vAlign w:val="center"/>
            <w:hideMark/>
          </w:tcPr>
          <w:p w:rsidR="000B6FE5" w:rsidRPr="00C56A50" w:rsidRDefault="000B6FE5" w:rsidP="000B6FE5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C56A50">
              <w:rPr>
                <w:color w:val="FFFFFF" w:themeColor="background1"/>
                <w:sz w:val="18"/>
                <w:szCs w:val="18"/>
              </w:rPr>
              <w:t>PROBABILIDAD</w:t>
            </w:r>
          </w:p>
        </w:tc>
        <w:tc>
          <w:tcPr>
            <w:tcW w:w="1512" w:type="dxa"/>
            <w:shd w:val="clear" w:color="auto" w:fill="5B9BD5"/>
            <w:vAlign w:val="center"/>
            <w:hideMark/>
          </w:tcPr>
          <w:p w:rsidR="000B6FE5" w:rsidRPr="00C56A50" w:rsidRDefault="000B6FE5" w:rsidP="000B6FE5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C56A50">
              <w:rPr>
                <w:color w:val="FFFFFF" w:themeColor="background1"/>
                <w:sz w:val="18"/>
                <w:szCs w:val="18"/>
              </w:rPr>
              <w:t>NIVEL DE REPERCUSIÓN</w:t>
            </w:r>
          </w:p>
        </w:tc>
        <w:tc>
          <w:tcPr>
            <w:tcW w:w="5322" w:type="dxa"/>
            <w:shd w:val="clear" w:color="auto" w:fill="5B9BD5"/>
            <w:vAlign w:val="center"/>
            <w:hideMark/>
          </w:tcPr>
          <w:p w:rsidR="000B6FE5" w:rsidRPr="00C56A50" w:rsidRDefault="000B6FE5" w:rsidP="00690F86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56A50">
              <w:rPr>
                <w:b/>
                <w:color w:val="FFFFFF" w:themeColor="background1"/>
                <w:sz w:val="18"/>
                <w:szCs w:val="18"/>
              </w:rPr>
              <w:t>MEDIDAS DE MITIGACIÓN</w:t>
            </w:r>
            <w:r w:rsidR="00690F86">
              <w:rPr>
                <w:rStyle w:val="FootnoteReference"/>
                <w:b/>
                <w:color w:val="FFFFFF" w:themeColor="background1"/>
                <w:szCs w:val="18"/>
              </w:rPr>
              <w:footnoteReference w:id="1"/>
            </w:r>
          </w:p>
        </w:tc>
      </w:tr>
      <w:tr w:rsidR="000B6FE5" w:rsidRPr="00C56A50" w:rsidTr="000B6FE5">
        <w:tc>
          <w:tcPr>
            <w:tcW w:w="2017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hideMark/>
          </w:tcPr>
          <w:p w:rsidR="000B6FE5" w:rsidRPr="00C56A50" w:rsidRDefault="000B6FE5" w:rsidP="000B6FE5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C56A50">
              <w:rPr>
                <w:b/>
                <w:bCs/>
                <w:sz w:val="18"/>
                <w:szCs w:val="18"/>
              </w:rPr>
              <w:t>OPERACIONAL</w:t>
            </w:r>
          </w:p>
        </w:tc>
        <w:tc>
          <w:tcPr>
            <w:tcW w:w="39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hideMark/>
          </w:tcPr>
          <w:p w:rsidR="000B6FE5" w:rsidRPr="00C56A50" w:rsidRDefault="000B6FE5" w:rsidP="000B6FE5">
            <w:pPr>
              <w:pStyle w:val="Tabletext"/>
              <w:ind w:left="284" w:hanging="284"/>
              <w:rPr>
                <w:sz w:val="18"/>
                <w:szCs w:val="18"/>
              </w:rPr>
            </w:pPr>
            <w:r w:rsidRPr="00C56A50">
              <w:rPr>
                <w:b/>
                <w:bCs/>
                <w:sz w:val="18"/>
                <w:szCs w:val="18"/>
              </w:rPr>
              <w:t>a)</w:t>
            </w:r>
            <w:r w:rsidRPr="00C56A50">
              <w:rPr>
                <w:sz w:val="18"/>
                <w:szCs w:val="18"/>
              </w:rPr>
              <w:tab/>
              <w:t>Una pérdida total o parcial de la integridad de los datos del MIFR o de cualesquiera planes, que resulta en una protección inadecuada de los derechos de las administraciones a utilizar recursos del espectro de radiofrecuencias y/o las órbitas de satélites</w:t>
            </w:r>
          </w:p>
          <w:p w:rsidR="000B6FE5" w:rsidRPr="00C56A50" w:rsidRDefault="000B6FE5" w:rsidP="000B6FE5">
            <w:pPr>
              <w:pStyle w:val="Tabletext"/>
              <w:ind w:left="284" w:hanging="284"/>
              <w:rPr>
                <w:sz w:val="18"/>
                <w:szCs w:val="18"/>
              </w:rPr>
            </w:pPr>
            <w:r w:rsidRPr="00C56A50">
              <w:rPr>
                <w:b/>
                <w:bCs/>
                <w:sz w:val="18"/>
                <w:szCs w:val="18"/>
              </w:rPr>
              <w:t>b)</w:t>
            </w:r>
            <w:r w:rsidRPr="00C56A50">
              <w:rPr>
                <w:sz w:val="18"/>
                <w:szCs w:val="18"/>
              </w:rPr>
              <w:tab/>
              <w:t>Una pérdida total o parcial de las operaciones relativas a la tramitación de notificaciones, que genera retrasos en el reconocimiento de los derechos de las administraciones a utilizar recursos del espectro de radiofrecuencias y/o las órbitas de satélites, y pone en riesgo las inversiones correspondientes</w:t>
            </w:r>
          </w:p>
        </w:tc>
        <w:tc>
          <w:tcPr>
            <w:tcW w:w="17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hideMark/>
          </w:tcPr>
          <w:p w:rsidR="000B6FE5" w:rsidRPr="00C56A50" w:rsidRDefault="000B6FE5" w:rsidP="000B6FE5">
            <w:pPr>
              <w:pStyle w:val="Tabletext"/>
              <w:jc w:val="center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Baja</w:t>
            </w:r>
          </w:p>
        </w:tc>
        <w:tc>
          <w:tcPr>
            <w:tcW w:w="151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hideMark/>
          </w:tcPr>
          <w:p w:rsidR="000B6FE5" w:rsidRPr="00C56A50" w:rsidRDefault="000B6FE5" w:rsidP="000B6FE5">
            <w:pPr>
              <w:pStyle w:val="Tabletext"/>
              <w:jc w:val="center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Muy elevado</w:t>
            </w:r>
          </w:p>
        </w:tc>
        <w:tc>
          <w:tcPr>
            <w:tcW w:w="53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hideMark/>
          </w:tcPr>
          <w:p w:rsidR="000B6FE5" w:rsidRPr="00C56A50" w:rsidRDefault="000B6FE5" w:rsidP="000B6FE5">
            <w:pPr>
              <w:pStyle w:val="Tabletext"/>
              <w:ind w:left="284" w:hanging="284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–</w:t>
            </w:r>
            <w:r w:rsidRPr="00C56A50">
              <w:rPr>
                <w:sz w:val="18"/>
                <w:szCs w:val="18"/>
              </w:rPr>
              <w:tab/>
              <w:t>Realizar copias de seguridad de los datos a diario</w:t>
            </w:r>
          </w:p>
          <w:p w:rsidR="000B6FE5" w:rsidRPr="00C56A50" w:rsidRDefault="000B6FE5" w:rsidP="000B6FE5">
            <w:pPr>
              <w:pStyle w:val="Tabletext"/>
              <w:ind w:left="284" w:hanging="284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–</w:t>
            </w:r>
            <w:r w:rsidRPr="00C56A50">
              <w:rPr>
                <w:sz w:val="18"/>
                <w:szCs w:val="18"/>
              </w:rPr>
              <w:tab/>
              <w:t>Elaborar un programa con un elevado nivel de protección de los datos</w:t>
            </w:r>
          </w:p>
          <w:p w:rsidR="000B6FE5" w:rsidRPr="00C56A50" w:rsidRDefault="000B6FE5" w:rsidP="000B6FE5">
            <w:pPr>
              <w:pStyle w:val="Tabletext"/>
              <w:ind w:left="284" w:hanging="284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–</w:t>
            </w:r>
            <w:r w:rsidRPr="00C56A50">
              <w:rPr>
                <w:sz w:val="18"/>
                <w:szCs w:val="18"/>
              </w:rPr>
              <w:tab/>
              <w:t>Crear las capacidades necesarias para restaurar datos u operaciones en un periodo de tiempo limitado</w:t>
            </w:r>
          </w:p>
        </w:tc>
      </w:tr>
      <w:tr w:rsidR="000B6FE5" w:rsidRPr="00C56A50" w:rsidTr="000B6FE5">
        <w:tc>
          <w:tcPr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0B6FE5" w:rsidRPr="00C56A50" w:rsidRDefault="000B6FE5" w:rsidP="000B6FE5">
            <w:pPr>
              <w:spacing w:before="40" w:after="40"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B6FE5" w:rsidRPr="00C56A50" w:rsidRDefault="000B6FE5" w:rsidP="000B6FE5">
            <w:pPr>
              <w:pStyle w:val="Tabletext"/>
              <w:ind w:left="284" w:hanging="284"/>
              <w:rPr>
                <w:sz w:val="18"/>
                <w:szCs w:val="18"/>
              </w:rPr>
            </w:pPr>
            <w:r w:rsidRPr="00C56A50">
              <w:rPr>
                <w:b/>
                <w:bCs/>
                <w:sz w:val="18"/>
                <w:szCs w:val="18"/>
              </w:rPr>
              <w:t>c)</w:t>
            </w:r>
            <w:r w:rsidRPr="00C56A50">
              <w:rPr>
                <w:sz w:val="18"/>
                <w:szCs w:val="18"/>
              </w:rPr>
              <w:tab/>
              <w:t>La aparición de una interferencia perjudicial (por ejemplo, debido a la inobservancia de las disposiciones reglamentarias), que ocasiona interrupciones en los servicios de radiocomunicaciones prestados por los miembros</w:t>
            </w:r>
          </w:p>
        </w:tc>
        <w:tc>
          <w:tcPr>
            <w:tcW w:w="17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0B6FE5" w:rsidRPr="00C56A50" w:rsidRDefault="000B6FE5" w:rsidP="000B6FE5">
            <w:pPr>
              <w:pStyle w:val="Tabletext"/>
              <w:jc w:val="center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Baja</w:t>
            </w:r>
          </w:p>
        </w:tc>
        <w:tc>
          <w:tcPr>
            <w:tcW w:w="151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0B6FE5" w:rsidRPr="00C56A50" w:rsidRDefault="000B6FE5" w:rsidP="000B6FE5">
            <w:pPr>
              <w:pStyle w:val="Tabletext"/>
              <w:jc w:val="center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Elevado</w:t>
            </w:r>
          </w:p>
        </w:tc>
        <w:tc>
          <w:tcPr>
            <w:tcW w:w="53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0B6FE5" w:rsidRPr="00C56A50" w:rsidRDefault="000B6FE5" w:rsidP="000B6FE5">
            <w:pPr>
              <w:pStyle w:val="Tabletext"/>
              <w:ind w:left="284" w:hanging="284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–</w:t>
            </w:r>
            <w:r w:rsidRPr="00C56A50">
              <w:rPr>
                <w:sz w:val="18"/>
                <w:szCs w:val="18"/>
              </w:rPr>
              <w:tab/>
              <w:t>Promover la creación de capacidades en los reglamentos internacionales, a través de seminarios regionales y mundiales, y cualesquiera otros eventos apropiados</w:t>
            </w:r>
          </w:p>
          <w:p w:rsidR="000B6FE5" w:rsidRPr="00C56A50" w:rsidRDefault="000B6FE5" w:rsidP="000B6FE5">
            <w:pPr>
              <w:pStyle w:val="Tabletext"/>
              <w:ind w:left="284" w:hanging="284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–</w:t>
            </w:r>
            <w:r w:rsidRPr="00C56A50">
              <w:rPr>
                <w:sz w:val="18"/>
                <w:szCs w:val="18"/>
              </w:rPr>
              <w:tab/>
              <w:t>Proporcionar asistencia de la BR en materia de aplicación de reglamentos internacionales</w:t>
            </w:r>
          </w:p>
          <w:p w:rsidR="000B6FE5" w:rsidRPr="00C56A50" w:rsidRDefault="000B6FE5" w:rsidP="000B6FE5">
            <w:pPr>
              <w:pStyle w:val="Tabletext"/>
              <w:ind w:left="284" w:hanging="284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–</w:t>
            </w:r>
            <w:r w:rsidRPr="00C56A50">
              <w:rPr>
                <w:sz w:val="18"/>
                <w:szCs w:val="18"/>
              </w:rPr>
              <w:tab/>
              <w:t>Fomentar la coordinación regional o subregional para la resolución de problemas relativos a las interferencias, con el apoyo de la BR</w:t>
            </w:r>
          </w:p>
          <w:p w:rsidR="000B6FE5" w:rsidRPr="00C56A50" w:rsidRDefault="000B6FE5" w:rsidP="000B6FE5">
            <w:pPr>
              <w:pStyle w:val="Tabletext"/>
              <w:ind w:left="284" w:hanging="284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–</w:t>
            </w:r>
            <w:r w:rsidRPr="00C56A50">
              <w:rPr>
                <w:sz w:val="18"/>
                <w:szCs w:val="18"/>
              </w:rPr>
              <w:tab/>
              <w:t>Documentar, informar y prestar asistencia para resolver casos de interferencia perjudicial con arreglo a las instrucciones del Director de la Oficina (Resolución 186 (Busán, 2014))</w:t>
            </w:r>
          </w:p>
        </w:tc>
      </w:tr>
      <w:tr w:rsidR="000B6FE5" w:rsidRPr="00C56A50" w:rsidTr="000B6FE5">
        <w:trPr>
          <w:cantSplit/>
        </w:trPr>
        <w:tc>
          <w:tcPr>
            <w:tcW w:w="20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hideMark/>
          </w:tcPr>
          <w:p w:rsidR="000B6FE5" w:rsidRPr="00C56A50" w:rsidRDefault="000B6FE5" w:rsidP="000B6FE5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C56A50">
              <w:rPr>
                <w:b/>
                <w:bCs/>
                <w:sz w:val="18"/>
                <w:szCs w:val="18"/>
              </w:rPr>
              <w:t>INSTITUCIONAL</w:t>
            </w:r>
          </w:p>
        </w:tc>
        <w:tc>
          <w:tcPr>
            <w:tcW w:w="39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hideMark/>
          </w:tcPr>
          <w:p w:rsidR="000B6FE5" w:rsidRPr="00C56A50" w:rsidRDefault="000B6FE5" w:rsidP="000B6FE5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Instalaciones inadecuadas para las reuniones de la UIT (por ejemplo, debido a la falta de salas y a la saturación del calendario de reuniones), que suscitan el descontento de los miembros y generan retrasos en los programas de trabajo</w:t>
            </w:r>
          </w:p>
        </w:tc>
        <w:tc>
          <w:tcPr>
            <w:tcW w:w="17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hideMark/>
          </w:tcPr>
          <w:p w:rsidR="000B6FE5" w:rsidRPr="00C56A50" w:rsidRDefault="000B6FE5" w:rsidP="000B6FE5">
            <w:pPr>
              <w:pStyle w:val="Tabletext"/>
              <w:jc w:val="center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Media</w:t>
            </w:r>
          </w:p>
        </w:tc>
        <w:tc>
          <w:tcPr>
            <w:tcW w:w="151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hideMark/>
          </w:tcPr>
          <w:p w:rsidR="000B6FE5" w:rsidRPr="00C56A50" w:rsidRDefault="000B6FE5" w:rsidP="000B6FE5">
            <w:pPr>
              <w:pStyle w:val="Tabletext"/>
              <w:jc w:val="center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Elevado</w:t>
            </w:r>
          </w:p>
        </w:tc>
        <w:tc>
          <w:tcPr>
            <w:tcW w:w="53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hideMark/>
          </w:tcPr>
          <w:p w:rsidR="000B6FE5" w:rsidRPr="00C56A50" w:rsidRDefault="000B6FE5" w:rsidP="000B6FE5">
            <w:pPr>
              <w:pStyle w:val="Tabletext"/>
              <w:ind w:left="284" w:hanging="284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–</w:t>
            </w:r>
            <w:r w:rsidRPr="00C56A50">
              <w:rPr>
                <w:sz w:val="18"/>
                <w:szCs w:val="18"/>
              </w:rPr>
              <w:tab/>
              <w:t>Celebrar más reuniones externas</w:t>
            </w:r>
          </w:p>
          <w:p w:rsidR="000B6FE5" w:rsidRPr="00C56A50" w:rsidRDefault="000B6FE5" w:rsidP="000B6FE5">
            <w:pPr>
              <w:pStyle w:val="Tabletext"/>
              <w:ind w:left="284" w:hanging="284"/>
              <w:rPr>
                <w:sz w:val="18"/>
                <w:szCs w:val="18"/>
              </w:rPr>
            </w:pPr>
            <w:r w:rsidRPr="00C56A50">
              <w:rPr>
                <w:sz w:val="18"/>
                <w:szCs w:val="18"/>
              </w:rPr>
              <w:t>–</w:t>
            </w:r>
            <w:r w:rsidRPr="00C56A50">
              <w:rPr>
                <w:sz w:val="18"/>
                <w:szCs w:val="18"/>
              </w:rPr>
              <w:tab/>
              <w:t>Incrementar el uso de salas de reunión virtuales para reuniones pequeñas</w:t>
            </w:r>
          </w:p>
        </w:tc>
      </w:tr>
    </w:tbl>
    <w:p w:rsidR="000B6FE5" w:rsidRDefault="000B6FE5" w:rsidP="000B6FE5">
      <w:pPr>
        <w:rPr>
          <w:rFonts w:asciiTheme="minorHAnsi" w:hAnsiTheme="minorHAnsi"/>
        </w:rPr>
      </w:pPr>
    </w:p>
    <w:p w:rsidR="001A4AE7" w:rsidRPr="002959E8" w:rsidRDefault="0073037D" w:rsidP="0073037D">
      <w:pPr>
        <w:pStyle w:val="Heading1"/>
        <w:spacing w:before="120"/>
      </w:pPr>
      <w:r w:rsidRPr="0073037D">
        <w:lastRenderedPageBreak/>
        <w:t>5</w:t>
      </w:r>
      <w:r w:rsidR="00603369" w:rsidRPr="002959E8">
        <w:tab/>
      </w:r>
      <w:r w:rsidR="001A4AE7" w:rsidRPr="002959E8">
        <w:t>Objetivos, resultados y productos del UIT-R para 2020-2023</w:t>
      </w:r>
    </w:p>
    <w:p w:rsidR="001A4AE7" w:rsidRPr="002959E8" w:rsidRDefault="001A4AE7" w:rsidP="001A4AE7">
      <w:r w:rsidRPr="002959E8">
        <w:t>Los objetivos se lograrán al alcanzar los resultados correspondientes mediante la aplicación de los productos. Los objetivos sectoriales e intersectoriales, en el ámbito de competencia de cada Sector y de la SG, contribuirán a conquistar las metas generales de la Unión.</w:t>
      </w:r>
    </w:p>
    <w:p w:rsidR="001A4AE7" w:rsidRPr="002959E8" w:rsidRDefault="0073037D" w:rsidP="00603369">
      <w:pPr>
        <w:pStyle w:val="Heading2"/>
      </w:pPr>
      <w:r>
        <w:t>5</w:t>
      </w:r>
      <w:r w:rsidR="001A4AE7" w:rsidRPr="002959E8">
        <w:t>.1</w:t>
      </w:r>
      <w:r w:rsidR="001A4AE7" w:rsidRPr="002959E8">
        <w:tab/>
        <w:t>UIT-R</w:t>
      </w:r>
    </w:p>
    <w:p w:rsidR="001A4AE7" w:rsidRPr="002959E8" w:rsidRDefault="001A4AE7" w:rsidP="007745AE">
      <w:pPr>
        <w:spacing w:after="120"/>
      </w:pPr>
      <w:r w:rsidRPr="002959E8">
        <w:t>R.1:</w:t>
      </w:r>
      <w:r w:rsidR="00603369" w:rsidRPr="002959E8">
        <w:tab/>
      </w:r>
      <w:r w:rsidRPr="002959E8">
        <w:t>Atender de manera racional, equitativa, eficiente, económica y oportuna a las necesidades de los miembros de la UIT en materia de recursos de espectro de radiofrecuencias y órbitas de satélites, evitando interferencias perjudiciales</w:t>
      </w:r>
      <w:r w:rsidR="00603369" w:rsidRPr="002959E8">
        <w:t>.</w:t>
      </w:r>
    </w:p>
    <w:tbl>
      <w:tblPr>
        <w:tblW w:w="1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21"/>
        <w:gridCol w:w="4592"/>
        <w:gridCol w:w="907"/>
        <w:gridCol w:w="907"/>
        <w:gridCol w:w="907"/>
        <w:gridCol w:w="907"/>
        <w:gridCol w:w="1134"/>
        <w:gridCol w:w="1247"/>
      </w:tblGrid>
      <w:tr w:rsidR="00E237A3" w:rsidRPr="002959E8" w:rsidTr="00E237A3">
        <w:trPr>
          <w:tblHeader/>
        </w:trPr>
        <w:tc>
          <w:tcPr>
            <w:tcW w:w="3621" w:type="dxa"/>
            <w:shd w:val="clear" w:color="auto" w:fill="4F81BD" w:themeFill="accent1"/>
          </w:tcPr>
          <w:p w:rsidR="00E237A3" w:rsidRPr="002959E8" w:rsidRDefault="00E237A3" w:rsidP="00E237A3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>Resultado</w:t>
            </w:r>
          </w:p>
        </w:tc>
        <w:tc>
          <w:tcPr>
            <w:tcW w:w="4592" w:type="dxa"/>
            <w:shd w:val="clear" w:color="auto" w:fill="4F81BD" w:themeFill="accent1"/>
          </w:tcPr>
          <w:p w:rsidR="00E237A3" w:rsidRPr="002959E8" w:rsidRDefault="00E237A3" w:rsidP="00E237A3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 xml:space="preserve">Indicador de resultados </w:t>
            </w:r>
          </w:p>
        </w:tc>
        <w:tc>
          <w:tcPr>
            <w:tcW w:w="907" w:type="dxa"/>
            <w:shd w:val="clear" w:color="auto" w:fill="4F81BD" w:themeFill="accent1"/>
          </w:tcPr>
          <w:p w:rsidR="00E237A3" w:rsidRPr="002959E8" w:rsidRDefault="00E237A3" w:rsidP="00E237A3">
            <w:pPr>
              <w:pStyle w:val="Tablehead"/>
              <w:rPr>
                <w:rFonts w:eastAsiaTheme="minorHAnsi"/>
                <w:color w:val="FFFFFF" w:themeColor="background1"/>
                <w:sz w:val="20"/>
              </w:rPr>
            </w:pPr>
            <w:r w:rsidRPr="002959E8">
              <w:rPr>
                <w:rFonts w:eastAsiaTheme="minorHAnsi"/>
                <w:color w:val="FFFFFF" w:themeColor="background1"/>
                <w:sz w:val="20"/>
              </w:rPr>
              <w:t>2015</w:t>
            </w:r>
          </w:p>
        </w:tc>
        <w:tc>
          <w:tcPr>
            <w:tcW w:w="907" w:type="dxa"/>
            <w:shd w:val="clear" w:color="auto" w:fill="4F81BD" w:themeFill="accent1"/>
          </w:tcPr>
          <w:p w:rsidR="00E237A3" w:rsidRPr="002959E8" w:rsidRDefault="00E237A3" w:rsidP="00E237A3">
            <w:pPr>
              <w:pStyle w:val="Tablehead"/>
              <w:rPr>
                <w:rFonts w:eastAsiaTheme="minorHAnsi"/>
                <w:color w:val="FFFFFF" w:themeColor="background1"/>
                <w:sz w:val="20"/>
              </w:rPr>
            </w:pPr>
            <w:r w:rsidRPr="002959E8">
              <w:rPr>
                <w:rFonts w:eastAsiaTheme="minorHAnsi"/>
                <w:color w:val="FFFFFF" w:themeColor="background1"/>
                <w:sz w:val="20"/>
              </w:rPr>
              <w:t>2016</w:t>
            </w:r>
          </w:p>
        </w:tc>
        <w:tc>
          <w:tcPr>
            <w:tcW w:w="907" w:type="dxa"/>
            <w:shd w:val="clear" w:color="auto" w:fill="4F81BD" w:themeFill="accent1"/>
          </w:tcPr>
          <w:p w:rsidR="00E237A3" w:rsidRPr="002959E8" w:rsidRDefault="00E237A3" w:rsidP="00E237A3">
            <w:pPr>
              <w:pStyle w:val="Tablehead"/>
              <w:rPr>
                <w:rFonts w:eastAsiaTheme="minorHAnsi"/>
                <w:color w:val="FFFFFF" w:themeColor="background1"/>
                <w:sz w:val="20"/>
              </w:rPr>
            </w:pPr>
            <w:r w:rsidRPr="002959E8">
              <w:rPr>
                <w:rFonts w:eastAsiaTheme="minorHAnsi"/>
                <w:color w:val="FFFFFF" w:themeColor="background1"/>
                <w:sz w:val="20"/>
              </w:rPr>
              <w:t>2017</w:t>
            </w:r>
          </w:p>
        </w:tc>
        <w:tc>
          <w:tcPr>
            <w:tcW w:w="907" w:type="dxa"/>
            <w:shd w:val="clear" w:color="auto" w:fill="4F81BD" w:themeFill="accent1"/>
          </w:tcPr>
          <w:p w:rsidR="00E237A3" w:rsidRPr="002959E8" w:rsidRDefault="00E237A3" w:rsidP="00E237A3">
            <w:pPr>
              <w:pStyle w:val="Tablehead"/>
              <w:rPr>
                <w:rFonts w:eastAsiaTheme="minorHAnsi"/>
                <w:color w:val="FFFFFF" w:themeColor="background1"/>
                <w:sz w:val="20"/>
              </w:rPr>
            </w:pPr>
            <w:r w:rsidRPr="002959E8">
              <w:rPr>
                <w:rFonts w:eastAsiaTheme="minorHAnsi"/>
                <w:color w:val="FFFFFF" w:themeColor="background1"/>
                <w:sz w:val="20"/>
              </w:rPr>
              <w:t>2018</w:t>
            </w:r>
          </w:p>
        </w:tc>
        <w:tc>
          <w:tcPr>
            <w:tcW w:w="1134" w:type="dxa"/>
            <w:shd w:val="clear" w:color="auto" w:fill="4F81BD" w:themeFill="accent1"/>
          </w:tcPr>
          <w:p w:rsidR="00E237A3" w:rsidRPr="002959E8" w:rsidRDefault="00E237A3" w:rsidP="00E237A3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>Meta 2023</w:t>
            </w:r>
          </w:p>
        </w:tc>
        <w:tc>
          <w:tcPr>
            <w:tcW w:w="1247" w:type="dxa"/>
            <w:shd w:val="clear" w:color="auto" w:fill="4F81BD" w:themeFill="accent1"/>
          </w:tcPr>
          <w:p w:rsidR="00E237A3" w:rsidRPr="002959E8" w:rsidRDefault="00E237A3" w:rsidP="00E237A3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>Origen</w:t>
            </w:r>
          </w:p>
        </w:tc>
      </w:tr>
      <w:tr w:rsidR="00E237A3" w:rsidRPr="002959E8" w:rsidTr="00E237A3">
        <w:tc>
          <w:tcPr>
            <w:tcW w:w="3621" w:type="dxa"/>
            <w:vMerge w:val="restart"/>
          </w:tcPr>
          <w:p w:rsidR="00E237A3" w:rsidRPr="002959E8" w:rsidRDefault="00E237A3" w:rsidP="00E237A3">
            <w:pPr>
              <w:pStyle w:val="Tabletext"/>
              <w:rPr>
                <w:rFonts w:cs="Arial"/>
                <w:sz w:val="20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R.1-1:</w:t>
            </w:r>
            <w:r w:rsidRPr="002959E8">
              <w:rPr>
                <w:rFonts w:cs="Arial"/>
                <w:sz w:val="20"/>
              </w:rPr>
              <w:t xml:space="preserve"> </w:t>
            </w:r>
            <w:r w:rsidRPr="002959E8">
              <w:rPr>
                <w:sz w:val="20"/>
              </w:rPr>
              <w:t>Aumento del número de países que tienen redes de satélite y estaciones terrenas inscritas en el Registro Internacional de Frecuencias (MIFR)</w:t>
            </w:r>
          </w:p>
        </w:tc>
        <w:tc>
          <w:tcPr>
            <w:tcW w:w="4592" w:type="dxa"/>
          </w:tcPr>
          <w:p w:rsidR="00E237A3" w:rsidRPr="002959E8" w:rsidRDefault="00E237A3" w:rsidP="00E237A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Número de países que tienen redes de satélite inscritas en el MIFR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52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56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63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69</w:t>
            </w:r>
          </w:p>
        </w:tc>
        <w:tc>
          <w:tcPr>
            <w:tcW w:w="1134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70</w:t>
            </w:r>
          </w:p>
        </w:tc>
        <w:tc>
          <w:tcPr>
            <w:tcW w:w="1247" w:type="dxa"/>
            <w:vMerge w:val="restart"/>
          </w:tcPr>
          <w:p w:rsidR="00E237A3" w:rsidRPr="002959E8" w:rsidRDefault="00E237A3" w:rsidP="00E237A3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BR/MIFR</w:t>
            </w:r>
          </w:p>
        </w:tc>
      </w:tr>
      <w:tr w:rsidR="00E237A3" w:rsidRPr="002959E8" w:rsidTr="00E237A3">
        <w:tc>
          <w:tcPr>
            <w:tcW w:w="3621" w:type="dxa"/>
            <w:vMerge/>
          </w:tcPr>
          <w:p w:rsidR="00E237A3" w:rsidRPr="002959E8" w:rsidRDefault="00E237A3" w:rsidP="00E237A3">
            <w:pPr>
              <w:pStyle w:val="Tabletext"/>
              <w:rPr>
                <w:rFonts w:cs="Arial"/>
                <w:color w:val="4F81BD" w:themeColor="accent1"/>
                <w:sz w:val="20"/>
              </w:rPr>
            </w:pPr>
          </w:p>
        </w:tc>
        <w:tc>
          <w:tcPr>
            <w:tcW w:w="4592" w:type="dxa"/>
          </w:tcPr>
          <w:p w:rsidR="00E237A3" w:rsidRPr="002959E8" w:rsidRDefault="00E237A3" w:rsidP="00E237A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Número de países que tienen estaciones terrenas inscritas en el MIFR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76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77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78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81</w:t>
            </w:r>
          </w:p>
        </w:tc>
        <w:tc>
          <w:tcPr>
            <w:tcW w:w="1134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120</w:t>
            </w:r>
          </w:p>
        </w:tc>
        <w:tc>
          <w:tcPr>
            <w:tcW w:w="1247" w:type="dxa"/>
            <w:vMerge/>
          </w:tcPr>
          <w:p w:rsidR="00E237A3" w:rsidRPr="002959E8" w:rsidRDefault="00E237A3" w:rsidP="00E237A3">
            <w:pPr>
              <w:pStyle w:val="Tabletext"/>
              <w:jc w:val="center"/>
              <w:rPr>
                <w:sz w:val="20"/>
              </w:rPr>
            </w:pPr>
          </w:p>
        </w:tc>
      </w:tr>
      <w:tr w:rsidR="00E237A3" w:rsidRPr="002959E8" w:rsidTr="00E237A3">
        <w:tc>
          <w:tcPr>
            <w:tcW w:w="3621" w:type="dxa"/>
            <w:vMerge w:val="restart"/>
          </w:tcPr>
          <w:p w:rsidR="00E237A3" w:rsidRPr="002959E8" w:rsidRDefault="00E237A3" w:rsidP="00E237A3">
            <w:pPr>
              <w:pStyle w:val="Tabletext"/>
              <w:rPr>
                <w:rFonts w:cs="Arial"/>
                <w:sz w:val="20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R.1-2:</w:t>
            </w:r>
            <w:r w:rsidRPr="002959E8">
              <w:rPr>
                <w:sz w:val="20"/>
              </w:rPr>
              <w:t xml:space="preserve"> Mayor número de países que tienen asignaciones de frecuencias terrenales inscritas en el MIFR</w:t>
            </w:r>
          </w:p>
        </w:tc>
        <w:tc>
          <w:tcPr>
            <w:tcW w:w="4592" w:type="dxa"/>
          </w:tcPr>
          <w:p w:rsidR="00E237A3" w:rsidRPr="002959E8" w:rsidRDefault="00E237A3" w:rsidP="00E237A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Número de países que tienen asignaciones de frecuencias terrenales inscritas en el MIFR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190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190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190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192</w:t>
            </w:r>
          </w:p>
        </w:tc>
        <w:tc>
          <w:tcPr>
            <w:tcW w:w="1134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193</w:t>
            </w:r>
          </w:p>
        </w:tc>
        <w:tc>
          <w:tcPr>
            <w:tcW w:w="1247" w:type="dxa"/>
            <w:vMerge w:val="restart"/>
          </w:tcPr>
          <w:p w:rsidR="00E237A3" w:rsidRPr="002959E8" w:rsidRDefault="00E237A3" w:rsidP="00E237A3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BR/MIFR</w:t>
            </w:r>
          </w:p>
        </w:tc>
      </w:tr>
      <w:tr w:rsidR="00E237A3" w:rsidRPr="002959E8" w:rsidTr="00E237A3">
        <w:tc>
          <w:tcPr>
            <w:tcW w:w="3621" w:type="dxa"/>
            <w:vMerge/>
          </w:tcPr>
          <w:p w:rsidR="00E237A3" w:rsidRPr="002959E8" w:rsidRDefault="00E237A3" w:rsidP="00E237A3">
            <w:pPr>
              <w:pStyle w:val="Tabletext"/>
              <w:rPr>
                <w:rFonts w:cs="Arial"/>
                <w:color w:val="4F81BD" w:themeColor="accent1"/>
                <w:sz w:val="20"/>
              </w:rPr>
            </w:pPr>
          </w:p>
        </w:tc>
        <w:tc>
          <w:tcPr>
            <w:tcW w:w="4592" w:type="dxa"/>
          </w:tcPr>
          <w:p w:rsidR="00E237A3" w:rsidRPr="002959E8" w:rsidRDefault="00E237A3" w:rsidP="00E237A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Número de países que inscribieron asignaciones de frecuencias terrenales inscritas en el MIFR en los 4 últimos años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84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79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81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81</w:t>
            </w:r>
          </w:p>
        </w:tc>
        <w:tc>
          <w:tcPr>
            <w:tcW w:w="1134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90</w:t>
            </w:r>
          </w:p>
        </w:tc>
        <w:tc>
          <w:tcPr>
            <w:tcW w:w="1247" w:type="dxa"/>
            <w:vMerge/>
          </w:tcPr>
          <w:p w:rsidR="00E237A3" w:rsidRPr="002959E8" w:rsidRDefault="00E237A3" w:rsidP="00E237A3">
            <w:pPr>
              <w:pStyle w:val="Tabletext"/>
              <w:jc w:val="center"/>
              <w:rPr>
                <w:sz w:val="20"/>
              </w:rPr>
            </w:pPr>
          </w:p>
        </w:tc>
      </w:tr>
      <w:tr w:rsidR="00E237A3" w:rsidRPr="002959E8" w:rsidTr="00E237A3">
        <w:tc>
          <w:tcPr>
            <w:tcW w:w="3621" w:type="dxa"/>
            <w:vMerge w:val="restart"/>
          </w:tcPr>
          <w:p w:rsidR="00E237A3" w:rsidRPr="002959E8" w:rsidRDefault="00E237A3" w:rsidP="00E237A3">
            <w:pPr>
              <w:pStyle w:val="Tabletext"/>
              <w:rPr>
                <w:rFonts w:cs="Arial"/>
                <w:sz w:val="20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R.1-3:</w:t>
            </w:r>
            <w:r w:rsidRPr="002959E8">
              <w:rPr>
                <w:rFonts w:cs="Arial"/>
                <w:sz w:val="20"/>
              </w:rPr>
              <w:t xml:space="preserve"> </w:t>
            </w:r>
            <w:r w:rsidRPr="002959E8">
              <w:rPr>
                <w:sz w:val="20"/>
              </w:rPr>
              <w:t>Mayor porcentaje de asignaciones inscritas en el Registro Internacional de Frecuencias con conclusión favorable</w:t>
            </w:r>
          </w:p>
        </w:tc>
        <w:tc>
          <w:tcPr>
            <w:tcW w:w="4592" w:type="dxa"/>
          </w:tcPr>
          <w:p w:rsidR="00E237A3" w:rsidRPr="002959E8" w:rsidRDefault="00E237A3" w:rsidP="00E237A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Sujetas a coordinación (Terrenal)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99,87%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99,88%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99,86%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99,87%</w:t>
            </w:r>
          </w:p>
        </w:tc>
        <w:tc>
          <w:tcPr>
            <w:tcW w:w="1134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99,99%</w:t>
            </w:r>
          </w:p>
        </w:tc>
        <w:tc>
          <w:tcPr>
            <w:tcW w:w="1247" w:type="dxa"/>
            <w:vMerge w:val="restart"/>
          </w:tcPr>
          <w:p w:rsidR="00E237A3" w:rsidRPr="002959E8" w:rsidRDefault="00E237A3" w:rsidP="00E237A3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BR/MIFR</w:t>
            </w:r>
          </w:p>
        </w:tc>
      </w:tr>
      <w:tr w:rsidR="00E237A3" w:rsidRPr="002959E8" w:rsidTr="00E237A3">
        <w:tc>
          <w:tcPr>
            <w:tcW w:w="3621" w:type="dxa"/>
            <w:vMerge/>
          </w:tcPr>
          <w:p w:rsidR="00E237A3" w:rsidRPr="002959E8" w:rsidRDefault="00E237A3" w:rsidP="00E237A3">
            <w:pPr>
              <w:pStyle w:val="Tabletext"/>
              <w:rPr>
                <w:rFonts w:cs="Arial"/>
                <w:color w:val="4F81BD" w:themeColor="accent1"/>
                <w:sz w:val="20"/>
              </w:rPr>
            </w:pPr>
          </w:p>
        </w:tc>
        <w:tc>
          <w:tcPr>
            <w:tcW w:w="4592" w:type="dxa"/>
          </w:tcPr>
          <w:p w:rsidR="00E237A3" w:rsidRPr="002959E8" w:rsidRDefault="00E237A3" w:rsidP="00E237A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Sujetas a un Plan (Terrenal)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74,46%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74,32%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74,40%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74,46%</w:t>
            </w:r>
          </w:p>
        </w:tc>
        <w:tc>
          <w:tcPr>
            <w:tcW w:w="1134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75%</w:t>
            </w:r>
          </w:p>
        </w:tc>
        <w:tc>
          <w:tcPr>
            <w:tcW w:w="1247" w:type="dxa"/>
            <w:vMerge/>
          </w:tcPr>
          <w:p w:rsidR="00E237A3" w:rsidRPr="002959E8" w:rsidRDefault="00E237A3" w:rsidP="00E237A3">
            <w:pPr>
              <w:pStyle w:val="Tabletext"/>
              <w:jc w:val="center"/>
              <w:rPr>
                <w:sz w:val="20"/>
              </w:rPr>
            </w:pPr>
          </w:p>
        </w:tc>
      </w:tr>
      <w:tr w:rsidR="00E237A3" w:rsidRPr="002959E8" w:rsidTr="00E237A3">
        <w:tc>
          <w:tcPr>
            <w:tcW w:w="3621" w:type="dxa"/>
            <w:vMerge/>
          </w:tcPr>
          <w:p w:rsidR="00E237A3" w:rsidRPr="002959E8" w:rsidRDefault="00E237A3" w:rsidP="00E237A3">
            <w:pPr>
              <w:pStyle w:val="Tabletext"/>
              <w:rPr>
                <w:rFonts w:cs="Arial"/>
                <w:color w:val="4F81BD" w:themeColor="accent1"/>
                <w:sz w:val="20"/>
              </w:rPr>
            </w:pPr>
          </w:p>
        </w:tc>
        <w:tc>
          <w:tcPr>
            <w:tcW w:w="4592" w:type="dxa"/>
          </w:tcPr>
          <w:p w:rsidR="00E237A3" w:rsidRPr="002959E8" w:rsidRDefault="00E237A3" w:rsidP="00E237A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Otras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98,37%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eastAsiaTheme="minorEastAsia" w:hAnsiTheme="majorBidi" w:cstheme="majorBidi"/>
                <w:sz w:val="20"/>
                <w:lang w:eastAsia="fr-FR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98,46%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98,46%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98,49%</w:t>
            </w:r>
          </w:p>
        </w:tc>
        <w:tc>
          <w:tcPr>
            <w:tcW w:w="1134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98,49%</w:t>
            </w:r>
          </w:p>
        </w:tc>
        <w:tc>
          <w:tcPr>
            <w:tcW w:w="1247" w:type="dxa"/>
            <w:vMerge/>
          </w:tcPr>
          <w:p w:rsidR="00E237A3" w:rsidRPr="002959E8" w:rsidRDefault="00E237A3" w:rsidP="00E237A3">
            <w:pPr>
              <w:pStyle w:val="Tabletext"/>
              <w:jc w:val="center"/>
              <w:rPr>
                <w:sz w:val="20"/>
              </w:rPr>
            </w:pPr>
          </w:p>
        </w:tc>
      </w:tr>
      <w:tr w:rsidR="00E237A3" w:rsidRPr="002959E8" w:rsidTr="00E237A3">
        <w:tc>
          <w:tcPr>
            <w:tcW w:w="3621" w:type="dxa"/>
          </w:tcPr>
          <w:p w:rsidR="00E237A3" w:rsidRPr="002959E8" w:rsidRDefault="00E237A3" w:rsidP="00E237A3">
            <w:pPr>
              <w:pStyle w:val="Tabletext"/>
              <w:rPr>
                <w:rFonts w:cs="Arial"/>
                <w:sz w:val="20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R.1-4:</w:t>
            </w:r>
            <w:r w:rsidRPr="002959E8">
              <w:rPr>
                <w:rFonts w:cs="Arial"/>
                <w:sz w:val="20"/>
              </w:rPr>
              <w:t xml:space="preserve"> </w:t>
            </w:r>
            <w:r w:rsidRPr="002959E8">
              <w:rPr>
                <w:sz w:val="20"/>
              </w:rPr>
              <w:t>Mayor porcentaje de países que han completado la transición a la radiodifusión de televisión terrenal digital</w:t>
            </w:r>
          </w:p>
        </w:tc>
        <w:tc>
          <w:tcPr>
            <w:tcW w:w="4592" w:type="dxa"/>
          </w:tcPr>
          <w:p w:rsidR="00E237A3" w:rsidRPr="002959E8" w:rsidRDefault="00E237A3" w:rsidP="00E237A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Porcentaje de países que han completado la transición a la radiodifusión de televisión terrenal digital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27%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28%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30%</w:t>
            </w:r>
          </w:p>
        </w:tc>
        <w:tc>
          <w:tcPr>
            <w:tcW w:w="90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30%</w:t>
            </w:r>
          </w:p>
        </w:tc>
        <w:tc>
          <w:tcPr>
            <w:tcW w:w="1134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70%</w:t>
            </w:r>
          </w:p>
        </w:tc>
        <w:tc>
          <w:tcPr>
            <w:tcW w:w="1247" w:type="dxa"/>
          </w:tcPr>
          <w:p w:rsidR="00E237A3" w:rsidRPr="002959E8" w:rsidRDefault="00E237A3" w:rsidP="00E237A3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BR y BDT</w:t>
            </w:r>
          </w:p>
        </w:tc>
      </w:tr>
      <w:tr w:rsidR="001A4AE7" w:rsidRPr="002959E8" w:rsidTr="00E237A3">
        <w:tc>
          <w:tcPr>
            <w:tcW w:w="3621" w:type="dxa"/>
          </w:tcPr>
          <w:p w:rsidR="001A4AE7" w:rsidRPr="002959E8" w:rsidRDefault="001A4AE7" w:rsidP="00D94B95">
            <w:pPr>
              <w:pStyle w:val="Tabletext"/>
              <w:rPr>
                <w:rFonts w:cs="Arial"/>
                <w:color w:val="4F81BD" w:themeColor="accent1"/>
                <w:sz w:val="20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R.1-5:</w:t>
            </w:r>
            <w:r w:rsidRPr="002959E8">
              <w:rPr>
                <w:rFonts w:cs="Arial"/>
                <w:color w:val="4F81BD" w:themeColor="accent1"/>
                <w:sz w:val="20"/>
              </w:rPr>
              <w:t xml:space="preserve"> </w:t>
            </w:r>
            <w:r w:rsidRPr="002959E8">
              <w:rPr>
                <w:rFonts w:cs="Arial"/>
                <w:color w:val="000000" w:themeColor="text1"/>
                <w:sz w:val="20"/>
              </w:rPr>
              <w:t>Mayor porcentaje de espectro exento de interferencia perjudicial asignado a redes de satélite</w:t>
            </w:r>
          </w:p>
        </w:tc>
        <w:tc>
          <w:tcPr>
            <w:tcW w:w="4592" w:type="dxa"/>
          </w:tcPr>
          <w:p w:rsidR="001A4AE7" w:rsidRPr="002959E8" w:rsidRDefault="001A4AE7" w:rsidP="00D94B95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Porcentaje de espectro asignado a redes de satélites que está libre de interferencia perjudicial</w:t>
            </w:r>
          </w:p>
        </w:tc>
        <w:tc>
          <w:tcPr>
            <w:tcW w:w="907" w:type="dxa"/>
          </w:tcPr>
          <w:p w:rsidR="001A4AE7" w:rsidRPr="002959E8" w:rsidRDefault="001A4AE7" w:rsidP="00E237A3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99,9</w:t>
            </w:r>
            <w:r w:rsidR="00E237A3" w:rsidRPr="002959E8">
              <w:rPr>
                <w:sz w:val="20"/>
              </w:rPr>
              <w:t>6</w:t>
            </w:r>
            <w:r w:rsidRPr="002959E8">
              <w:rPr>
                <w:sz w:val="20"/>
              </w:rPr>
              <w:t>%</w:t>
            </w:r>
          </w:p>
        </w:tc>
        <w:tc>
          <w:tcPr>
            <w:tcW w:w="907" w:type="dxa"/>
          </w:tcPr>
          <w:p w:rsidR="001A4AE7" w:rsidRPr="002959E8" w:rsidRDefault="00E237A3" w:rsidP="00D94B95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99,96%</w:t>
            </w:r>
          </w:p>
        </w:tc>
        <w:tc>
          <w:tcPr>
            <w:tcW w:w="907" w:type="dxa"/>
          </w:tcPr>
          <w:p w:rsidR="001A4AE7" w:rsidRPr="002959E8" w:rsidRDefault="00E237A3" w:rsidP="00D94B95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99,96%</w:t>
            </w:r>
          </w:p>
        </w:tc>
        <w:tc>
          <w:tcPr>
            <w:tcW w:w="907" w:type="dxa"/>
          </w:tcPr>
          <w:p w:rsidR="001A4AE7" w:rsidRPr="002959E8" w:rsidRDefault="001A4AE7" w:rsidP="00E237A3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99,9</w:t>
            </w:r>
            <w:r w:rsidR="00E237A3" w:rsidRPr="002959E8">
              <w:rPr>
                <w:sz w:val="20"/>
              </w:rPr>
              <w:t>4</w:t>
            </w:r>
            <w:r w:rsidRPr="002959E8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1A4AE7" w:rsidRPr="002959E8" w:rsidRDefault="001A4AE7" w:rsidP="00D94B95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99,99%</w:t>
            </w:r>
          </w:p>
        </w:tc>
        <w:tc>
          <w:tcPr>
            <w:tcW w:w="1247" w:type="dxa"/>
          </w:tcPr>
          <w:p w:rsidR="001A4AE7" w:rsidRPr="002959E8" w:rsidRDefault="001A4AE7" w:rsidP="00D94B95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BR/MIFR</w:t>
            </w:r>
          </w:p>
        </w:tc>
      </w:tr>
      <w:tr w:rsidR="001A4AE7" w:rsidRPr="002959E8" w:rsidTr="00E237A3">
        <w:tc>
          <w:tcPr>
            <w:tcW w:w="3621" w:type="dxa"/>
          </w:tcPr>
          <w:p w:rsidR="001A4AE7" w:rsidRPr="002959E8" w:rsidRDefault="001A4AE7" w:rsidP="00D94B95">
            <w:pPr>
              <w:pStyle w:val="Tabletext"/>
              <w:rPr>
                <w:rFonts w:cs="Arial"/>
                <w:color w:val="4F81BD" w:themeColor="accent1"/>
                <w:sz w:val="20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R.1-6:</w:t>
            </w:r>
            <w:r w:rsidRPr="002959E8">
              <w:rPr>
                <w:rFonts w:cs="Arial"/>
                <w:color w:val="4F81BD" w:themeColor="accent1"/>
                <w:sz w:val="20"/>
              </w:rPr>
              <w:t xml:space="preserve"> </w:t>
            </w:r>
            <w:r w:rsidRPr="002959E8">
              <w:rPr>
                <w:rFonts w:cs="Arial"/>
                <w:color w:val="000000" w:themeColor="text1"/>
                <w:sz w:val="20"/>
              </w:rPr>
              <w:t>Mayor porcentaje de asignaciones exentas de interferencias perjudiciales a servicios terrenales inscritas en el Registro</w:t>
            </w:r>
          </w:p>
        </w:tc>
        <w:tc>
          <w:tcPr>
            <w:tcW w:w="4592" w:type="dxa"/>
          </w:tcPr>
          <w:p w:rsidR="001A4AE7" w:rsidRPr="002959E8" w:rsidRDefault="001A4AE7" w:rsidP="00D94B95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Porcentaje de asignaciones a los servicios terrenales inscritas en el Registro que están libres de interferencia perjudicial (sobre la base del número de casos presentados a la UIT)</w:t>
            </w:r>
          </w:p>
        </w:tc>
        <w:tc>
          <w:tcPr>
            <w:tcW w:w="907" w:type="dxa"/>
          </w:tcPr>
          <w:p w:rsidR="001A4AE7" w:rsidRPr="002959E8" w:rsidRDefault="001A4AE7" w:rsidP="00D94B95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99,99%</w:t>
            </w:r>
          </w:p>
        </w:tc>
        <w:tc>
          <w:tcPr>
            <w:tcW w:w="907" w:type="dxa"/>
          </w:tcPr>
          <w:p w:rsidR="001A4AE7" w:rsidRPr="002959E8" w:rsidRDefault="001A4AE7" w:rsidP="00D94B95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99,99%</w:t>
            </w:r>
          </w:p>
        </w:tc>
        <w:tc>
          <w:tcPr>
            <w:tcW w:w="907" w:type="dxa"/>
          </w:tcPr>
          <w:p w:rsidR="001A4AE7" w:rsidRPr="002959E8" w:rsidRDefault="001A4AE7" w:rsidP="00D94B95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99,99%</w:t>
            </w:r>
          </w:p>
        </w:tc>
        <w:tc>
          <w:tcPr>
            <w:tcW w:w="907" w:type="dxa"/>
          </w:tcPr>
          <w:p w:rsidR="001A4AE7" w:rsidRPr="002959E8" w:rsidRDefault="00E237A3" w:rsidP="00D94B95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99,99%</w:t>
            </w:r>
          </w:p>
        </w:tc>
        <w:tc>
          <w:tcPr>
            <w:tcW w:w="1134" w:type="dxa"/>
          </w:tcPr>
          <w:p w:rsidR="001A4AE7" w:rsidRPr="002959E8" w:rsidRDefault="001A4AE7" w:rsidP="00D94B95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99,99%</w:t>
            </w:r>
          </w:p>
        </w:tc>
        <w:tc>
          <w:tcPr>
            <w:tcW w:w="1247" w:type="dxa"/>
          </w:tcPr>
          <w:p w:rsidR="001A4AE7" w:rsidRPr="002959E8" w:rsidRDefault="001A4AE7" w:rsidP="00D94B95">
            <w:pPr>
              <w:pStyle w:val="Tabletext"/>
              <w:jc w:val="center"/>
              <w:rPr>
                <w:sz w:val="20"/>
              </w:rPr>
            </w:pPr>
            <w:r w:rsidRPr="002959E8">
              <w:rPr>
                <w:sz w:val="20"/>
              </w:rPr>
              <w:t>BR/MIFR</w:t>
            </w:r>
          </w:p>
        </w:tc>
      </w:tr>
    </w:tbl>
    <w:p w:rsidR="001A4AE7" w:rsidRPr="002959E8" w:rsidRDefault="001A4AE7" w:rsidP="001A4AE7">
      <w:r w:rsidRPr="002959E8">
        <w:br w:type="page"/>
      </w:r>
    </w:p>
    <w:p w:rsidR="001A4AE7" w:rsidRPr="002959E8" w:rsidRDefault="001A4AE7" w:rsidP="001A4AE7">
      <w:pPr>
        <w:rPr>
          <w:rFonts w:asciiTheme="minorHAnsi" w:hAnsiTheme="minorHAnsi"/>
          <w:sz w:val="2"/>
          <w:szCs w:val="2"/>
        </w:rPr>
      </w:pPr>
    </w:p>
    <w:tbl>
      <w:tblPr>
        <w:tblW w:w="14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024"/>
        <w:gridCol w:w="1386"/>
        <w:gridCol w:w="1343"/>
        <w:gridCol w:w="1358"/>
        <w:gridCol w:w="1372"/>
      </w:tblGrid>
      <w:tr w:rsidR="001A4AE7" w:rsidRPr="002959E8" w:rsidTr="00BD66A4">
        <w:tc>
          <w:tcPr>
            <w:tcW w:w="9024" w:type="dxa"/>
            <w:shd w:val="clear" w:color="auto" w:fill="4F81BD" w:themeFill="accent1"/>
          </w:tcPr>
          <w:p w:rsidR="001A4AE7" w:rsidRPr="002959E8" w:rsidRDefault="001A4AE7" w:rsidP="00D94B95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>Producto</w:t>
            </w:r>
          </w:p>
        </w:tc>
        <w:tc>
          <w:tcPr>
            <w:tcW w:w="5459" w:type="dxa"/>
            <w:gridSpan w:val="4"/>
            <w:shd w:val="clear" w:color="auto" w:fill="4F81BD" w:themeFill="accent1"/>
          </w:tcPr>
          <w:p w:rsidR="001A4AE7" w:rsidRPr="002959E8" w:rsidRDefault="001A4AE7" w:rsidP="00690F86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>Recursos financieros</w:t>
            </w:r>
            <w:r w:rsidR="00690F86">
              <w:rPr>
                <w:rStyle w:val="FootnoteReference"/>
                <w:color w:val="FFFFFF" w:themeColor="background1"/>
              </w:rPr>
              <w:footnoteReference w:id="2"/>
            </w:r>
            <w:r w:rsidRPr="002959E8">
              <w:rPr>
                <w:color w:val="FFFFFF" w:themeColor="background1"/>
                <w:sz w:val="20"/>
              </w:rPr>
              <w:t xml:space="preserve"> (en miles CHF)</w:t>
            </w:r>
          </w:p>
        </w:tc>
      </w:tr>
      <w:tr w:rsidR="00BD66A4" w:rsidRPr="002959E8" w:rsidTr="00BD66A4">
        <w:tc>
          <w:tcPr>
            <w:tcW w:w="9024" w:type="dxa"/>
          </w:tcPr>
          <w:p w:rsidR="00BD66A4" w:rsidRPr="002959E8" w:rsidRDefault="00BD66A4" w:rsidP="00BD66A4">
            <w:pPr>
              <w:pStyle w:val="Tablehead"/>
              <w:rPr>
                <w:sz w:val="20"/>
              </w:rPr>
            </w:pPr>
          </w:p>
        </w:tc>
        <w:tc>
          <w:tcPr>
            <w:tcW w:w="1386" w:type="dxa"/>
          </w:tcPr>
          <w:p w:rsidR="00BD66A4" w:rsidRPr="002959E8" w:rsidRDefault="00BD66A4" w:rsidP="00BD66A4">
            <w:pPr>
              <w:pStyle w:val="Tablehead"/>
              <w:rPr>
                <w:color w:val="4F81BD" w:themeColor="accent1"/>
                <w:sz w:val="20"/>
              </w:rPr>
            </w:pPr>
            <w:r w:rsidRPr="002959E8">
              <w:rPr>
                <w:color w:val="4F81BD" w:themeColor="accent1"/>
                <w:sz w:val="20"/>
              </w:rPr>
              <w:t>2020</w:t>
            </w:r>
          </w:p>
        </w:tc>
        <w:tc>
          <w:tcPr>
            <w:tcW w:w="1343" w:type="dxa"/>
          </w:tcPr>
          <w:p w:rsidR="00BD66A4" w:rsidRPr="002959E8" w:rsidRDefault="00BD66A4" w:rsidP="00BD66A4">
            <w:pPr>
              <w:pStyle w:val="Tablehead"/>
              <w:rPr>
                <w:color w:val="4F81BD" w:themeColor="accent1"/>
                <w:sz w:val="20"/>
              </w:rPr>
            </w:pPr>
            <w:r w:rsidRPr="002959E8">
              <w:rPr>
                <w:color w:val="4F81BD" w:themeColor="accent1"/>
                <w:sz w:val="20"/>
              </w:rPr>
              <w:t>2021</w:t>
            </w:r>
          </w:p>
        </w:tc>
        <w:tc>
          <w:tcPr>
            <w:tcW w:w="1358" w:type="dxa"/>
          </w:tcPr>
          <w:p w:rsidR="00BD66A4" w:rsidRPr="002959E8" w:rsidRDefault="00BD66A4" w:rsidP="00BD66A4">
            <w:pPr>
              <w:pStyle w:val="Tablehead"/>
              <w:rPr>
                <w:color w:val="4F81BD" w:themeColor="accent1"/>
                <w:sz w:val="20"/>
              </w:rPr>
            </w:pPr>
            <w:r w:rsidRPr="002959E8">
              <w:rPr>
                <w:color w:val="4F81BD" w:themeColor="accent1"/>
                <w:sz w:val="20"/>
              </w:rPr>
              <w:t>2022</w:t>
            </w:r>
          </w:p>
        </w:tc>
        <w:tc>
          <w:tcPr>
            <w:tcW w:w="1372" w:type="dxa"/>
          </w:tcPr>
          <w:p w:rsidR="00BD66A4" w:rsidRPr="002959E8" w:rsidRDefault="00BD66A4" w:rsidP="00BD66A4">
            <w:pPr>
              <w:pStyle w:val="Tablehead"/>
              <w:rPr>
                <w:color w:val="4F81BD" w:themeColor="accent1"/>
                <w:sz w:val="20"/>
              </w:rPr>
            </w:pPr>
            <w:r w:rsidRPr="002959E8">
              <w:rPr>
                <w:color w:val="4F81BD" w:themeColor="accent1"/>
                <w:sz w:val="20"/>
              </w:rPr>
              <w:t>2023</w:t>
            </w:r>
          </w:p>
        </w:tc>
      </w:tr>
      <w:tr w:rsidR="00BD66A4" w:rsidRPr="002959E8" w:rsidTr="00BD66A4">
        <w:tc>
          <w:tcPr>
            <w:tcW w:w="9024" w:type="dxa"/>
            <w:vAlign w:val="center"/>
          </w:tcPr>
          <w:p w:rsidR="00BD66A4" w:rsidRPr="002959E8" w:rsidRDefault="00BD66A4" w:rsidP="00BD66A4">
            <w:pPr>
              <w:pStyle w:val="Tabletext"/>
              <w:rPr>
                <w:sz w:val="20"/>
                <w:lang w:eastAsia="zh-CN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R.1-1:</w:t>
            </w:r>
            <w:r w:rsidRPr="002959E8">
              <w:rPr>
                <w:color w:val="000000"/>
                <w:sz w:val="20"/>
              </w:rPr>
              <w:t xml:space="preserve"> </w:t>
            </w:r>
            <w:r w:rsidRPr="002959E8">
              <w:rPr>
                <w:sz w:val="20"/>
              </w:rPr>
              <w:t>Actas Finales de Conferencias Mundiales de Radiocomunicaciones, Reglamento de Radiocomunicaciones actualizado</w:t>
            </w:r>
          </w:p>
        </w:tc>
        <w:tc>
          <w:tcPr>
            <w:tcW w:w="1386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1 622</w:t>
            </w:r>
          </w:p>
        </w:tc>
        <w:tc>
          <w:tcPr>
            <w:tcW w:w="1343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1 685</w:t>
            </w:r>
          </w:p>
        </w:tc>
        <w:tc>
          <w:tcPr>
            <w:tcW w:w="1358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1 958</w:t>
            </w:r>
          </w:p>
        </w:tc>
        <w:tc>
          <w:tcPr>
            <w:tcW w:w="1372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8 934</w:t>
            </w:r>
          </w:p>
        </w:tc>
      </w:tr>
      <w:tr w:rsidR="00BD66A4" w:rsidRPr="002959E8" w:rsidTr="00BD66A4">
        <w:tc>
          <w:tcPr>
            <w:tcW w:w="9024" w:type="dxa"/>
            <w:vAlign w:val="center"/>
          </w:tcPr>
          <w:p w:rsidR="00BD66A4" w:rsidRPr="002959E8" w:rsidRDefault="00BD66A4" w:rsidP="00BD66A4">
            <w:pPr>
              <w:pStyle w:val="Tabletext"/>
              <w:rPr>
                <w:sz w:val="20"/>
                <w:lang w:eastAsia="zh-CN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R.1-2:</w:t>
            </w:r>
            <w:r w:rsidRPr="002959E8">
              <w:rPr>
                <w:color w:val="000000"/>
                <w:sz w:val="20"/>
              </w:rPr>
              <w:t xml:space="preserve"> </w:t>
            </w:r>
            <w:r w:rsidRPr="002959E8">
              <w:rPr>
                <w:sz w:val="20"/>
              </w:rPr>
              <w:t>Actas Finales de Conferencias Regionales de Radiocomunicaciones, Acuerdos Regionales</w:t>
            </w:r>
          </w:p>
        </w:tc>
        <w:tc>
          <w:tcPr>
            <w:tcW w:w="1386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644</w:t>
            </w:r>
          </w:p>
        </w:tc>
        <w:tc>
          <w:tcPr>
            <w:tcW w:w="1343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637</w:t>
            </w:r>
          </w:p>
        </w:tc>
        <w:tc>
          <w:tcPr>
            <w:tcW w:w="1358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258</w:t>
            </w:r>
          </w:p>
        </w:tc>
        <w:tc>
          <w:tcPr>
            <w:tcW w:w="1372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344</w:t>
            </w:r>
          </w:p>
        </w:tc>
      </w:tr>
      <w:tr w:rsidR="00BD66A4" w:rsidRPr="002959E8" w:rsidTr="00BD66A4">
        <w:tc>
          <w:tcPr>
            <w:tcW w:w="9024" w:type="dxa"/>
            <w:vAlign w:val="center"/>
          </w:tcPr>
          <w:p w:rsidR="00BD66A4" w:rsidRPr="002959E8" w:rsidRDefault="00BD66A4" w:rsidP="00BD66A4">
            <w:pPr>
              <w:pStyle w:val="Tabletext"/>
              <w:rPr>
                <w:sz w:val="20"/>
                <w:lang w:eastAsia="zh-CN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R.1-3:</w:t>
            </w:r>
            <w:r w:rsidRPr="002959E8">
              <w:rPr>
                <w:color w:val="000000"/>
                <w:sz w:val="20"/>
              </w:rPr>
              <w:t xml:space="preserve"> </w:t>
            </w:r>
            <w:r w:rsidRPr="002959E8">
              <w:rPr>
                <w:sz w:val="20"/>
              </w:rPr>
              <w:t>Reglas de Procedimiento adoptadas por la Junta del Reglamento de Radiocomunicaciones (RRB)</w:t>
            </w:r>
          </w:p>
        </w:tc>
        <w:tc>
          <w:tcPr>
            <w:tcW w:w="1386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2 387</w:t>
            </w:r>
          </w:p>
        </w:tc>
        <w:tc>
          <w:tcPr>
            <w:tcW w:w="1343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2 055</w:t>
            </w:r>
          </w:p>
        </w:tc>
        <w:tc>
          <w:tcPr>
            <w:tcW w:w="1358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2 311</w:t>
            </w:r>
          </w:p>
        </w:tc>
        <w:tc>
          <w:tcPr>
            <w:tcW w:w="1372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2 322</w:t>
            </w:r>
          </w:p>
        </w:tc>
      </w:tr>
      <w:tr w:rsidR="00BD66A4" w:rsidRPr="002959E8" w:rsidTr="00BD66A4">
        <w:tc>
          <w:tcPr>
            <w:tcW w:w="9024" w:type="dxa"/>
            <w:vAlign w:val="center"/>
          </w:tcPr>
          <w:p w:rsidR="00BD66A4" w:rsidRPr="002959E8" w:rsidRDefault="00BD66A4" w:rsidP="00BD66A4">
            <w:pPr>
              <w:pStyle w:val="Tabletext"/>
              <w:rPr>
                <w:sz w:val="20"/>
                <w:lang w:eastAsia="zh-CN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R.1-4:</w:t>
            </w:r>
            <w:r w:rsidRPr="002959E8">
              <w:rPr>
                <w:sz w:val="20"/>
              </w:rPr>
              <w:t xml:space="preserve"> Publicación de notificaciones espaciales y otras actividades conexas</w:t>
            </w:r>
          </w:p>
        </w:tc>
        <w:tc>
          <w:tcPr>
            <w:tcW w:w="1386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21 608</w:t>
            </w:r>
          </w:p>
        </w:tc>
        <w:tc>
          <w:tcPr>
            <w:tcW w:w="1343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21 280</w:t>
            </w:r>
          </w:p>
        </w:tc>
        <w:tc>
          <w:tcPr>
            <w:tcW w:w="1358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16 933</w:t>
            </w:r>
          </w:p>
        </w:tc>
        <w:tc>
          <w:tcPr>
            <w:tcW w:w="1372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16 933</w:t>
            </w:r>
          </w:p>
        </w:tc>
      </w:tr>
      <w:tr w:rsidR="00BD66A4" w:rsidRPr="002959E8" w:rsidTr="00BD66A4">
        <w:tc>
          <w:tcPr>
            <w:tcW w:w="9024" w:type="dxa"/>
            <w:vAlign w:val="center"/>
          </w:tcPr>
          <w:p w:rsidR="00BD66A4" w:rsidRPr="002959E8" w:rsidRDefault="00BD66A4" w:rsidP="00BD66A4">
            <w:pPr>
              <w:pStyle w:val="Tabletext"/>
              <w:rPr>
                <w:sz w:val="20"/>
                <w:lang w:eastAsia="zh-CN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R.1-5:</w:t>
            </w:r>
            <w:r w:rsidRPr="002959E8">
              <w:rPr>
                <w:b/>
                <w:bCs/>
                <w:color w:val="5B9BD5"/>
                <w:sz w:val="20"/>
              </w:rPr>
              <w:t xml:space="preserve"> </w:t>
            </w:r>
            <w:r w:rsidRPr="002959E8">
              <w:rPr>
                <w:sz w:val="20"/>
              </w:rPr>
              <w:t>Publicación de notificaciones terrenales y otras actividades conexas</w:t>
            </w:r>
          </w:p>
        </w:tc>
        <w:tc>
          <w:tcPr>
            <w:tcW w:w="1386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10 321</w:t>
            </w:r>
          </w:p>
        </w:tc>
        <w:tc>
          <w:tcPr>
            <w:tcW w:w="1343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10 138</w:t>
            </w:r>
          </w:p>
        </w:tc>
        <w:tc>
          <w:tcPr>
            <w:tcW w:w="1358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8 412</w:t>
            </w:r>
          </w:p>
        </w:tc>
        <w:tc>
          <w:tcPr>
            <w:tcW w:w="1372" w:type="dxa"/>
            <w:vAlign w:val="center"/>
          </w:tcPr>
          <w:p w:rsidR="00BD66A4" w:rsidRPr="002959E8" w:rsidRDefault="00BD66A4" w:rsidP="00BD66A4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8 083</w:t>
            </w:r>
          </w:p>
        </w:tc>
      </w:tr>
      <w:tr w:rsidR="001A4AE7" w:rsidRPr="002959E8" w:rsidTr="00BD66A4">
        <w:tc>
          <w:tcPr>
            <w:tcW w:w="9024" w:type="dxa"/>
            <w:vAlign w:val="center"/>
          </w:tcPr>
          <w:p w:rsidR="001A4AE7" w:rsidRPr="002959E8" w:rsidRDefault="001A4AE7" w:rsidP="00D94B95">
            <w:pPr>
              <w:pStyle w:val="Tabletext"/>
              <w:rPr>
                <w:b/>
                <w:bCs/>
                <w:color w:val="5B9BD5"/>
                <w:sz w:val="20"/>
              </w:rPr>
            </w:pPr>
            <w:r w:rsidRPr="002959E8">
              <w:rPr>
                <w:sz w:val="20"/>
              </w:rPr>
              <w:t xml:space="preserve">Atribución de costos a las actividades de la Conferencia de Plenipotenciarios y el Consejo </w:t>
            </w:r>
            <w:r w:rsidR="00BD66A4" w:rsidRPr="002959E8">
              <w:rPr>
                <w:sz w:val="20"/>
              </w:rPr>
              <w:br/>
            </w:r>
            <w:r w:rsidRPr="002959E8">
              <w:rPr>
                <w:b/>
                <w:bCs/>
                <w:color w:val="4F81BD" w:themeColor="accent1"/>
                <w:sz w:val="20"/>
              </w:rPr>
              <w:t>(PP</w:t>
            </w:r>
            <w:r w:rsidRPr="002959E8">
              <w:rPr>
                <w:color w:val="4F81BD" w:themeColor="accent1"/>
                <w:sz w:val="20"/>
              </w:rPr>
              <w:t xml:space="preserve">, </w:t>
            </w:r>
            <w:r w:rsidRPr="002959E8">
              <w:rPr>
                <w:b/>
                <w:bCs/>
                <w:color w:val="4F81BD" w:themeColor="accent1"/>
                <w:sz w:val="20"/>
              </w:rPr>
              <w:t>Consejo/GTC)</w:t>
            </w:r>
          </w:p>
        </w:tc>
        <w:tc>
          <w:tcPr>
            <w:tcW w:w="1386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343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372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sz w:val="20"/>
              </w:rPr>
            </w:pPr>
          </w:p>
        </w:tc>
      </w:tr>
      <w:tr w:rsidR="001A4AE7" w:rsidRPr="002959E8" w:rsidTr="00BD66A4">
        <w:tc>
          <w:tcPr>
            <w:tcW w:w="9024" w:type="dxa"/>
            <w:vAlign w:val="center"/>
          </w:tcPr>
          <w:p w:rsidR="001A4AE7" w:rsidRPr="002959E8" w:rsidRDefault="001A4AE7" w:rsidP="00D94B95">
            <w:pPr>
              <w:pStyle w:val="Tabletext"/>
              <w:rPr>
                <w:b/>
                <w:bCs/>
                <w:color w:val="4F81BD" w:themeColor="accent1"/>
                <w:sz w:val="20"/>
                <w:lang w:eastAsia="zh-CN"/>
              </w:rPr>
            </w:pPr>
            <w:r w:rsidRPr="002959E8">
              <w:rPr>
                <w:b/>
                <w:bCs/>
                <w:color w:val="4F81BD" w:themeColor="accent1"/>
                <w:sz w:val="20"/>
              </w:rPr>
              <w:t>Total para el Objetivo R.1</w:t>
            </w:r>
          </w:p>
        </w:tc>
        <w:tc>
          <w:tcPr>
            <w:tcW w:w="1386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43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8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2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b/>
                <w:bCs/>
                <w:sz w:val="20"/>
              </w:rPr>
            </w:pPr>
          </w:p>
        </w:tc>
      </w:tr>
    </w:tbl>
    <w:p w:rsidR="001A4AE7" w:rsidRPr="002959E8" w:rsidRDefault="001A4AE7" w:rsidP="001A4AE7">
      <w:r w:rsidRPr="002959E8">
        <w:br w:type="page"/>
      </w:r>
    </w:p>
    <w:p w:rsidR="001A4AE7" w:rsidRPr="002959E8" w:rsidRDefault="001A4AE7" w:rsidP="002959E8">
      <w:pPr>
        <w:spacing w:after="120"/>
      </w:pPr>
      <w:r w:rsidRPr="002959E8">
        <w:lastRenderedPageBreak/>
        <w:t>R.2:</w:t>
      </w:r>
      <w:r w:rsidR="006727B1" w:rsidRPr="002959E8">
        <w:tab/>
      </w:r>
      <w:r w:rsidRPr="002959E8">
        <w:t xml:space="preserve">Asegurar una conectividad e </w:t>
      </w:r>
      <w:r w:rsidR="002959E8">
        <w:t>interoperabilidad</w:t>
      </w:r>
      <w:r w:rsidRPr="002959E8">
        <w:t xml:space="preserve"> mundiales, mejora de la calidad de funcionamiento, calidad, asequibilidad y puntualidad de la economía de los servicios y global del sistema en las radiocomunicaciones, incluso mediante la elaboración de normas internacionales</w:t>
      </w:r>
      <w:r w:rsidR="009D34C6" w:rsidRPr="002959E8">
        <w:t>.</w:t>
      </w:r>
    </w:p>
    <w:tbl>
      <w:tblPr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175"/>
        <w:gridCol w:w="3231"/>
        <w:gridCol w:w="850"/>
        <w:gridCol w:w="842"/>
        <w:gridCol w:w="850"/>
        <w:gridCol w:w="850"/>
        <w:gridCol w:w="850"/>
        <w:gridCol w:w="1077"/>
        <w:gridCol w:w="3365"/>
      </w:tblGrid>
      <w:tr w:rsidR="00D155D5" w:rsidRPr="002959E8" w:rsidTr="00393222">
        <w:trPr>
          <w:tblHeader/>
          <w:jc w:val="center"/>
        </w:trPr>
        <w:tc>
          <w:tcPr>
            <w:tcW w:w="3175" w:type="dxa"/>
            <w:shd w:val="clear" w:color="auto" w:fill="4F81BD" w:themeFill="accent1"/>
            <w:vAlign w:val="center"/>
          </w:tcPr>
          <w:p w:rsidR="00D155D5" w:rsidRPr="002959E8" w:rsidRDefault="00D155D5" w:rsidP="00D155D5">
            <w:pPr>
              <w:pStyle w:val="Tablehead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2959E8">
              <w:rPr>
                <w:color w:val="FFFFFF" w:themeColor="background1"/>
                <w:sz w:val="18"/>
                <w:szCs w:val="18"/>
              </w:rPr>
              <w:t>Resultado</w:t>
            </w:r>
          </w:p>
        </w:tc>
        <w:tc>
          <w:tcPr>
            <w:tcW w:w="3231" w:type="dxa"/>
            <w:shd w:val="clear" w:color="auto" w:fill="4F81BD" w:themeFill="accent1"/>
            <w:vAlign w:val="center"/>
          </w:tcPr>
          <w:p w:rsidR="00D155D5" w:rsidRPr="002959E8" w:rsidRDefault="00D155D5" w:rsidP="00B209CC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2959E8">
              <w:rPr>
                <w:color w:val="FFFFFF" w:themeColor="background1"/>
                <w:sz w:val="18"/>
                <w:szCs w:val="18"/>
              </w:rPr>
              <w:t>Indicador de resultados</w:t>
            </w:r>
            <w:r w:rsidR="00B209CC">
              <w:rPr>
                <w:rStyle w:val="FootnoteReference"/>
                <w:color w:val="FFFFFF" w:themeColor="background1"/>
                <w:szCs w:val="18"/>
              </w:rPr>
              <w:footnoteReference w:id="3"/>
            </w:r>
          </w:p>
        </w:tc>
        <w:tc>
          <w:tcPr>
            <w:tcW w:w="850" w:type="dxa"/>
            <w:shd w:val="clear" w:color="auto" w:fill="4F81BD" w:themeFill="accent1"/>
            <w:vAlign w:val="center"/>
          </w:tcPr>
          <w:p w:rsidR="00D155D5" w:rsidRPr="002959E8" w:rsidRDefault="00D155D5" w:rsidP="00D155D5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2959E8"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842" w:type="dxa"/>
            <w:shd w:val="clear" w:color="auto" w:fill="4F81BD" w:themeFill="accent1"/>
            <w:vAlign w:val="center"/>
          </w:tcPr>
          <w:p w:rsidR="00D155D5" w:rsidRPr="002959E8" w:rsidRDefault="00D155D5" w:rsidP="00D155D5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2959E8"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850" w:type="dxa"/>
            <w:shd w:val="clear" w:color="auto" w:fill="4F81BD" w:themeFill="accent1"/>
            <w:vAlign w:val="center"/>
          </w:tcPr>
          <w:p w:rsidR="00D155D5" w:rsidRPr="002959E8" w:rsidRDefault="00D155D5" w:rsidP="00D155D5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2959E8"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850" w:type="dxa"/>
            <w:shd w:val="clear" w:color="auto" w:fill="4F81BD" w:themeFill="accent1"/>
            <w:vAlign w:val="center"/>
          </w:tcPr>
          <w:p w:rsidR="00D155D5" w:rsidRPr="002959E8" w:rsidRDefault="00D155D5" w:rsidP="00D155D5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2959E8"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850" w:type="dxa"/>
            <w:shd w:val="clear" w:color="auto" w:fill="4F81BD" w:themeFill="accent1"/>
            <w:vAlign w:val="center"/>
          </w:tcPr>
          <w:p w:rsidR="00D155D5" w:rsidRPr="002959E8" w:rsidRDefault="00D155D5" w:rsidP="00D155D5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2959E8"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4F81BD" w:themeFill="accent1"/>
            <w:vAlign w:val="center"/>
          </w:tcPr>
          <w:p w:rsidR="00D155D5" w:rsidRPr="002959E8" w:rsidRDefault="00D155D5" w:rsidP="00D155D5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2959E8">
              <w:rPr>
                <w:color w:val="FFFFFF" w:themeColor="background1"/>
                <w:sz w:val="18"/>
                <w:szCs w:val="18"/>
              </w:rPr>
              <w:t>Meta 2023</w:t>
            </w:r>
          </w:p>
        </w:tc>
        <w:tc>
          <w:tcPr>
            <w:tcW w:w="3365" w:type="dxa"/>
            <w:shd w:val="clear" w:color="auto" w:fill="4F81BD" w:themeFill="accent1"/>
            <w:vAlign w:val="center"/>
          </w:tcPr>
          <w:p w:rsidR="00D155D5" w:rsidRPr="002959E8" w:rsidRDefault="00D155D5" w:rsidP="00D155D5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2959E8">
              <w:rPr>
                <w:color w:val="FFFFFF" w:themeColor="background1"/>
                <w:sz w:val="18"/>
                <w:szCs w:val="18"/>
              </w:rPr>
              <w:t>Origen</w:t>
            </w:r>
          </w:p>
        </w:tc>
      </w:tr>
      <w:tr w:rsidR="00D155D5" w:rsidRPr="002959E8" w:rsidTr="00393222">
        <w:trPr>
          <w:jc w:val="center"/>
        </w:trPr>
        <w:tc>
          <w:tcPr>
            <w:tcW w:w="3175" w:type="dxa"/>
            <w:vMerge w:val="restart"/>
          </w:tcPr>
          <w:p w:rsidR="00D155D5" w:rsidRPr="002959E8" w:rsidRDefault="00D155D5" w:rsidP="00D155D5">
            <w:pPr>
              <w:pStyle w:val="Tabletext"/>
              <w:rPr>
                <w:rFonts w:cs="Arial"/>
                <w:b/>
                <w:bCs/>
                <w:sz w:val="18"/>
                <w:szCs w:val="18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18"/>
                <w:szCs w:val="18"/>
              </w:rPr>
              <w:t>R.2-1:</w:t>
            </w:r>
            <w:r w:rsidRPr="002959E8">
              <w:rPr>
                <w:sz w:val="18"/>
                <w:szCs w:val="18"/>
              </w:rPr>
              <w:t xml:space="preserve"> Mayor acceso de banda ancha móvil, incluso en bandas de frecuencias identificadas para las telecomunicaciones móviles internacionales (IMT)</w:t>
            </w:r>
          </w:p>
        </w:tc>
        <w:tc>
          <w:tcPr>
            <w:tcW w:w="3231" w:type="dxa"/>
          </w:tcPr>
          <w:p w:rsidR="00D155D5" w:rsidRPr="002959E8" w:rsidRDefault="00D155D5" w:rsidP="00D155D5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Número de abonos/abonados</w:t>
            </w:r>
          </w:p>
        </w:tc>
        <w:tc>
          <w:tcPr>
            <w:tcW w:w="850" w:type="dxa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7,01</w:t>
            </w:r>
          </w:p>
        </w:tc>
        <w:tc>
          <w:tcPr>
            <w:tcW w:w="842" w:type="dxa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7,22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7,51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7,81</w:t>
            </w:r>
          </w:p>
        </w:tc>
        <w:tc>
          <w:tcPr>
            <w:tcW w:w="850" w:type="dxa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8,16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9,2</w:t>
            </w:r>
          </w:p>
        </w:tc>
        <w:tc>
          <w:tcPr>
            <w:tcW w:w="3365" w:type="dxa"/>
            <w:vMerge w:val="restart"/>
          </w:tcPr>
          <w:p w:rsidR="00D155D5" w:rsidRPr="002959E8" w:rsidRDefault="00D155D5" w:rsidP="00D155D5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Estadísticas de TIC de la BDT de la UIT</w:t>
            </w:r>
          </w:p>
        </w:tc>
      </w:tr>
      <w:tr w:rsidR="00D155D5" w:rsidRPr="002959E8" w:rsidTr="00393222">
        <w:trPr>
          <w:jc w:val="center"/>
        </w:trPr>
        <w:tc>
          <w:tcPr>
            <w:tcW w:w="3175" w:type="dxa"/>
            <w:vMerge/>
          </w:tcPr>
          <w:p w:rsidR="00D155D5" w:rsidRPr="002959E8" w:rsidRDefault="00D155D5" w:rsidP="00D155D5">
            <w:pPr>
              <w:pStyle w:val="Tabletext"/>
              <w:rPr>
                <w:rFonts w:cs="Arial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3231" w:type="dxa"/>
          </w:tcPr>
          <w:p w:rsidR="00D155D5" w:rsidRPr="002959E8" w:rsidRDefault="00D155D5" w:rsidP="00D155D5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% de abonos a la banda ancha móvil</w:t>
            </w:r>
          </w:p>
        </w:tc>
        <w:tc>
          <w:tcPr>
            <w:tcW w:w="850" w:type="dxa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38%</w:t>
            </w:r>
          </w:p>
        </w:tc>
        <w:tc>
          <w:tcPr>
            <w:tcW w:w="842" w:type="dxa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45%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55D5" w:rsidRPr="002959E8" w:rsidRDefault="00D155D5" w:rsidP="009B4F0B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51%</w:t>
            </w:r>
            <w:r w:rsidR="009B4F0B" w:rsidRPr="002959E8">
              <w:rPr>
                <w:sz w:val="18"/>
                <w:szCs w:val="18"/>
              </w:rPr>
              <w:footnoteReference w:customMarkFollows="1" w:id="4"/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55%*</w:t>
            </w:r>
          </w:p>
        </w:tc>
        <w:tc>
          <w:tcPr>
            <w:tcW w:w="850" w:type="dxa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65%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D155D5" w:rsidRPr="002959E8" w:rsidRDefault="00D155D5" w:rsidP="00D155D5">
            <w:pPr>
              <w:pStyle w:val="Tabletext"/>
              <w:rPr>
                <w:sz w:val="18"/>
                <w:szCs w:val="18"/>
              </w:rPr>
            </w:pPr>
          </w:p>
        </w:tc>
      </w:tr>
      <w:tr w:rsidR="00D155D5" w:rsidRPr="002959E8" w:rsidTr="00393222">
        <w:trPr>
          <w:jc w:val="center"/>
        </w:trPr>
        <w:tc>
          <w:tcPr>
            <w:tcW w:w="3175" w:type="dxa"/>
            <w:vMerge/>
          </w:tcPr>
          <w:p w:rsidR="00D155D5" w:rsidRPr="002959E8" w:rsidRDefault="00D155D5" w:rsidP="00D155D5">
            <w:pPr>
              <w:pStyle w:val="Tabletext"/>
              <w:rPr>
                <w:rFonts w:cs="Arial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3231" w:type="dxa"/>
          </w:tcPr>
          <w:p w:rsidR="00D155D5" w:rsidRPr="002959E8" w:rsidRDefault="00D155D5" w:rsidP="00D155D5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Número de abonados (miles de millones)</w:t>
            </w:r>
          </w:p>
        </w:tc>
        <w:tc>
          <w:tcPr>
            <w:tcW w:w="850" w:type="dxa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4,83</w:t>
            </w:r>
          </w:p>
        </w:tc>
        <w:tc>
          <w:tcPr>
            <w:tcW w:w="842" w:type="dxa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5,18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5,63</w:t>
            </w:r>
          </w:p>
        </w:tc>
        <w:tc>
          <w:tcPr>
            <w:tcW w:w="850" w:type="dxa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6,34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155D5" w:rsidRPr="002959E8" w:rsidRDefault="00D155D5" w:rsidP="00D155D5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6,34</w:t>
            </w:r>
          </w:p>
        </w:tc>
        <w:tc>
          <w:tcPr>
            <w:tcW w:w="3365" w:type="dxa"/>
          </w:tcPr>
          <w:p w:rsidR="00D155D5" w:rsidRPr="002959E8" w:rsidRDefault="00D155D5" w:rsidP="00D155D5">
            <w:pPr>
              <w:pStyle w:val="Tabletext"/>
              <w:rPr>
                <w:sz w:val="18"/>
                <w:szCs w:val="18"/>
              </w:rPr>
            </w:pPr>
          </w:p>
        </w:tc>
      </w:tr>
      <w:tr w:rsidR="00910A9E" w:rsidRPr="002959E8" w:rsidTr="00393222">
        <w:trPr>
          <w:jc w:val="center"/>
        </w:trPr>
        <w:tc>
          <w:tcPr>
            <w:tcW w:w="3175" w:type="dxa"/>
            <w:vMerge w:val="restart"/>
          </w:tcPr>
          <w:p w:rsidR="00910A9E" w:rsidRPr="002959E8" w:rsidRDefault="00910A9E" w:rsidP="00910A9E">
            <w:pPr>
              <w:pStyle w:val="Tabletext"/>
              <w:rPr>
                <w:rFonts w:cs="Arial"/>
                <w:b/>
                <w:bCs/>
                <w:sz w:val="18"/>
                <w:szCs w:val="18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18"/>
                <w:szCs w:val="18"/>
              </w:rPr>
              <w:t>R.2-2:</w:t>
            </w:r>
            <w:r w:rsidRPr="002959E8">
              <w:rPr>
                <w:rFonts w:cs="Arial"/>
                <w:sz w:val="18"/>
                <w:szCs w:val="18"/>
              </w:rPr>
              <w:t xml:space="preserve"> </w:t>
            </w:r>
            <w:r w:rsidRPr="002959E8">
              <w:rPr>
                <w:sz w:val="18"/>
                <w:szCs w:val="18"/>
              </w:rPr>
              <w:t>Disminución de la cesta de precios de la banda ancha móvil en porcentaje de la Renta Nacional Bruta (RNB) por habitante</w:t>
            </w:r>
          </w:p>
        </w:tc>
        <w:tc>
          <w:tcPr>
            <w:tcW w:w="3231" w:type="dxa"/>
          </w:tcPr>
          <w:p w:rsidR="00910A9E" w:rsidRPr="002959E8" w:rsidRDefault="00910A9E" w:rsidP="00910A9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Cesta de precios de la banda ancha móvil en porcentaje de la RNB por habitante (prepago, teléfono móvil, 500 MB)</w:t>
            </w:r>
          </w:p>
        </w:tc>
        <w:tc>
          <w:tcPr>
            <w:tcW w:w="850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5,50</w:t>
            </w:r>
          </w:p>
        </w:tc>
        <w:tc>
          <w:tcPr>
            <w:tcW w:w="842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3,6</w:t>
            </w:r>
          </w:p>
        </w:tc>
        <w:tc>
          <w:tcPr>
            <w:tcW w:w="850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3,6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</w:t>
            </w:r>
          </w:p>
        </w:tc>
        <w:tc>
          <w:tcPr>
            <w:tcW w:w="3365" w:type="dxa"/>
            <w:vMerge w:val="restart"/>
          </w:tcPr>
          <w:p w:rsidR="00910A9E" w:rsidRPr="002959E8" w:rsidRDefault="00910A9E" w:rsidP="00910A9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Estadísticas de TIC de la BDT de la UIT</w:t>
            </w:r>
          </w:p>
        </w:tc>
      </w:tr>
      <w:tr w:rsidR="00910A9E" w:rsidRPr="002959E8" w:rsidTr="00393222">
        <w:trPr>
          <w:jc w:val="center"/>
        </w:trPr>
        <w:tc>
          <w:tcPr>
            <w:tcW w:w="3175" w:type="dxa"/>
            <w:vMerge/>
          </w:tcPr>
          <w:p w:rsidR="00910A9E" w:rsidRPr="002959E8" w:rsidRDefault="00910A9E" w:rsidP="00910A9E">
            <w:pPr>
              <w:pStyle w:val="Tabletext"/>
              <w:rPr>
                <w:rFonts w:cs="Arial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3231" w:type="dxa"/>
          </w:tcPr>
          <w:p w:rsidR="00910A9E" w:rsidRPr="002959E8" w:rsidRDefault="00910A9E" w:rsidP="00910A9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Países desarrollados</w:t>
            </w:r>
          </w:p>
        </w:tc>
        <w:tc>
          <w:tcPr>
            <w:tcW w:w="850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0,75</w:t>
            </w:r>
          </w:p>
        </w:tc>
        <w:tc>
          <w:tcPr>
            <w:tcW w:w="842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0,57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0,6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910A9E" w:rsidRPr="002959E8" w:rsidRDefault="00910A9E" w:rsidP="00910A9E">
            <w:pPr>
              <w:pStyle w:val="Tabletext"/>
              <w:rPr>
                <w:sz w:val="18"/>
                <w:szCs w:val="18"/>
              </w:rPr>
            </w:pPr>
          </w:p>
        </w:tc>
      </w:tr>
      <w:tr w:rsidR="00910A9E" w:rsidRPr="002959E8" w:rsidTr="00393222">
        <w:trPr>
          <w:jc w:val="center"/>
        </w:trPr>
        <w:tc>
          <w:tcPr>
            <w:tcW w:w="3175" w:type="dxa"/>
            <w:vMerge/>
          </w:tcPr>
          <w:p w:rsidR="00910A9E" w:rsidRPr="002959E8" w:rsidRDefault="00910A9E" w:rsidP="00910A9E">
            <w:pPr>
              <w:pStyle w:val="Tabletext"/>
              <w:rPr>
                <w:rFonts w:cs="Arial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3231" w:type="dxa"/>
          </w:tcPr>
          <w:p w:rsidR="00910A9E" w:rsidRPr="002959E8" w:rsidRDefault="00910A9E" w:rsidP="00910A9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Países en desarrollo</w:t>
            </w:r>
          </w:p>
        </w:tc>
        <w:tc>
          <w:tcPr>
            <w:tcW w:w="850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7,2</w:t>
            </w:r>
          </w:p>
        </w:tc>
        <w:tc>
          <w:tcPr>
            <w:tcW w:w="842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4,8</w:t>
            </w:r>
          </w:p>
        </w:tc>
        <w:tc>
          <w:tcPr>
            <w:tcW w:w="850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4,8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910A9E" w:rsidRPr="002959E8" w:rsidRDefault="00910A9E" w:rsidP="00910A9E">
            <w:pPr>
              <w:pStyle w:val="Tabletext"/>
              <w:rPr>
                <w:sz w:val="18"/>
                <w:szCs w:val="18"/>
              </w:rPr>
            </w:pPr>
          </w:p>
        </w:tc>
      </w:tr>
      <w:tr w:rsidR="00910A9E" w:rsidRPr="002959E8" w:rsidTr="00393222">
        <w:trPr>
          <w:jc w:val="center"/>
        </w:trPr>
        <w:tc>
          <w:tcPr>
            <w:tcW w:w="3175" w:type="dxa"/>
            <w:vMerge/>
          </w:tcPr>
          <w:p w:rsidR="00910A9E" w:rsidRPr="002959E8" w:rsidRDefault="00910A9E" w:rsidP="00910A9E">
            <w:pPr>
              <w:pStyle w:val="Tabletext"/>
              <w:rPr>
                <w:rFonts w:cs="Arial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3231" w:type="dxa"/>
          </w:tcPr>
          <w:p w:rsidR="00910A9E" w:rsidRPr="002959E8" w:rsidRDefault="00910A9E" w:rsidP="00910A9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Países menos adelantados</w:t>
            </w:r>
          </w:p>
        </w:tc>
        <w:tc>
          <w:tcPr>
            <w:tcW w:w="850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17,0</w:t>
            </w:r>
          </w:p>
        </w:tc>
        <w:tc>
          <w:tcPr>
            <w:tcW w:w="842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9,21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10,4</w:t>
            </w:r>
          </w:p>
        </w:tc>
        <w:tc>
          <w:tcPr>
            <w:tcW w:w="850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10,4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910A9E" w:rsidRPr="002959E8" w:rsidRDefault="00910A9E" w:rsidP="00910A9E">
            <w:pPr>
              <w:pStyle w:val="Tabletext"/>
              <w:rPr>
                <w:sz w:val="18"/>
                <w:szCs w:val="18"/>
              </w:rPr>
            </w:pPr>
          </w:p>
        </w:tc>
      </w:tr>
      <w:tr w:rsidR="00910A9E" w:rsidRPr="002959E8" w:rsidTr="00393222">
        <w:trPr>
          <w:jc w:val="center"/>
        </w:trPr>
        <w:tc>
          <w:tcPr>
            <w:tcW w:w="3175" w:type="dxa"/>
            <w:vMerge/>
          </w:tcPr>
          <w:p w:rsidR="00910A9E" w:rsidRPr="002959E8" w:rsidRDefault="00910A9E" w:rsidP="00910A9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:rsidR="00910A9E" w:rsidRPr="002959E8" w:rsidRDefault="00910A9E" w:rsidP="00910A9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Número de países con una cesta de precios por debajo del 5%</w:t>
            </w:r>
          </w:p>
        </w:tc>
        <w:tc>
          <w:tcPr>
            <w:tcW w:w="850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117</w:t>
            </w:r>
          </w:p>
        </w:tc>
        <w:tc>
          <w:tcPr>
            <w:tcW w:w="842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10A9E" w:rsidRPr="002959E8" w:rsidRDefault="00910A9E" w:rsidP="00910A9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193</w:t>
            </w:r>
          </w:p>
        </w:tc>
        <w:tc>
          <w:tcPr>
            <w:tcW w:w="3365" w:type="dxa"/>
            <w:vMerge/>
          </w:tcPr>
          <w:p w:rsidR="00910A9E" w:rsidRPr="002959E8" w:rsidRDefault="00910A9E" w:rsidP="00910A9E">
            <w:pPr>
              <w:pStyle w:val="Tabletext"/>
              <w:rPr>
                <w:sz w:val="18"/>
                <w:szCs w:val="18"/>
              </w:rPr>
            </w:pPr>
          </w:p>
        </w:tc>
      </w:tr>
      <w:tr w:rsidR="001536AE" w:rsidRPr="002959E8" w:rsidTr="00393222">
        <w:trPr>
          <w:jc w:val="center"/>
        </w:trPr>
        <w:tc>
          <w:tcPr>
            <w:tcW w:w="3175" w:type="dxa"/>
            <w:vMerge w:val="restart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b/>
                <w:bCs/>
                <w:color w:val="4F81BD" w:themeColor="accent1"/>
                <w:sz w:val="18"/>
                <w:szCs w:val="18"/>
              </w:rPr>
              <w:t>R.2-4:</w:t>
            </w:r>
            <w:r w:rsidRPr="002959E8">
              <w:rPr>
                <w:sz w:val="18"/>
                <w:szCs w:val="18"/>
              </w:rPr>
              <w:t xml:space="preserve"> Mayor número de hogares con recepción de televisión digital terrenal</w:t>
            </w:r>
          </w:p>
        </w:tc>
        <w:tc>
          <w:tcPr>
            <w:tcW w:w="3231" w:type="dxa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Número de hogares con TDT (millones)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203,3</w:t>
            </w:r>
          </w:p>
        </w:tc>
        <w:tc>
          <w:tcPr>
            <w:tcW w:w="842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235,5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271,9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311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453</w:t>
            </w:r>
          </w:p>
        </w:tc>
        <w:tc>
          <w:tcPr>
            <w:tcW w:w="3365" w:type="dxa"/>
            <w:vMerge w:val="restart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Digital TV World Databook report, julio de 2017; Digital TV Research Ltd</w:t>
            </w:r>
            <w:r w:rsidRPr="002959E8">
              <w:rPr>
                <w:sz w:val="18"/>
                <w:szCs w:val="18"/>
              </w:rPr>
              <w:br/>
              <w:t>Databook report</w:t>
            </w:r>
          </w:p>
        </w:tc>
      </w:tr>
      <w:tr w:rsidR="001536AE" w:rsidRPr="002959E8" w:rsidTr="00393222">
        <w:trPr>
          <w:jc w:val="center"/>
        </w:trPr>
        <w:tc>
          <w:tcPr>
            <w:tcW w:w="3175" w:type="dxa"/>
            <w:vMerge/>
          </w:tcPr>
          <w:p w:rsidR="001536AE" w:rsidRPr="002959E8" w:rsidRDefault="001536AE" w:rsidP="001536AE">
            <w:pPr>
              <w:pStyle w:val="Tabletext"/>
              <w:rPr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3231" w:type="dxa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Número de hogares con TAT (millones)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319,8</w:t>
            </w:r>
          </w:p>
        </w:tc>
        <w:tc>
          <w:tcPr>
            <w:tcW w:w="842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251,6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184,1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</w:p>
        </w:tc>
      </w:tr>
      <w:tr w:rsidR="001536AE" w:rsidRPr="002959E8" w:rsidTr="00393222">
        <w:trPr>
          <w:jc w:val="center"/>
        </w:trPr>
        <w:tc>
          <w:tcPr>
            <w:tcW w:w="3175" w:type="dxa"/>
            <w:vMerge/>
          </w:tcPr>
          <w:p w:rsidR="001536AE" w:rsidRPr="002959E8" w:rsidRDefault="001536AE" w:rsidP="001536AE">
            <w:pPr>
              <w:pStyle w:val="Tabletext"/>
              <w:rPr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3231" w:type="dxa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Número total de hogares con TDT+TAT (millones)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514,1</w:t>
            </w:r>
          </w:p>
        </w:tc>
        <w:tc>
          <w:tcPr>
            <w:tcW w:w="842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487,1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447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</w:p>
        </w:tc>
      </w:tr>
      <w:tr w:rsidR="001536AE" w:rsidRPr="002959E8" w:rsidTr="00393222">
        <w:trPr>
          <w:jc w:val="center"/>
        </w:trPr>
        <w:tc>
          <w:tcPr>
            <w:tcW w:w="3175" w:type="dxa"/>
            <w:vMerge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% de hogares con TDT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10,3%</w:t>
            </w:r>
          </w:p>
        </w:tc>
        <w:tc>
          <w:tcPr>
            <w:tcW w:w="842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11,8%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13,5%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14,90%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15,80%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22,70%</w:t>
            </w:r>
          </w:p>
        </w:tc>
        <w:tc>
          <w:tcPr>
            <w:tcW w:w="3365" w:type="dxa"/>
            <w:vMerge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</w:p>
        </w:tc>
      </w:tr>
      <w:tr w:rsidR="001536AE" w:rsidRPr="002959E8" w:rsidTr="00393222">
        <w:trPr>
          <w:jc w:val="center"/>
        </w:trPr>
        <w:tc>
          <w:tcPr>
            <w:tcW w:w="3175" w:type="dxa"/>
            <w:vMerge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% de hogares con TAT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16,3%</w:t>
            </w:r>
          </w:p>
        </w:tc>
        <w:tc>
          <w:tcPr>
            <w:tcW w:w="842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12,6%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9,1%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6,50%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4,90%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</w:p>
        </w:tc>
      </w:tr>
      <w:tr w:rsidR="001536AE" w:rsidRPr="002959E8" w:rsidTr="00393222">
        <w:trPr>
          <w:jc w:val="center"/>
        </w:trPr>
        <w:tc>
          <w:tcPr>
            <w:tcW w:w="3175" w:type="dxa"/>
            <w:vMerge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% de hogares con TV terrenal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26,6%</w:t>
            </w:r>
          </w:p>
        </w:tc>
        <w:tc>
          <w:tcPr>
            <w:tcW w:w="842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24,5%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22,6%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21,40%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20,80%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</w:p>
        </w:tc>
      </w:tr>
      <w:tr w:rsidR="001536AE" w:rsidRPr="002959E8" w:rsidTr="00393222">
        <w:trPr>
          <w:jc w:val="center"/>
        </w:trPr>
        <w:tc>
          <w:tcPr>
            <w:tcW w:w="3175" w:type="dxa"/>
            <w:vMerge w:val="restart"/>
          </w:tcPr>
          <w:p w:rsidR="001536AE" w:rsidRPr="002959E8" w:rsidRDefault="001536AE" w:rsidP="001536AE">
            <w:pPr>
              <w:pStyle w:val="Tabletext"/>
              <w:keepNext/>
              <w:keepLines/>
              <w:ind w:right="-57"/>
              <w:rPr>
                <w:sz w:val="18"/>
                <w:szCs w:val="18"/>
              </w:rPr>
            </w:pPr>
            <w:r w:rsidRPr="002959E8">
              <w:rPr>
                <w:b/>
                <w:bCs/>
                <w:color w:val="4F81BD" w:themeColor="accent1"/>
                <w:sz w:val="18"/>
                <w:szCs w:val="18"/>
              </w:rPr>
              <w:t>R.2-5:</w:t>
            </w:r>
            <w:r w:rsidRPr="002959E8">
              <w:rPr>
                <w:sz w:val="18"/>
                <w:szCs w:val="18"/>
              </w:rPr>
              <w:t xml:space="preserve"> Mayor número de transpondedores de satélite (equivalente a 36 MHz) en funcionamiento y capacidad correspondiente (Tbit/s), número de terminales VSAR, número de hogares con recepción de televisión por satélite</w:t>
            </w:r>
          </w:p>
        </w:tc>
        <w:tc>
          <w:tcPr>
            <w:tcW w:w="3231" w:type="dxa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Número de transpondedores de satélite (equivalente 36 MHz) en explotación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15 997</w:t>
            </w:r>
          </w:p>
        </w:tc>
        <w:tc>
          <w:tcPr>
            <w:tcW w:w="842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17 953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19 772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25 056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30 742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Euroconsult</w:t>
            </w:r>
            <w:r w:rsidRPr="002959E8">
              <w:rPr>
                <w:sz w:val="18"/>
                <w:szCs w:val="18"/>
              </w:rPr>
              <w:br/>
              <w:t>(</w:t>
            </w:r>
            <w:hyperlink r:id="rId19" w:history="1">
              <w:r w:rsidRPr="002959E8">
                <w:rPr>
                  <w:rStyle w:val="Hyperlink"/>
                  <w:sz w:val="18"/>
                  <w:szCs w:val="18"/>
                </w:rPr>
                <w:t>http://www.euroconsult-ec.com</w:t>
              </w:r>
            </w:hyperlink>
            <w:r w:rsidRPr="002959E8">
              <w:rPr>
                <w:sz w:val="18"/>
                <w:szCs w:val="18"/>
              </w:rPr>
              <w:t>)</w:t>
            </w:r>
          </w:p>
        </w:tc>
      </w:tr>
      <w:tr w:rsidR="001536AE" w:rsidRPr="002959E8" w:rsidTr="00393222">
        <w:trPr>
          <w:jc w:val="center"/>
        </w:trPr>
        <w:tc>
          <w:tcPr>
            <w:tcW w:w="3175" w:type="dxa"/>
            <w:vMerge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Capacidad correspondiente (en Tbit/s)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1,095</w:t>
            </w:r>
          </w:p>
        </w:tc>
        <w:tc>
          <w:tcPr>
            <w:tcW w:w="842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1,269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1,491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1,978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2,581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Euroconsult</w:t>
            </w:r>
            <w:r w:rsidRPr="002959E8">
              <w:rPr>
                <w:sz w:val="18"/>
                <w:szCs w:val="18"/>
              </w:rPr>
              <w:br/>
              <w:t>(</w:t>
            </w:r>
            <w:hyperlink r:id="rId20" w:history="1">
              <w:r w:rsidRPr="002959E8">
                <w:rPr>
                  <w:rStyle w:val="Hyperlink"/>
                  <w:sz w:val="18"/>
                  <w:szCs w:val="18"/>
                </w:rPr>
                <w:t>http://www.euroconsult-ec.com</w:t>
              </w:r>
            </w:hyperlink>
            <w:r w:rsidRPr="002959E8">
              <w:rPr>
                <w:sz w:val="18"/>
                <w:szCs w:val="18"/>
              </w:rPr>
              <w:t>)</w:t>
            </w:r>
          </w:p>
        </w:tc>
      </w:tr>
      <w:tr w:rsidR="001536AE" w:rsidRPr="002959E8" w:rsidTr="00393222">
        <w:trPr>
          <w:jc w:val="center"/>
        </w:trPr>
        <w:tc>
          <w:tcPr>
            <w:tcW w:w="3175" w:type="dxa"/>
            <w:vMerge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Número de VSAT (millones)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3,786</w:t>
            </w:r>
          </w:p>
        </w:tc>
        <w:tc>
          <w:tcPr>
            <w:tcW w:w="842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3,891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3,838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3,972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4,082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4,35</w:t>
            </w:r>
          </w:p>
        </w:tc>
        <w:tc>
          <w:tcPr>
            <w:tcW w:w="3365" w:type="dxa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Global VSAT Forum</w:t>
            </w:r>
            <w:r w:rsidRPr="002959E8">
              <w:rPr>
                <w:sz w:val="18"/>
                <w:szCs w:val="18"/>
              </w:rPr>
              <w:br/>
              <w:t>(</w:t>
            </w:r>
            <w:hyperlink r:id="rId21" w:history="1">
              <w:r w:rsidRPr="002959E8">
                <w:rPr>
                  <w:rStyle w:val="Hyperlink"/>
                  <w:sz w:val="18"/>
                  <w:szCs w:val="18"/>
                </w:rPr>
                <w:t>https://gvf.org</w:t>
              </w:r>
            </w:hyperlink>
            <w:r w:rsidRPr="002959E8">
              <w:rPr>
                <w:sz w:val="18"/>
                <w:szCs w:val="18"/>
              </w:rPr>
              <w:t>)</w:t>
            </w:r>
          </w:p>
        </w:tc>
      </w:tr>
      <w:tr w:rsidR="001536AE" w:rsidRPr="002959E8" w:rsidTr="00393222">
        <w:trPr>
          <w:jc w:val="center"/>
        </w:trPr>
        <w:tc>
          <w:tcPr>
            <w:tcW w:w="3175" w:type="dxa"/>
            <w:vMerge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Número de DTH (millones)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359,2</w:t>
            </w:r>
          </w:p>
        </w:tc>
        <w:tc>
          <w:tcPr>
            <w:tcW w:w="842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407,9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411,1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416</w:t>
            </w:r>
          </w:p>
        </w:tc>
        <w:tc>
          <w:tcPr>
            <w:tcW w:w="850" w:type="dxa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536AE" w:rsidRPr="002959E8" w:rsidRDefault="001536AE" w:rsidP="001536AE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439</w:t>
            </w:r>
          </w:p>
        </w:tc>
        <w:tc>
          <w:tcPr>
            <w:tcW w:w="3365" w:type="dxa"/>
          </w:tcPr>
          <w:p w:rsidR="001536AE" w:rsidRPr="002959E8" w:rsidRDefault="001536AE" w:rsidP="001536AE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Digital TV World Databook report, julio de 2017; Digital TV Research Ltd</w:t>
            </w:r>
          </w:p>
        </w:tc>
      </w:tr>
      <w:tr w:rsidR="0076567C" w:rsidRPr="002959E8" w:rsidTr="00393222">
        <w:trPr>
          <w:jc w:val="center"/>
        </w:trPr>
        <w:tc>
          <w:tcPr>
            <w:tcW w:w="3175" w:type="dxa"/>
            <w:vMerge w:val="restart"/>
          </w:tcPr>
          <w:p w:rsidR="0076567C" w:rsidRPr="002959E8" w:rsidRDefault="0076567C" w:rsidP="0076567C">
            <w:pPr>
              <w:pStyle w:val="Tabletext"/>
              <w:ind w:right="-57"/>
              <w:rPr>
                <w:sz w:val="18"/>
                <w:szCs w:val="18"/>
              </w:rPr>
            </w:pPr>
            <w:r w:rsidRPr="002959E8">
              <w:rPr>
                <w:b/>
                <w:bCs/>
                <w:color w:val="4F81BD" w:themeColor="accent1"/>
                <w:sz w:val="18"/>
                <w:szCs w:val="18"/>
              </w:rPr>
              <w:t>R.2-6:</w:t>
            </w:r>
            <w:r w:rsidRPr="002959E8">
              <w:rPr>
                <w:sz w:val="18"/>
                <w:szCs w:val="18"/>
              </w:rPr>
              <w:t xml:space="preserve"> Mayor número de dispositivos con recepción de radionavegación por satélite</w:t>
            </w:r>
          </w:p>
        </w:tc>
        <w:tc>
          <w:tcPr>
            <w:tcW w:w="3231" w:type="dxa"/>
          </w:tcPr>
          <w:p w:rsidR="0076567C" w:rsidRPr="002959E8" w:rsidRDefault="0076567C" w:rsidP="0076567C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Número de satélites/constelaciones del GNSS en funcionamiento</w:t>
            </w:r>
          </w:p>
        </w:tc>
        <w:tc>
          <w:tcPr>
            <w:tcW w:w="850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2/48</w:t>
            </w:r>
          </w:p>
        </w:tc>
        <w:tc>
          <w:tcPr>
            <w:tcW w:w="842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4/75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5/90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6/137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6/144</w:t>
            </w:r>
          </w:p>
        </w:tc>
        <w:tc>
          <w:tcPr>
            <w:tcW w:w="3365" w:type="dxa"/>
          </w:tcPr>
          <w:p w:rsidR="0076567C" w:rsidRPr="002959E8" w:rsidRDefault="0076567C" w:rsidP="0076567C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BR/MIFR</w:t>
            </w:r>
          </w:p>
        </w:tc>
      </w:tr>
      <w:tr w:rsidR="0076567C" w:rsidRPr="00C062B7" w:rsidTr="00393222">
        <w:trPr>
          <w:jc w:val="center"/>
        </w:trPr>
        <w:tc>
          <w:tcPr>
            <w:tcW w:w="3175" w:type="dxa"/>
            <w:vMerge/>
          </w:tcPr>
          <w:p w:rsidR="0076567C" w:rsidRPr="002959E8" w:rsidRDefault="0076567C" w:rsidP="0076567C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:rsidR="0076567C" w:rsidRPr="002959E8" w:rsidRDefault="0076567C" w:rsidP="0076567C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Número de dispositivos con receptor GNSS incorporado (miles de millones)</w:t>
            </w:r>
          </w:p>
        </w:tc>
        <w:tc>
          <w:tcPr>
            <w:tcW w:w="850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3,6</w:t>
            </w:r>
          </w:p>
        </w:tc>
        <w:tc>
          <w:tcPr>
            <w:tcW w:w="842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5,8*</w:t>
            </w:r>
          </w:p>
        </w:tc>
        <w:tc>
          <w:tcPr>
            <w:tcW w:w="850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6,5*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</w:tcPr>
          <w:p w:rsidR="0076567C" w:rsidRPr="00735A92" w:rsidRDefault="0076567C" w:rsidP="0076567C">
            <w:pPr>
              <w:pStyle w:val="Tabletext"/>
              <w:rPr>
                <w:sz w:val="18"/>
                <w:szCs w:val="18"/>
                <w:lang w:val="en-GB"/>
              </w:rPr>
            </w:pPr>
            <w:r w:rsidRPr="00735A92">
              <w:rPr>
                <w:sz w:val="18"/>
                <w:szCs w:val="18"/>
                <w:lang w:val="en-GB"/>
              </w:rPr>
              <w:t>European GNSS Agency: GNNS Report </w:t>
            </w:r>
            <w:r w:rsidRPr="00735A92">
              <w:rPr>
                <w:sz w:val="18"/>
                <w:szCs w:val="18"/>
                <w:lang w:val="en-GB"/>
              </w:rPr>
              <w:br/>
              <w:t>(</w:t>
            </w:r>
            <w:hyperlink r:id="rId22" w:history="1">
              <w:r w:rsidRPr="00735A92">
                <w:rPr>
                  <w:rStyle w:val="Hyperlink"/>
                  <w:sz w:val="18"/>
                  <w:szCs w:val="18"/>
                  <w:lang w:val="en-GB"/>
                </w:rPr>
                <w:t>https://www.gsa.europa.eu</w:t>
              </w:r>
            </w:hyperlink>
            <w:r w:rsidRPr="00735A92">
              <w:rPr>
                <w:sz w:val="18"/>
                <w:szCs w:val="18"/>
                <w:lang w:val="en-GB"/>
              </w:rPr>
              <w:t>)</w:t>
            </w:r>
          </w:p>
        </w:tc>
      </w:tr>
      <w:tr w:rsidR="0076567C" w:rsidRPr="002959E8" w:rsidTr="00393222">
        <w:trPr>
          <w:jc w:val="center"/>
        </w:trPr>
        <w:tc>
          <w:tcPr>
            <w:tcW w:w="3175" w:type="dxa"/>
            <w:vMerge w:val="restart"/>
          </w:tcPr>
          <w:p w:rsidR="0076567C" w:rsidRPr="002959E8" w:rsidRDefault="0076567C" w:rsidP="0076567C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b/>
                <w:bCs/>
                <w:color w:val="4F81BD" w:themeColor="accent1"/>
                <w:sz w:val="18"/>
                <w:szCs w:val="18"/>
              </w:rPr>
              <w:t>R.2-7:</w:t>
            </w:r>
            <w:r w:rsidRPr="002959E8">
              <w:rPr>
                <w:sz w:val="18"/>
                <w:szCs w:val="18"/>
              </w:rPr>
              <w:t xml:space="preserve"> Mayor número de satélites de exploración de la Tierra en funcionamiento, cantidad y resolución correspondientes de las imágenes transmitidas y los volúmenes de datos descargados (Tbytes)</w:t>
            </w:r>
          </w:p>
        </w:tc>
        <w:tc>
          <w:tcPr>
            <w:tcW w:w="3231" w:type="dxa"/>
          </w:tcPr>
          <w:p w:rsidR="0076567C" w:rsidRPr="002959E8" w:rsidRDefault="0076567C" w:rsidP="0076567C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Número de satélites de estudio de los recursos terrestres</w:t>
            </w:r>
          </w:p>
        </w:tc>
        <w:tc>
          <w:tcPr>
            <w:tcW w:w="850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180</w:t>
            </w:r>
          </w:p>
        </w:tc>
        <w:tc>
          <w:tcPr>
            <w:tcW w:w="842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440</w:t>
            </w:r>
          </w:p>
        </w:tc>
        <w:tc>
          <w:tcPr>
            <w:tcW w:w="3365" w:type="dxa"/>
          </w:tcPr>
          <w:p w:rsidR="0076567C" w:rsidRPr="002959E8" w:rsidRDefault="0076567C" w:rsidP="0076567C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BR/MIFR</w:t>
            </w:r>
          </w:p>
        </w:tc>
      </w:tr>
      <w:tr w:rsidR="0076567C" w:rsidRPr="002959E8" w:rsidTr="00393222">
        <w:trPr>
          <w:jc w:val="center"/>
        </w:trPr>
        <w:tc>
          <w:tcPr>
            <w:tcW w:w="3175" w:type="dxa"/>
            <w:vMerge/>
          </w:tcPr>
          <w:p w:rsidR="0076567C" w:rsidRPr="002959E8" w:rsidRDefault="0076567C" w:rsidP="0076567C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:rsidR="0076567C" w:rsidRPr="002959E8" w:rsidRDefault="0076567C" w:rsidP="0076567C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Cantidad de imágenes transmitidas (millones)</w:t>
            </w:r>
          </w:p>
        </w:tc>
        <w:tc>
          <w:tcPr>
            <w:tcW w:w="850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62</w:t>
            </w:r>
          </w:p>
        </w:tc>
        <w:tc>
          <w:tcPr>
            <w:tcW w:w="842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</w:tcPr>
          <w:p w:rsidR="0076567C" w:rsidRPr="002959E8" w:rsidRDefault="0076567C" w:rsidP="0076567C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Se obtendrá de la Oficina de las Naciones Unidas de Asuntos del Espacio Ultraterrestre; Grupo de Trabajo de las Naciones Unidas</w:t>
            </w:r>
          </w:p>
        </w:tc>
      </w:tr>
      <w:tr w:rsidR="0076567C" w:rsidRPr="002959E8" w:rsidTr="00393222">
        <w:trPr>
          <w:jc w:val="center"/>
        </w:trPr>
        <w:tc>
          <w:tcPr>
            <w:tcW w:w="3175" w:type="dxa"/>
            <w:vMerge/>
          </w:tcPr>
          <w:p w:rsidR="0076567C" w:rsidRPr="002959E8" w:rsidRDefault="0076567C" w:rsidP="0076567C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:rsidR="0076567C" w:rsidRPr="002959E8" w:rsidRDefault="0076567C" w:rsidP="0076567C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Tamaño de las imágenes descargadas (Terabytes)</w:t>
            </w:r>
          </w:p>
        </w:tc>
        <w:tc>
          <w:tcPr>
            <w:tcW w:w="850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27 000</w:t>
            </w:r>
          </w:p>
        </w:tc>
        <w:tc>
          <w:tcPr>
            <w:tcW w:w="842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35 000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37 000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76567C" w:rsidRPr="002959E8" w:rsidRDefault="0076567C" w:rsidP="0076567C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</w:tcPr>
          <w:p w:rsidR="0076567C" w:rsidRPr="002959E8" w:rsidRDefault="0076567C" w:rsidP="0076567C">
            <w:pPr>
              <w:pStyle w:val="Tabletext"/>
              <w:rPr>
                <w:sz w:val="18"/>
                <w:szCs w:val="18"/>
              </w:rPr>
            </w:pPr>
            <w:r w:rsidRPr="002959E8">
              <w:rPr>
                <w:sz w:val="18"/>
                <w:szCs w:val="18"/>
              </w:rPr>
              <w:t>Se obtendrá de la Oficina de las Naciones Unidas de Asuntos del Espacio Ultraterrestre; Grupo de Trabajo de las Naciones Unidas</w:t>
            </w:r>
          </w:p>
        </w:tc>
      </w:tr>
    </w:tbl>
    <w:p w:rsidR="00DF4D7D" w:rsidRPr="002959E8" w:rsidRDefault="00DF4D7D" w:rsidP="00DF4D7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ascii="Calibri" w:hAnsi="Calibri"/>
          <w:szCs w:val="24"/>
        </w:rPr>
      </w:pPr>
    </w:p>
    <w:tbl>
      <w:tblPr>
        <w:tblStyle w:val="GridTable4-Accent1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92"/>
        <w:gridCol w:w="1559"/>
        <w:gridCol w:w="1559"/>
        <w:gridCol w:w="1559"/>
        <w:gridCol w:w="1560"/>
      </w:tblGrid>
      <w:tr w:rsidR="00DF4D7D" w:rsidRPr="002959E8" w:rsidTr="00FF2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F4D7D" w:rsidRPr="002959E8" w:rsidRDefault="00DF4D7D" w:rsidP="00735A92">
            <w:pPr>
              <w:pStyle w:val="Tablehead"/>
              <w:rPr>
                <w:b/>
                <w:bCs w:val="0"/>
              </w:rPr>
            </w:pPr>
            <w:r w:rsidRPr="002959E8">
              <w:rPr>
                <w:b/>
                <w:bCs w:val="0"/>
              </w:rPr>
              <w:t>Producto</w:t>
            </w:r>
          </w:p>
        </w:tc>
        <w:tc>
          <w:tcPr>
            <w:tcW w:w="623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F4D7D" w:rsidRPr="002959E8" w:rsidRDefault="00DF4D7D" w:rsidP="00F309A4">
            <w:pPr>
              <w:pStyle w:val="Tablehead"/>
              <w:rPr>
                <w:b/>
                <w:bCs w:val="0"/>
              </w:rPr>
            </w:pPr>
            <w:r w:rsidRPr="002959E8">
              <w:rPr>
                <w:b/>
                <w:bCs w:val="0"/>
              </w:rPr>
              <w:t>Recursos financieros</w:t>
            </w:r>
            <w:r w:rsidR="00F309A4">
              <w:rPr>
                <w:rStyle w:val="FootnoteReference"/>
                <w:b/>
                <w:bCs w:val="0"/>
              </w:rPr>
              <w:footnoteReference w:id="5"/>
            </w:r>
            <w:r w:rsidRPr="002959E8">
              <w:rPr>
                <w:b/>
                <w:bCs w:val="0"/>
              </w:rPr>
              <w:t xml:space="preserve"> (en miles CHF)</w:t>
            </w:r>
          </w:p>
        </w:tc>
      </w:tr>
      <w:tr w:rsidR="00DF4D7D" w:rsidRPr="002959E8" w:rsidTr="00FF26E6">
        <w:tc>
          <w:tcPr>
            <w:tcW w:w="7792" w:type="dxa"/>
          </w:tcPr>
          <w:p w:rsidR="00DF4D7D" w:rsidRPr="002959E8" w:rsidRDefault="00DF4D7D" w:rsidP="00735A92">
            <w:pPr>
              <w:pStyle w:val="Tabletext"/>
            </w:pPr>
          </w:p>
        </w:tc>
        <w:tc>
          <w:tcPr>
            <w:tcW w:w="1559" w:type="dxa"/>
          </w:tcPr>
          <w:p w:rsidR="00DF4D7D" w:rsidRPr="002959E8" w:rsidRDefault="00DF4D7D" w:rsidP="00735A92">
            <w:pPr>
              <w:pStyle w:val="Tabletext"/>
              <w:jc w:val="center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DF4D7D" w:rsidRPr="002959E8" w:rsidRDefault="00DF4D7D" w:rsidP="00735A92">
            <w:pPr>
              <w:pStyle w:val="Tabletext"/>
              <w:jc w:val="center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DF4D7D" w:rsidRPr="002959E8" w:rsidRDefault="00DF4D7D" w:rsidP="00735A92">
            <w:pPr>
              <w:pStyle w:val="Tabletext"/>
              <w:jc w:val="center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  <w:t>2022</w:t>
            </w:r>
          </w:p>
        </w:tc>
        <w:tc>
          <w:tcPr>
            <w:tcW w:w="1560" w:type="dxa"/>
          </w:tcPr>
          <w:p w:rsidR="00DF4D7D" w:rsidRPr="002959E8" w:rsidRDefault="00DF4D7D" w:rsidP="00735A92">
            <w:pPr>
              <w:pStyle w:val="Tabletext"/>
              <w:jc w:val="center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  <w:t>2023</w:t>
            </w:r>
          </w:p>
        </w:tc>
      </w:tr>
      <w:tr w:rsidR="00DF4D7D" w:rsidRPr="002959E8" w:rsidTr="00FF26E6">
        <w:tc>
          <w:tcPr>
            <w:tcW w:w="7792" w:type="dxa"/>
          </w:tcPr>
          <w:p w:rsidR="00DF4D7D" w:rsidRPr="002959E8" w:rsidRDefault="00DF4D7D" w:rsidP="00735A92">
            <w:pPr>
              <w:pStyle w:val="Tabletext"/>
              <w:rPr>
                <w:sz w:val="20"/>
                <w:szCs w:val="20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  <w:t>R.2-1</w:t>
            </w:r>
            <w:r w:rsidR="00C71140" w:rsidRPr="002959E8"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  <w:t>:</w:t>
            </w:r>
            <w:r w:rsidRPr="002959E8">
              <w:rPr>
                <w:b/>
                <w:bCs/>
                <w:color w:val="4F81BD" w:themeColor="accent1"/>
                <w:sz w:val="20"/>
                <w:szCs w:val="20"/>
                <w:lang w:eastAsia="zh-CN"/>
              </w:rPr>
              <w:t xml:space="preserve"> </w:t>
            </w:r>
            <w:r w:rsidR="00734DD7" w:rsidRPr="002959E8">
              <w:rPr>
                <w:sz w:val="20"/>
              </w:rPr>
              <w:t>Decisiones de la Asamblea de Radiocomunicaciones, Resoluciones del UIT-R</w:t>
            </w: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711</w:t>
            </w: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703</w:t>
            </w: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8 670</w:t>
            </w:r>
          </w:p>
        </w:tc>
        <w:tc>
          <w:tcPr>
            <w:tcW w:w="1560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9 019</w:t>
            </w:r>
          </w:p>
        </w:tc>
      </w:tr>
      <w:tr w:rsidR="00DF4D7D" w:rsidRPr="002959E8" w:rsidTr="00FF26E6">
        <w:tc>
          <w:tcPr>
            <w:tcW w:w="7792" w:type="dxa"/>
          </w:tcPr>
          <w:p w:rsidR="00DF4D7D" w:rsidRPr="002959E8" w:rsidRDefault="00DF4D7D" w:rsidP="00735A92">
            <w:pPr>
              <w:pStyle w:val="Tabletext"/>
              <w:rPr>
                <w:sz w:val="20"/>
                <w:szCs w:val="20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  <w:t>R.2-2</w:t>
            </w:r>
            <w:r w:rsidR="00C71140" w:rsidRPr="002959E8"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  <w:t>:</w:t>
            </w:r>
            <w:r w:rsidRPr="002959E8">
              <w:rPr>
                <w:b/>
                <w:bCs/>
                <w:color w:val="4F81BD" w:themeColor="accent1"/>
                <w:sz w:val="20"/>
                <w:szCs w:val="20"/>
                <w:lang w:eastAsia="zh-CN"/>
              </w:rPr>
              <w:t xml:space="preserve"> </w:t>
            </w:r>
            <w:r w:rsidR="00734DD7" w:rsidRPr="002959E8">
              <w:rPr>
                <w:sz w:val="20"/>
              </w:rPr>
              <w:t>Recomendaciones, Informes (incluido el informe de la RPC) y Manuales del UIT-R</w:t>
            </w: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5 929</w:t>
            </w: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6 109</w:t>
            </w: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5 635</w:t>
            </w:r>
          </w:p>
        </w:tc>
        <w:tc>
          <w:tcPr>
            <w:tcW w:w="1560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6 063</w:t>
            </w:r>
          </w:p>
        </w:tc>
      </w:tr>
      <w:tr w:rsidR="00DF4D7D" w:rsidRPr="002959E8" w:rsidTr="00FF26E6">
        <w:tc>
          <w:tcPr>
            <w:tcW w:w="7792" w:type="dxa"/>
          </w:tcPr>
          <w:p w:rsidR="00DF4D7D" w:rsidRPr="002959E8" w:rsidRDefault="00DF4D7D" w:rsidP="00735A92">
            <w:pPr>
              <w:pStyle w:val="Tabletext"/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  <w:t>R.2-3</w:t>
            </w:r>
            <w:r w:rsidR="00C71140" w:rsidRPr="002959E8"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  <w:t>:</w:t>
            </w:r>
            <w:r w:rsidRPr="002959E8">
              <w:rPr>
                <w:b/>
                <w:bCs/>
                <w:color w:val="4F81BD" w:themeColor="accent1"/>
                <w:sz w:val="20"/>
                <w:szCs w:val="20"/>
                <w:lang w:eastAsia="zh-CN"/>
              </w:rPr>
              <w:t xml:space="preserve"> </w:t>
            </w:r>
            <w:r w:rsidR="00734DD7" w:rsidRPr="002959E8">
              <w:rPr>
                <w:sz w:val="20"/>
              </w:rPr>
              <w:t>Asesoramiento del Grupo Asesor de Radiocomunicaciones</w:t>
            </w: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1 430</w:t>
            </w: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1 521</w:t>
            </w: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1 367</w:t>
            </w:r>
          </w:p>
        </w:tc>
        <w:tc>
          <w:tcPr>
            <w:tcW w:w="1560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1 340</w:t>
            </w:r>
          </w:p>
        </w:tc>
      </w:tr>
      <w:tr w:rsidR="00DF4D7D" w:rsidRPr="002959E8" w:rsidTr="00FF26E6">
        <w:tc>
          <w:tcPr>
            <w:tcW w:w="7792" w:type="dxa"/>
            <w:vAlign w:val="center"/>
          </w:tcPr>
          <w:p w:rsidR="00DF4D7D" w:rsidRPr="002959E8" w:rsidRDefault="00734DD7" w:rsidP="00735A92">
            <w:pPr>
              <w:pStyle w:val="Tabletext"/>
              <w:rPr>
                <w:b/>
                <w:bCs/>
                <w:color w:val="5B9BD5"/>
                <w:sz w:val="20"/>
                <w:szCs w:val="20"/>
              </w:rPr>
            </w:pPr>
            <w:r w:rsidRPr="002959E8">
              <w:rPr>
                <w:rFonts w:cs="Arial"/>
                <w:sz w:val="20"/>
              </w:rPr>
              <w:t xml:space="preserve">Atribución de costos a las actividades de la Conferencia de Plenipotenciarios y el Consejo </w:t>
            </w: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(PP</w:t>
            </w:r>
            <w:r w:rsidRPr="002959E8">
              <w:rPr>
                <w:rFonts w:cs="Arial"/>
                <w:color w:val="4F81BD" w:themeColor="accent1"/>
                <w:sz w:val="20"/>
              </w:rPr>
              <w:t xml:space="preserve">, </w:t>
            </w: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Consejo/GTC)</w:t>
            </w: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560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sz w:val="20"/>
              </w:rPr>
            </w:pPr>
          </w:p>
        </w:tc>
      </w:tr>
      <w:tr w:rsidR="00DF4D7D" w:rsidRPr="002959E8" w:rsidTr="00FF26E6">
        <w:tc>
          <w:tcPr>
            <w:tcW w:w="7792" w:type="dxa"/>
            <w:vAlign w:val="center"/>
          </w:tcPr>
          <w:p w:rsidR="00DF4D7D" w:rsidRPr="002959E8" w:rsidRDefault="00734DD7" w:rsidP="00735A92">
            <w:pPr>
              <w:pStyle w:val="Tabletext"/>
              <w:rPr>
                <w:b/>
                <w:bCs/>
                <w:color w:val="4F81BD" w:themeColor="accent1"/>
                <w:sz w:val="20"/>
                <w:szCs w:val="20"/>
                <w:lang w:eastAsia="zh-CN"/>
              </w:rPr>
            </w:pPr>
            <w:r w:rsidRPr="002959E8">
              <w:rPr>
                <w:b/>
                <w:bCs/>
                <w:color w:val="5B9BD5"/>
                <w:sz w:val="20"/>
                <w:szCs w:val="20"/>
              </w:rPr>
              <w:t>Total para el Objetivo R.2</w:t>
            </w: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Mar>
              <w:right w:w="284" w:type="dxa"/>
            </w:tcMar>
            <w:vAlign w:val="center"/>
          </w:tcPr>
          <w:p w:rsidR="00DF4D7D" w:rsidRPr="002959E8" w:rsidRDefault="00DF4D7D" w:rsidP="00735A92">
            <w:pPr>
              <w:pStyle w:val="Tabletext"/>
              <w:jc w:val="center"/>
              <w:rPr>
                <w:b/>
                <w:bCs/>
                <w:sz w:val="20"/>
              </w:rPr>
            </w:pPr>
          </w:p>
        </w:tc>
      </w:tr>
    </w:tbl>
    <w:p w:rsidR="001A4AE7" w:rsidRPr="002959E8" w:rsidRDefault="001A4AE7" w:rsidP="001A4AE7">
      <w:pPr>
        <w:overflowPunct/>
        <w:autoSpaceDE/>
        <w:autoSpaceDN/>
        <w:adjustRightInd/>
        <w:textAlignment w:val="auto"/>
        <w:rPr>
          <w:szCs w:val="24"/>
        </w:rPr>
      </w:pPr>
      <w:r w:rsidRPr="002959E8">
        <w:rPr>
          <w:szCs w:val="24"/>
        </w:rPr>
        <w:br w:type="page"/>
      </w:r>
    </w:p>
    <w:p w:rsidR="001A4AE7" w:rsidRPr="002959E8" w:rsidRDefault="001A4AE7" w:rsidP="006727B1">
      <w:pPr>
        <w:spacing w:after="120"/>
      </w:pPr>
      <w:r w:rsidRPr="002959E8">
        <w:lastRenderedPageBreak/>
        <w:t>R.3:</w:t>
      </w:r>
      <w:r w:rsidR="006727B1" w:rsidRPr="002959E8">
        <w:tab/>
      </w:r>
      <w:r w:rsidRPr="002959E8">
        <w:t>Fomentar la adquisición y divulgación de conocimientos teóricos y prácticos sobre radiocomunicaciones</w:t>
      </w:r>
      <w:r w:rsidR="00A62245" w:rsidRPr="002959E8">
        <w:t>.</w:t>
      </w:r>
    </w:p>
    <w:tbl>
      <w:tblPr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288"/>
        <w:gridCol w:w="3118"/>
        <w:gridCol w:w="1008"/>
        <w:gridCol w:w="1022"/>
        <w:gridCol w:w="943"/>
        <w:gridCol w:w="1097"/>
        <w:gridCol w:w="1097"/>
        <w:gridCol w:w="3912"/>
      </w:tblGrid>
      <w:tr w:rsidR="003C6043" w:rsidRPr="002959E8" w:rsidTr="00A16A43">
        <w:trPr>
          <w:tblHeader/>
          <w:jc w:val="center"/>
        </w:trPr>
        <w:tc>
          <w:tcPr>
            <w:tcW w:w="3288" w:type="dxa"/>
            <w:shd w:val="clear" w:color="auto" w:fill="4F81BD" w:themeFill="accent1"/>
            <w:vAlign w:val="center"/>
          </w:tcPr>
          <w:p w:rsidR="003C6043" w:rsidRPr="002959E8" w:rsidRDefault="003C6043" w:rsidP="00D94B95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>Resultado</w:t>
            </w:r>
          </w:p>
        </w:tc>
        <w:tc>
          <w:tcPr>
            <w:tcW w:w="3118" w:type="dxa"/>
            <w:shd w:val="clear" w:color="auto" w:fill="4F81BD" w:themeFill="accent1"/>
            <w:vAlign w:val="center"/>
          </w:tcPr>
          <w:p w:rsidR="003C6043" w:rsidRPr="002959E8" w:rsidRDefault="003C6043" w:rsidP="00D94B95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>Indicador de resultados</w:t>
            </w:r>
          </w:p>
        </w:tc>
        <w:tc>
          <w:tcPr>
            <w:tcW w:w="1008" w:type="dxa"/>
            <w:shd w:val="clear" w:color="auto" w:fill="4F81BD" w:themeFill="accent1"/>
            <w:vAlign w:val="center"/>
          </w:tcPr>
          <w:p w:rsidR="003C6043" w:rsidRPr="002959E8" w:rsidRDefault="003C6043" w:rsidP="003C6043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>2015</w:t>
            </w:r>
          </w:p>
        </w:tc>
        <w:tc>
          <w:tcPr>
            <w:tcW w:w="1022" w:type="dxa"/>
            <w:shd w:val="clear" w:color="auto" w:fill="4F81BD" w:themeFill="accent1"/>
            <w:vAlign w:val="center"/>
          </w:tcPr>
          <w:p w:rsidR="003C6043" w:rsidRPr="002959E8" w:rsidRDefault="003C6043" w:rsidP="003C6043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>2016</w:t>
            </w:r>
          </w:p>
        </w:tc>
        <w:tc>
          <w:tcPr>
            <w:tcW w:w="943" w:type="dxa"/>
            <w:shd w:val="clear" w:color="auto" w:fill="4F81BD" w:themeFill="accent1"/>
            <w:vAlign w:val="center"/>
          </w:tcPr>
          <w:p w:rsidR="003C6043" w:rsidRPr="002959E8" w:rsidRDefault="003C6043" w:rsidP="003C6043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>2017</w:t>
            </w:r>
          </w:p>
        </w:tc>
        <w:tc>
          <w:tcPr>
            <w:tcW w:w="1097" w:type="dxa"/>
            <w:shd w:val="clear" w:color="auto" w:fill="4F81BD" w:themeFill="accent1"/>
            <w:vAlign w:val="center"/>
          </w:tcPr>
          <w:p w:rsidR="003C6043" w:rsidRPr="002959E8" w:rsidRDefault="003C6043" w:rsidP="003C6043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>2018</w:t>
            </w:r>
          </w:p>
        </w:tc>
        <w:tc>
          <w:tcPr>
            <w:tcW w:w="1097" w:type="dxa"/>
            <w:shd w:val="clear" w:color="auto" w:fill="4F81BD" w:themeFill="accent1"/>
            <w:vAlign w:val="center"/>
          </w:tcPr>
          <w:p w:rsidR="003C6043" w:rsidRPr="002959E8" w:rsidRDefault="003C6043" w:rsidP="003C6043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>Meta 2023</w:t>
            </w:r>
          </w:p>
        </w:tc>
        <w:tc>
          <w:tcPr>
            <w:tcW w:w="3912" w:type="dxa"/>
            <w:shd w:val="clear" w:color="auto" w:fill="4F81BD" w:themeFill="accent1"/>
            <w:vAlign w:val="center"/>
          </w:tcPr>
          <w:p w:rsidR="003C6043" w:rsidRPr="002959E8" w:rsidRDefault="003C6043" w:rsidP="00D94B95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>Origen</w:t>
            </w:r>
          </w:p>
        </w:tc>
      </w:tr>
      <w:tr w:rsidR="00A16A43" w:rsidRPr="002959E8" w:rsidTr="003C6043">
        <w:trPr>
          <w:jc w:val="center"/>
        </w:trPr>
        <w:tc>
          <w:tcPr>
            <w:tcW w:w="3288" w:type="dxa"/>
            <w:vMerge w:val="restart"/>
          </w:tcPr>
          <w:p w:rsidR="00A16A43" w:rsidRPr="002959E8" w:rsidRDefault="00A16A43" w:rsidP="00A16A43">
            <w:pPr>
              <w:pStyle w:val="Tabletext"/>
              <w:rPr>
                <w:rFonts w:cs="Arial"/>
                <w:b/>
                <w:bCs/>
                <w:sz w:val="20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R.3-1:</w:t>
            </w:r>
            <w:r w:rsidRPr="002959E8">
              <w:rPr>
                <w:rFonts w:cs="Arial"/>
                <w:sz w:val="20"/>
              </w:rPr>
              <w:t xml:space="preserve"> </w:t>
            </w:r>
            <w:r w:rsidRPr="002959E8">
              <w:rPr>
                <w:sz w:val="20"/>
              </w:rPr>
              <w:t>Mayores conocimientos teóricos y prácticos del Reglamento de Radiocomunicaciones, las Reglas de Procedimiento, los Acuerdos regionales, las Recomendaciones y las prácticas idóneas sobre la utilización del espectro</w:t>
            </w:r>
          </w:p>
        </w:tc>
        <w:tc>
          <w:tcPr>
            <w:tcW w:w="3118" w:type="dxa"/>
          </w:tcPr>
          <w:p w:rsidR="00A16A43" w:rsidRPr="002959E8" w:rsidRDefault="00A16A43" w:rsidP="004A46B4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Número de descargas en línea de publicaciones gratuitas del UIT-R (millones)</w:t>
            </w:r>
            <w:r w:rsidR="004A46B4">
              <w:rPr>
                <w:rStyle w:val="FootnoteReference"/>
              </w:rPr>
              <w:footnoteReference w:id="6"/>
            </w:r>
          </w:p>
        </w:tc>
        <w:tc>
          <w:tcPr>
            <w:tcW w:w="1008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0,9</w:t>
            </w:r>
          </w:p>
        </w:tc>
        <w:tc>
          <w:tcPr>
            <w:tcW w:w="1022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1,0</w:t>
            </w:r>
          </w:p>
        </w:tc>
        <w:tc>
          <w:tcPr>
            <w:tcW w:w="943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1,7</w:t>
            </w:r>
          </w:p>
        </w:tc>
        <w:tc>
          <w:tcPr>
            <w:tcW w:w="1097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1,57</w:t>
            </w:r>
          </w:p>
        </w:tc>
        <w:tc>
          <w:tcPr>
            <w:tcW w:w="1097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4</w:t>
            </w:r>
          </w:p>
        </w:tc>
        <w:tc>
          <w:tcPr>
            <w:tcW w:w="3912" w:type="dxa"/>
            <w:vMerge w:val="restart"/>
          </w:tcPr>
          <w:p w:rsidR="00A16A43" w:rsidRPr="002959E8" w:rsidRDefault="00A16A43" w:rsidP="00A16A4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Base de datos en materia de inscripciones a eventos del UIT-R</w:t>
            </w:r>
          </w:p>
        </w:tc>
      </w:tr>
      <w:tr w:rsidR="00A16A43" w:rsidRPr="002959E8" w:rsidTr="003C6043">
        <w:trPr>
          <w:jc w:val="center"/>
        </w:trPr>
        <w:tc>
          <w:tcPr>
            <w:tcW w:w="3288" w:type="dxa"/>
            <w:vMerge/>
          </w:tcPr>
          <w:p w:rsidR="00A16A43" w:rsidRPr="002959E8" w:rsidRDefault="00A16A43" w:rsidP="00A16A43">
            <w:pPr>
              <w:pStyle w:val="Tabletext"/>
              <w:rPr>
                <w:rFonts w:cs="Arial"/>
                <w:b/>
                <w:bCs/>
                <w:color w:val="4F81BD" w:themeColor="accent1"/>
                <w:sz w:val="20"/>
              </w:rPr>
            </w:pPr>
          </w:p>
        </w:tc>
        <w:tc>
          <w:tcPr>
            <w:tcW w:w="3118" w:type="dxa"/>
          </w:tcPr>
          <w:p w:rsidR="00A16A43" w:rsidRPr="002959E8" w:rsidRDefault="00A16A43" w:rsidP="00A16A4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Número de eventos de capacitación organizados/respaldados por la BR (presenciales y virtuales)</w:t>
            </w:r>
          </w:p>
        </w:tc>
        <w:tc>
          <w:tcPr>
            <w:tcW w:w="1008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25</w:t>
            </w:r>
          </w:p>
        </w:tc>
        <w:tc>
          <w:tcPr>
            <w:tcW w:w="1022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38</w:t>
            </w:r>
          </w:p>
        </w:tc>
        <w:tc>
          <w:tcPr>
            <w:tcW w:w="943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37</w:t>
            </w:r>
          </w:p>
        </w:tc>
        <w:tc>
          <w:tcPr>
            <w:tcW w:w="1097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34</w:t>
            </w:r>
          </w:p>
        </w:tc>
        <w:tc>
          <w:tcPr>
            <w:tcW w:w="1097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29</w:t>
            </w:r>
          </w:p>
        </w:tc>
        <w:tc>
          <w:tcPr>
            <w:tcW w:w="3912" w:type="dxa"/>
            <w:vMerge/>
          </w:tcPr>
          <w:p w:rsidR="00A16A43" w:rsidRPr="002959E8" w:rsidRDefault="00A16A43" w:rsidP="00A16A43">
            <w:pPr>
              <w:pStyle w:val="Tabletext"/>
              <w:rPr>
                <w:sz w:val="20"/>
              </w:rPr>
            </w:pPr>
          </w:p>
        </w:tc>
      </w:tr>
      <w:tr w:rsidR="00A16A43" w:rsidRPr="002959E8" w:rsidTr="003C6043">
        <w:trPr>
          <w:jc w:val="center"/>
        </w:trPr>
        <w:tc>
          <w:tcPr>
            <w:tcW w:w="3288" w:type="dxa"/>
            <w:vMerge/>
          </w:tcPr>
          <w:p w:rsidR="00A16A43" w:rsidRPr="002959E8" w:rsidRDefault="00A16A43" w:rsidP="00A16A43">
            <w:pPr>
              <w:pStyle w:val="Tabletext"/>
              <w:rPr>
                <w:rFonts w:cs="Arial"/>
                <w:b/>
                <w:bCs/>
                <w:color w:val="4F81BD" w:themeColor="accent1"/>
                <w:sz w:val="20"/>
              </w:rPr>
            </w:pPr>
          </w:p>
        </w:tc>
        <w:tc>
          <w:tcPr>
            <w:tcW w:w="3118" w:type="dxa"/>
          </w:tcPr>
          <w:p w:rsidR="00A16A43" w:rsidRPr="002959E8" w:rsidRDefault="00A16A43" w:rsidP="00A16A4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Número de participantes en los eventos de capacitación organizados/respaldados por la UIT/BR (acumulado en el periodo entre dos CMR)</w:t>
            </w:r>
          </w:p>
        </w:tc>
        <w:tc>
          <w:tcPr>
            <w:tcW w:w="1008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1 518</w:t>
            </w:r>
          </w:p>
        </w:tc>
        <w:tc>
          <w:tcPr>
            <w:tcW w:w="1022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737</w:t>
            </w:r>
          </w:p>
        </w:tc>
        <w:tc>
          <w:tcPr>
            <w:tcW w:w="943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  <w:highlight w:val="yellow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1 363</w:t>
            </w:r>
          </w:p>
        </w:tc>
        <w:tc>
          <w:tcPr>
            <w:tcW w:w="1097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669</w:t>
            </w:r>
          </w:p>
        </w:tc>
        <w:tc>
          <w:tcPr>
            <w:tcW w:w="1097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2 000</w:t>
            </w:r>
          </w:p>
        </w:tc>
        <w:tc>
          <w:tcPr>
            <w:tcW w:w="3912" w:type="dxa"/>
            <w:vMerge/>
          </w:tcPr>
          <w:p w:rsidR="00A16A43" w:rsidRPr="002959E8" w:rsidRDefault="00A16A43" w:rsidP="00A16A43">
            <w:pPr>
              <w:pStyle w:val="Tabletext"/>
              <w:rPr>
                <w:sz w:val="20"/>
              </w:rPr>
            </w:pPr>
          </w:p>
        </w:tc>
      </w:tr>
      <w:tr w:rsidR="00A16A43" w:rsidRPr="002959E8" w:rsidTr="003C6043">
        <w:trPr>
          <w:jc w:val="center"/>
        </w:trPr>
        <w:tc>
          <w:tcPr>
            <w:tcW w:w="3288" w:type="dxa"/>
            <w:vMerge w:val="restart"/>
          </w:tcPr>
          <w:p w:rsidR="00A16A43" w:rsidRPr="002959E8" w:rsidRDefault="00A16A43" w:rsidP="00A16A43">
            <w:pPr>
              <w:pStyle w:val="Tabletext"/>
              <w:rPr>
                <w:rFonts w:cs="Arial"/>
                <w:b/>
                <w:bCs/>
                <w:sz w:val="20"/>
              </w:rPr>
            </w:pP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R.3-2:</w:t>
            </w:r>
            <w:r w:rsidRPr="002959E8">
              <w:rPr>
                <w:rFonts w:cs="Arial"/>
                <w:sz w:val="20"/>
              </w:rPr>
              <w:t xml:space="preserve"> </w:t>
            </w:r>
            <w:r w:rsidRPr="002959E8">
              <w:rPr>
                <w:sz w:val="20"/>
              </w:rPr>
              <w:t>Mayor participación, en particular de países en desarrollo, en actividades del UIT-R (incluso a través de la participación a distancia)</w:t>
            </w:r>
          </w:p>
        </w:tc>
        <w:tc>
          <w:tcPr>
            <w:tcW w:w="3118" w:type="dxa"/>
          </w:tcPr>
          <w:p w:rsidR="00A16A43" w:rsidRPr="002959E8" w:rsidRDefault="00A16A43" w:rsidP="00A16A4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Número de eventos técnicos y/o iniciativas de prestación de asistencia técnica en los que ha participado la BR</w:t>
            </w:r>
          </w:p>
        </w:tc>
        <w:tc>
          <w:tcPr>
            <w:tcW w:w="1008" w:type="dxa"/>
          </w:tcPr>
          <w:p w:rsidR="00A16A43" w:rsidRPr="002959E8" w:rsidRDefault="00A16A43" w:rsidP="00A16A43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93</w:t>
            </w:r>
          </w:p>
        </w:tc>
        <w:tc>
          <w:tcPr>
            <w:tcW w:w="1022" w:type="dxa"/>
          </w:tcPr>
          <w:p w:rsidR="00A16A43" w:rsidRPr="002959E8" w:rsidRDefault="00A16A43" w:rsidP="00A16A43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 w:themeColor="text1"/>
                <w:sz w:val="20"/>
              </w:rPr>
              <w:t>100</w:t>
            </w:r>
          </w:p>
        </w:tc>
        <w:tc>
          <w:tcPr>
            <w:tcW w:w="943" w:type="dxa"/>
          </w:tcPr>
          <w:p w:rsidR="00A16A43" w:rsidRPr="002959E8" w:rsidRDefault="00A16A43" w:rsidP="00A16A43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 w:themeColor="text1"/>
                <w:sz w:val="20"/>
              </w:rPr>
              <w:t>111</w:t>
            </w:r>
          </w:p>
        </w:tc>
        <w:tc>
          <w:tcPr>
            <w:tcW w:w="1097" w:type="dxa"/>
          </w:tcPr>
          <w:p w:rsidR="00A16A43" w:rsidRPr="002959E8" w:rsidRDefault="00A16A43" w:rsidP="00A16A43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 w:themeColor="text1"/>
                <w:sz w:val="20"/>
              </w:rPr>
              <w:t>110</w:t>
            </w:r>
          </w:p>
        </w:tc>
        <w:tc>
          <w:tcPr>
            <w:tcW w:w="1097" w:type="dxa"/>
          </w:tcPr>
          <w:p w:rsidR="00A16A43" w:rsidRPr="002959E8" w:rsidRDefault="00A16A43" w:rsidP="00A16A43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</w:pPr>
            <w:r w:rsidRPr="002959E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100</w:t>
            </w:r>
          </w:p>
        </w:tc>
        <w:tc>
          <w:tcPr>
            <w:tcW w:w="3912" w:type="dxa"/>
          </w:tcPr>
          <w:p w:rsidR="00A16A43" w:rsidRPr="002959E8" w:rsidRDefault="00A16A43" w:rsidP="00A16A4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Plan de Misión del UIT-R</w:t>
            </w:r>
          </w:p>
        </w:tc>
      </w:tr>
      <w:tr w:rsidR="00A16A43" w:rsidRPr="002959E8" w:rsidTr="003C6043">
        <w:trPr>
          <w:jc w:val="center"/>
        </w:trPr>
        <w:tc>
          <w:tcPr>
            <w:tcW w:w="3288" w:type="dxa"/>
            <w:vMerge/>
          </w:tcPr>
          <w:p w:rsidR="00A16A43" w:rsidRPr="002959E8" w:rsidRDefault="00A16A43" w:rsidP="00A16A43">
            <w:pPr>
              <w:pStyle w:val="Tabletext"/>
              <w:rPr>
                <w:rFonts w:cs="Arial"/>
                <w:b/>
                <w:bCs/>
                <w:color w:val="4F81BD" w:themeColor="accent1"/>
                <w:sz w:val="20"/>
              </w:rPr>
            </w:pPr>
          </w:p>
        </w:tc>
        <w:tc>
          <w:tcPr>
            <w:tcW w:w="3118" w:type="dxa"/>
          </w:tcPr>
          <w:p w:rsidR="00A16A43" w:rsidRPr="002959E8" w:rsidRDefault="00A16A43" w:rsidP="00A16A4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Número de países que reciben asistencia técnica o acogen eventos técnicos de la BR</w:t>
            </w:r>
          </w:p>
        </w:tc>
        <w:tc>
          <w:tcPr>
            <w:tcW w:w="1008" w:type="dxa"/>
          </w:tcPr>
          <w:p w:rsidR="00A16A43" w:rsidRPr="002959E8" w:rsidRDefault="00A16A43" w:rsidP="00A16A43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78</w:t>
            </w:r>
          </w:p>
        </w:tc>
        <w:tc>
          <w:tcPr>
            <w:tcW w:w="1022" w:type="dxa"/>
          </w:tcPr>
          <w:p w:rsidR="00A16A43" w:rsidRPr="002959E8" w:rsidRDefault="00A16A43" w:rsidP="00A16A43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 w:themeColor="text1"/>
                <w:sz w:val="20"/>
              </w:rPr>
              <w:t>61</w:t>
            </w:r>
          </w:p>
        </w:tc>
        <w:tc>
          <w:tcPr>
            <w:tcW w:w="943" w:type="dxa"/>
          </w:tcPr>
          <w:p w:rsidR="00A16A43" w:rsidRPr="002959E8" w:rsidRDefault="00A16A43" w:rsidP="00A16A43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 w:themeColor="text1"/>
                <w:sz w:val="20"/>
              </w:rPr>
              <w:t>62</w:t>
            </w:r>
          </w:p>
        </w:tc>
        <w:tc>
          <w:tcPr>
            <w:tcW w:w="1097" w:type="dxa"/>
          </w:tcPr>
          <w:p w:rsidR="00A16A43" w:rsidRPr="002959E8" w:rsidRDefault="00A16A43" w:rsidP="00A16A43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 w:themeColor="text1"/>
                <w:sz w:val="20"/>
              </w:rPr>
              <w:t>74</w:t>
            </w:r>
          </w:p>
        </w:tc>
        <w:tc>
          <w:tcPr>
            <w:tcW w:w="1097" w:type="dxa"/>
          </w:tcPr>
          <w:p w:rsidR="00A16A43" w:rsidRPr="002959E8" w:rsidRDefault="00A16A43" w:rsidP="00A16A43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</w:pPr>
            <w:r w:rsidRPr="002959E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80</w:t>
            </w:r>
          </w:p>
        </w:tc>
        <w:tc>
          <w:tcPr>
            <w:tcW w:w="3912" w:type="dxa"/>
          </w:tcPr>
          <w:p w:rsidR="00A16A43" w:rsidRPr="002959E8" w:rsidRDefault="00A16A43" w:rsidP="00A16A4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Plan de Misión del UIT-R</w:t>
            </w:r>
          </w:p>
        </w:tc>
      </w:tr>
      <w:tr w:rsidR="00A16A43" w:rsidRPr="002959E8" w:rsidTr="003C6043">
        <w:trPr>
          <w:jc w:val="center"/>
        </w:trPr>
        <w:tc>
          <w:tcPr>
            <w:tcW w:w="3288" w:type="dxa"/>
            <w:vMerge/>
          </w:tcPr>
          <w:p w:rsidR="00A16A43" w:rsidRPr="002959E8" w:rsidRDefault="00A16A43" w:rsidP="00A16A43">
            <w:pPr>
              <w:pStyle w:val="Tabletext"/>
              <w:rPr>
                <w:rFonts w:cs="Arial"/>
                <w:b/>
                <w:bCs/>
                <w:color w:val="4F81BD" w:themeColor="accent1"/>
                <w:sz w:val="20"/>
              </w:rPr>
            </w:pPr>
          </w:p>
        </w:tc>
        <w:tc>
          <w:tcPr>
            <w:tcW w:w="3118" w:type="dxa"/>
          </w:tcPr>
          <w:p w:rsidR="00A16A43" w:rsidRPr="002959E8" w:rsidRDefault="00A16A43" w:rsidP="00A16A4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Número de participantes/eventos en las conferencias, asambleas y reuniones relacionadas con las Comisiones de Estudio del UIT-R (presenciales y virtuales)</w:t>
            </w:r>
          </w:p>
        </w:tc>
        <w:tc>
          <w:tcPr>
            <w:tcW w:w="1008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8972/38</w:t>
            </w:r>
          </w:p>
        </w:tc>
        <w:tc>
          <w:tcPr>
            <w:tcW w:w="1022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bCs/>
                <w:color w:val="000000" w:themeColor="text1"/>
                <w:sz w:val="20"/>
              </w:rPr>
              <w:t>6042/48</w:t>
            </w:r>
          </w:p>
        </w:tc>
        <w:tc>
          <w:tcPr>
            <w:tcW w:w="943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</w:rPr>
            </w:pPr>
            <w:r w:rsidRPr="002959E8">
              <w:rPr>
                <w:rFonts w:asciiTheme="majorBidi" w:hAnsiTheme="majorBidi" w:cstheme="majorBidi"/>
                <w:bCs/>
                <w:color w:val="000000" w:themeColor="text1"/>
                <w:sz w:val="20"/>
              </w:rPr>
              <w:t>7061/52</w:t>
            </w:r>
          </w:p>
        </w:tc>
        <w:tc>
          <w:tcPr>
            <w:tcW w:w="1097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</w:rPr>
            </w:pPr>
            <w:r w:rsidRPr="002959E8">
              <w:rPr>
                <w:rFonts w:asciiTheme="majorBidi" w:hAnsiTheme="majorBidi" w:cstheme="majorBidi"/>
                <w:bCs/>
                <w:color w:val="000000" w:themeColor="text1"/>
                <w:sz w:val="20"/>
              </w:rPr>
              <w:t>4560/47</w:t>
            </w:r>
          </w:p>
        </w:tc>
        <w:tc>
          <w:tcPr>
            <w:tcW w:w="1097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</w:pPr>
            <w:r w:rsidRPr="002959E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4560/47</w:t>
            </w:r>
          </w:p>
        </w:tc>
        <w:tc>
          <w:tcPr>
            <w:tcW w:w="3912" w:type="dxa"/>
          </w:tcPr>
          <w:p w:rsidR="00A16A43" w:rsidRPr="002959E8" w:rsidRDefault="00A16A43" w:rsidP="00A16A4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Base de datos en materia de inscripciones a eventos del UIT-R</w:t>
            </w:r>
          </w:p>
        </w:tc>
      </w:tr>
      <w:tr w:rsidR="00A16A43" w:rsidRPr="002959E8" w:rsidTr="003C6043">
        <w:trPr>
          <w:jc w:val="center"/>
        </w:trPr>
        <w:tc>
          <w:tcPr>
            <w:tcW w:w="3288" w:type="dxa"/>
            <w:vMerge/>
          </w:tcPr>
          <w:p w:rsidR="00A16A43" w:rsidRPr="002959E8" w:rsidRDefault="00A16A43" w:rsidP="00A16A43">
            <w:pPr>
              <w:pStyle w:val="Tabletext"/>
              <w:rPr>
                <w:rFonts w:cs="Arial"/>
                <w:b/>
                <w:bCs/>
                <w:color w:val="4F81BD" w:themeColor="accent1"/>
                <w:sz w:val="20"/>
              </w:rPr>
            </w:pPr>
          </w:p>
        </w:tc>
        <w:tc>
          <w:tcPr>
            <w:tcW w:w="3118" w:type="dxa"/>
          </w:tcPr>
          <w:p w:rsidR="00A16A43" w:rsidRPr="002959E8" w:rsidRDefault="00A16A43" w:rsidP="00A16A4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Número de países que participan en seminarios y talleres, reuniones de CE y GT y eventos del UIT-R (presenciales y virtuales)</w:t>
            </w:r>
          </w:p>
        </w:tc>
        <w:tc>
          <w:tcPr>
            <w:tcW w:w="1008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161</w:t>
            </w:r>
          </w:p>
        </w:tc>
        <w:tc>
          <w:tcPr>
            <w:tcW w:w="1022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130</w:t>
            </w:r>
          </w:p>
        </w:tc>
        <w:tc>
          <w:tcPr>
            <w:tcW w:w="943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78</w:t>
            </w:r>
          </w:p>
        </w:tc>
        <w:tc>
          <w:tcPr>
            <w:tcW w:w="1097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137</w:t>
            </w:r>
          </w:p>
        </w:tc>
        <w:tc>
          <w:tcPr>
            <w:tcW w:w="1097" w:type="dxa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20"/>
              </w:rPr>
            </w:pPr>
            <w:r w:rsidRPr="002959E8">
              <w:rPr>
                <w:rFonts w:asciiTheme="majorBidi" w:hAnsiTheme="majorBidi" w:cstheme="majorBidi"/>
                <w:color w:val="000000"/>
                <w:sz w:val="20"/>
              </w:rPr>
              <w:t>193</w:t>
            </w:r>
          </w:p>
        </w:tc>
        <w:tc>
          <w:tcPr>
            <w:tcW w:w="3912" w:type="dxa"/>
          </w:tcPr>
          <w:p w:rsidR="00A16A43" w:rsidRPr="002959E8" w:rsidRDefault="00A16A43" w:rsidP="00A16A43">
            <w:pPr>
              <w:pStyle w:val="Tabletext"/>
              <w:rPr>
                <w:sz w:val="20"/>
              </w:rPr>
            </w:pPr>
            <w:r w:rsidRPr="002959E8">
              <w:rPr>
                <w:sz w:val="20"/>
              </w:rPr>
              <w:t>Base de datos en materia de inscripciones a eventos del UIT-R</w:t>
            </w:r>
          </w:p>
        </w:tc>
      </w:tr>
    </w:tbl>
    <w:p w:rsidR="001A4AE7" w:rsidRPr="002959E8" w:rsidRDefault="001A4AE7" w:rsidP="001A4AE7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 w:rsidRPr="002959E8">
        <w:rPr>
          <w:rFonts w:asciiTheme="minorHAnsi" w:hAnsiTheme="minorHAnsi"/>
        </w:rPr>
        <w:br w:type="page"/>
      </w:r>
    </w:p>
    <w:tbl>
      <w:tblPr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088"/>
        <w:gridCol w:w="1092"/>
        <w:gridCol w:w="1091"/>
        <w:gridCol w:w="1092"/>
        <w:gridCol w:w="1092"/>
      </w:tblGrid>
      <w:tr w:rsidR="001A4AE7" w:rsidRPr="002959E8" w:rsidTr="00A16A43">
        <w:tc>
          <w:tcPr>
            <w:tcW w:w="10088" w:type="dxa"/>
            <w:shd w:val="clear" w:color="auto" w:fill="4F81BD" w:themeFill="accent1"/>
          </w:tcPr>
          <w:p w:rsidR="001A4AE7" w:rsidRPr="002959E8" w:rsidRDefault="001A4AE7" w:rsidP="00D94B95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lastRenderedPageBreak/>
              <w:t>Producto</w:t>
            </w:r>
          </w:p>
        </w:tc>
        <w:tc>
          <w:tcPr>
            <w:tcW w:w="4367" w:type="dxa"/>
            <w:gridSpan w:val="4"/>
            <w:shd w:val="clear" w:color="auto" w:fill="4F81BD" w:themeFill="accent1"/>
          </w:tcPr>
          <w:p w:rsidR="001A4AE7" w:rsidRPr="002959E8" w:rsidRDefault="001A4AE7" w:rsidP="00F309A4">
            <w:pPr>
              <w:pStyle w:val="Tablehead"/>
              <w:rPr>
                <w:color w:val="FFFFFF" w:themeColor="background1"/>
                <w:sz w:val="20"/>
              </w:rPr>
            </w:pPr>
            <w:r w:rsidRPr="002959E8">
              <w:rPr>
                <w:color w:val="FFFFFF" w:themeColor="background1"/>
                <w:sz w:val="20"/>
              </w:rPr>
              <w:t>Recursos financieros</w:t>
            </w:r>
            <w:r w:rsidR="00F309A4">
              <w:rPr>
                <w:rStyle w:val="FootnoteReference"/>
                <w:color w:val="FFFFFF" w:themeColor="background1"/>
              </w:rPr>
              <w:footnoteReference w:id="7"/>
            </w:r>
            <w:r w:rsidRPr="002959E8">
              <w:rPr>
                <w:color w:val="FFFFFF" w:themeColor="background1"/>
                <w:sz w:val="20"/>
              </w:rPr>
              <w:t xml:space="preserve"> (en miles CHF)</w:t>
            </w:r>
          </w:p>
        </w:tc>
      </w:tr>
      <w:tr w:rsidR="00A16A43" w:rsidRPr="002959E8" w:rsidTr="00A16A43">
        <w:tc>
          <w:tcPr>
            <w:tcW w:w="10088" w:type="dxa"/>
          </w:tcPr>
          <w:p w:rsidR="00A16A43" w:rsidRPr="002959E8" w:rsidRDefault="00A16A43" w:rsidP="00A16A43">
            <w:pPr>
              <w:pStyle w:val="Tablehead"/>
              <w:rPr>
                <w:sz w:val="20"/>
              </w:rPr>
            </w:pP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b/>
                <w:bCs/>
                <w:color w:val="4F81BD" w:themeColor="accent1"/>
                <w:sz w:val="20"/>
                <w:lang w:eastAsia="zh-CN"/>
              </w:rPr>
            </w:pPr>
            <w:r w:rsidRPr="002959E8">
              <w:rPr>
                <w:b/>
                <w:bCs/>
                <w:color w:val="4F81BD" w:themeColor="accent1"/>
                <w:sz w:val="20"/>
                <w:lang w:eastAsia="zh-CN"/>
              </w:rPr>
              <w:t>2020</w:t>
            </w:r>
          </w:p>
        </w:tc>
        <w:tc>
          <w:tcPr>
            <w:tcW w:w="1091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b/>
                <w:bCs/>
                <w:color w:val="4F81BD" w:themeColor="accent1"/>
                <w:sz w:val="20"/>
                <w:lang w:eastAsia="zh-CN"/>
              </w:rPr>
            </w:pPr>
            <w:r w:rsidRPr="002959E8">
              <w:rPr>
                <w:b/>
                <w:bCs/>
                <w:color w:val="4F81BD" w:themeColor="accent1"/>
                <w:sz w:val="20"/>
                <w:lang w:eastAsia="zh-CN"/>
              </w:rPr>
              <w:t>2021</w:t>
            </w: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b/>
                <w:bCs/>
                <w:color w:val="4F81BD" w:themeColor="accent1"/>
                <w:sz w:val="20"/>
                <w:lang w:eastAsia="zh-CN"/>
              </w:rPr>
            </w:pPr>
            <w:r w:rsidRPr="002959E8">
              <w:rPr>
                <w:b/>
                <w:bCs/>
                <w:color w:val="4F81BD" w:themeColor="accent1"/>
                <w:sz w:val="20"/>
                <w:lang w:eastAsia="zh-CN"/>
              </w:rPr>
              <w:t>2022</w:t>
            </w: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b/>
                <w:bCs/>
                <w:color w:val="4F81BD" w:themeColor="accent1"/>
                <w:sz w:val="20"/>
                <w:lang w:eastAsia="zh-CN"/>
              </w:rPr>
            </w:pPr>
            <w:r w:rsidRPr="002959E8">
              <w:rPr>
                <w:b/>
                <w:bCs/>
                <w:color w:val="4F81BD" w:themeColor="accent1"/>
                <w:sz w:val="20"/>
                <w:lang w:eastAsia="zh-CN"/>
              </w:rPr>
              <w:t>2023</w:t>
            </w:r>
          </w:p>
        </w:tc>
      </w:tr>
      <w:tr w:rsidR="00A16A43" w:rsidRPr="002959E8" w:rsidTr="00A16A43">
        <w:tc>
          <w:tcPr>
            <w:tcW w:w="10088" w:type="dxa"/>
            <w:vAlign w:val="center"/>
          </w:tcPr>
          <w:p w:rsidR="00A16A43" w:rsidRPr="002959E8" w:rsidRDefault="00A16A43" w:rsidP="00A16A43">
            <w:pPr>
              <w:pStyle w:val="Tabletext"/>
              <w:rPr>
                <w:sz w:val="20"/>
                <w:lang w:eastAsia="zh-CN"/>
              </w:rPr>
            </w:pPr>
            <w:r w:rsidRPr="002959E8">
              <w:rPr>
                <w:b/>
                <w:bCs/>
                <w:color w:val="5B9BD5"/>
                <w:sz w:val="20"/>
              </w:rPr>
              <w:t>R.3-1:</w:t>
            </w:r>
            <w:r w:rsidRPr="002959E8">
              <w:rPr>
                <w:sz w:val="20"/>
              </w:rPr>
              <w:t xml:space="preserve"> Publicaciones del UIT-R</w:t>
            </w: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6 611</w:t>
            </w:r>
          </w:p>
        </w:tc>
        <w:tc>
          <w:tcPr>
            <w:tcW w:w="1091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6 495</w:t>
            </w: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7 237</w:t>
            </w: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5 938</w:t>
            </w:r>
          </w:p>
        </w:tc>
      </w:tr>
      <w:tr w:rsidR="00A16A43" w:rsidRPr="002959E8" w:rsidTr="00A16A43">
        <w:tc>
          <w:tcPr>
            <w:tcW w:w="10088" w:type="dxa"/>
            <w:vAlign w:val="center"/>
          </w:tcPr>
          <w:p w:rsidR="00A16A43" w:rsidRPr="002959E8" w:rsidRDefault="00A16A43" w:rsidP="00A16A43">
            <w:pPr>
              <w:pStyle w:val="Tabletext"/>
              <w:rPr>
                <w:b/>
                <w:bCs/>
                <w:color w:val="4F81BD" w:themeColor="accent1"/>
                <w:sz w:val="20"/>
                <w:lang w:eastAsia="zh-CN"/>
              </w:rPr>
            </w:pPr>
            <w:r w:rsidRPr="002959E8">
              <w:rPr>
                <w:b/>
                <w:bCs/>
                <w:color w:val="5B9BD5"/>
                <w:sz w:val="20"/>
              </w:rPr>
              <w:t>R.3-2:</w:t>
            </w:r>
            <w:r w:rsidRPr="002959E8">
              <w:rPr>
                <w:sz w:val="20"/>
              </w:rPr>
              <w:t xml:space="preserve"> Asistencia a los Miembros, en particular países en desarrollo y PMA</w:t>
            </w: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4 312</w:t>
            </w:r>
          </w:p>
        </w:tc>
        <w:tc>
          <w:tcPr>
            <w:tcW w:w="1091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4 321</w:t>
            </w: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2 871</w:t>
            </w: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2 644</w:t>
            </w:r>
          </w:p>
        </w:tc>
      </w:tr>
      <w:tr w:rsidR="00A16A43" w:rsidRPr="002959E8" w:rsidTr="00A16A43">
        <w:tc>
          <w:tcPr>
            <w:tcW w:w="10088" w:type="dxa"/>
            <w:vAlign w:val="center"/>
          </w:tcPr>
          <w:p w:rsidR="00A16A43" w:rsidRPr="002959E8" w:rsidRDefault="00A16A43" w:rsidP="00A16A43">
            <w:pPr>
              <w:pStyle w:val="Tabletext"/>
              <w:rPr>
                <w:sz w:val="20"/>
              </w:rPr>
            </w:pPr>
            <w:r w:rsidRPr="002959E8">
              <w:rPr>
                <w:b/>
                <w:bCs/>
                <w:color w:val="5B9BD5"/>
                <w:sz w:val="20"/>
              </w:rPr>
              <w:t>R.3-3:</w:t>
            </w:r>
            <w:r w:rsidRPr="002959E8">
              <w:rPr>
                <w:sz w:val="20"/>
              </w:rPr>
              <w:t xml:space="preserve"> Coordinación/apoyo a actividades de desarrollo</w:t>
            </w: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1 521</w:t>
            </w:r>
          </w:p>
        </w:tc>
        <w:tc>
          <w:tcPr>
            <w:tcW w:w="1091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1 456</w:t>
            </w: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1 637</w:t>
            </w: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1 674</w:t>
            </w:r>
          </w:p>
        </w:tc>
      </w:tr>
      <w:tr w:rsidR="00A16A43" w:rsidRPr="002959E8" w:rsidTr="00A16A43">
        <w:tc>
          <w:tcPr>
            <w:tcW w:w="10088" w:type="dxa"/>
            <w:vAlign w:val="center"/>
          </w:tcPr>
          <w:p w:rsidR="00A16A43" w:rsidRPr="002959E8" w:rsidRDefault="00A16A43" w:rsidP="00A16A43">
            <w:pPr>
              <w:pStyle w:val="Tabletext"/>
              <w:rPr>
                <w:sz w:val="20"/>
                <w:lang w:eastAsia="zh-CN"/>
              </w:rPr>
            </w:pPr>
            <w:r w:rsidRPr="002959E8">
              <w:rPr>
                <w:b/>
                <w:bCs/>
                <w:color w:val="5B9BD5"/>
                <w:sz w:val="20"/>
              </w:rPr>
              <w:t>R.3-4:</w:t>
            </w:r>
            <w:r w:rsidRPr="002959E8">
              <w:rPr>
                <w:sz w:val="20"/>
              </w:rPr>
              <w:t xml:space="preserve"> Seminarios, talleres y otros eventos</w:t>
            </w: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4 355</w:t>
            </w:r>
          </w:p>
        </w:tc>
        <w:tc>
          <w:tcPr>
            <w:tcW w:w="1091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4 625</w:t>
            </w: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3 862</w:t>
            </w:r>
          </w:p>
        </w:tc>
        <w:tc>
          <w:tcPr>
            <w:tcW w:w="1092" w:type="dxa"/>
            <w:vAlign w:val="center"/>
          </w:tcPr>
          <w:p w:rsidR="00A16A43" w:rsidRPr="002959E8" w:rsidRDefault="00A16A43" w:rsidP="00A16A43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2959E8">
              <w:rPr>
                <w:rFonts w:asciiTheme="majorBidi" w:hAnsiTheme="majorBidi" w:cstheme="majorBidi"/>
                <w:sz w:val="20"/>
              </w:rPr>
              <w:t>3 677</w:t>
            </w:r>
          </w:p>
        </w:tc>
      </w:tr>
      <w:tr w:rsidR="001A4AE7" w:rsidRPr="002959E8" w:rsidTr="00A16A43">
        <w:tc>
          <w:tcPr>
            <w:tcW w:w="10088" w:type="dxa"/>
            <w:vAlign w:val="center"/>
          </w:tcPr>
          <w:p w:rsidR="001A4AE7" w:rsidRPr="002959E8" w:rsidRDefault="001A4AE7" w:rsidP="00D94B95">
            <w:pPr>
              <w:pStyle w:val="Tabletext"/>
              <w:rPr>
                <w:b/>
                <w:bCs/>
                <w:color w:val="5B9BD5"/>
                <w:sz w:val="20"/>
              </w:rPr>
            </w:pPr>
            <w:r w:rsidRPr="002959E8">
              <w:rPr>
                <w:rFonts w:cs="Arial"/>
                <w:sz w:val="20"/>
              </w:rPr>
              <w:t xml:space="preserve">Atribución de costos a las actividades de la Conferencia de Plenipotenciarios y el Consejo </w:t>
            </w: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(</w:t>
            </w:r>
            <w:r w:rsidRPr="002959E8">
              <w:rPr>
                <w:b/>
                <w:bCs/>
                <w:color w:val="4F81BD" w:themeColor="accent1"/>
                <w:sz w:val="20"/>
              </w:rPr>
              <w:t>PP</w:t>
            </w:r>
            <w:r w:rsidRPr="002959E8">
              <w:rPr>
                <w:rFonts w:cs="Arial"/>
                <w:color w:val="4F81BD" w:themeColor="accent1"/>
                <w:sz w:val="20"/>
              </w:rPr>
              <w:t xml:space="preserve">, </w:t>
            </w:r>
            <w:r w:rsidRPr="002959E8">
              <w:rPr>
                <w:b/>
                <w:bCs/>
                <w:color w:val="4F81BD" w:themeColor="accent1"/>
                <w:sz w:val="20"/>
              </w:rPr>
              <w:t>Consejo/GTC</w:t>
            </w:r>
            <w:r w:rsidRPr="002959E8">
              <w:rPr>
                <w:rFonts w:cs="Arial"/>
                <w:b/>
                <w:bCs/>
                <w:color w:val="4F81BD" w:themeColor="accent1"/>
                <w:sz w:val="20"/>
              </w:rPr>
              <w:t>)</w:t>
            </w:r>
          </w:p>
        </w:tc>
        <w:tc>
          <w:tcPr>
            <w:tcW w:w="1092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i/>
                <w:iCs/>
                <w:color w:val="767171"/>
                <w:sz w:val="20"/>
              </w:rPr>
            </w:pPr>
          </w:p>
        </w:tc>
        <w:tc>
          <w:tcPr>
            <w:tcW w:w="1091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i/>
                <w:iCs/>
                <w:color w:val="767171"/>
                <w:sz w:val="20"/>
              </w:rPr>
            </w:pPr>
          </w:p>
        </w:tc>
        <w:tc>
          <w:tcPr>
            <w:tcW w:w="1092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092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sz w:val="20"/>
              </w:rPr>
            </w:pPr>
          </w:p>
        </w:tc>
      </w:tr>
      <w:tr w:rsidR="001A4AE7" w:rsidRPr="002959E8" w:rsidTr="00A16A43">
        <w:tc>
          <w:tcPr>
            <w:tcW w:w="10088" w:type="dxa"/>
            <w:vAlign w:val="center"/>
          </w:tcPr>
          <w:p w:rsidR="001A4AE7" w:rsidRPr="002959E8" w:rsidRDefault="001A4AE7" w:rsidP="00D94B95">
            <w:pPr>
              <w:pStyle w:val="Tabletext"/>
              <w:rPr>
                <w:b/>
                <w:bCs/>
                <w:color w:val="4F81BD" w:themeColor="accent1"/>
                <w:sz w:val="20"/>
                <w:lang w:eastAsia="zh-CN"/>
              </w:rPr>
            </w:pPr>
            <w:r w:rsidRPr="002959E8">
              <w:rPr>
                <w:b/>
                <w:bCs/>
                <w:color w:val="5B9BD5"/>
                <w:sz w:val="20"/>
              </w:rPr>
              <w:t>Total para el Objetivo R.3</w:t>
            </w:r>
          </w:p>
        </w:tc>
        <w:tc>
          <w:tcPr>
            <w:tcW w:w="1092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b/>
                <w:bCs/>
                <w:i/>
                <w:iCs/>
                <w:color w:val="767171"/>
                <w:sz w:val="20"/>
              </w:rPr>
            </w:pPr>
          </w:p>
        </w:tc>
        <w:tc>
          <w:tcPr>
            <w:tcW w:w="1091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b/>
                <w:bCs/>
                <w:i/>
                <w:iCs/>
                <w:color w:val="767171"/>
                <w:sz w:val="20"/>
              </w:rPr>
            </w:pPr>
          </w:p>
        </w:tc>
        <w:tc>
          <w:tcPr>
            <w:tcW w:w="1092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92" w:type="dxa"/>
            <w:vAlign w:val="center"/>
          </w:tcPr>
          <w:p w:rsidR="001A4AE7" w:rsidRPr="002959E8" w:rsidRDefault="001A4AE7" w:rsidP="00D94B95">
            <w:pPr>
              <w:pStyle w:val="Tabletext"/>
              <w:jc w:val="center"/>
              <w:rPr>
                <w:b/>
                <w:bCs/>
                <w:sz w:val="20"/>
              </w:rPr>
            </w:pPr>
          </w:p>
        </w:tc>
      </w:tr>
    </w:tbl>
    <w:p w:rsidR="000F6C48" w:rsidRPr="002959E8" w:rsidRDefault="000F6C48" w:rsidP="00735A92">
      <w:pPr>
        <w:pStyle w:val="Reasons"/>
      </w:pPr>
    </w:p>
    <w:p w:rsidR="000F6C48" w:rsidRPr="002959E8" w:rsidRDefault="000F6C48">
      <w:pPr>
        <w:jc w:val="center"/>
      </w:pPr>
      <w:r w:rsidRPr="002959E8">
        <w:t>______________</w:t>
      </w:r>
      <w:bookmarkStart w:id="6" w:name="_GoBack"/>
      <w:bookmarkEnd w:id="6"/>
    </w:p>
    <w:sectPr w:rsidR="000F6C48" w:rsidRPr="002959E8" w:rsidSect="0034044B">
      <w:pgSz w:w="16834" w:h="11907" w:orient="landscape"/>
      <w:pgMar w:top="1418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E5" w:rsidRDefault="000B6FE5">
      <w:r>
        <w:separator/>
      </w:r>
    </w:p>
  </w:endnote>
  <w:endnote w:type="continuationSeparator" w:id="0">
    <w:p w:rsidR="000B6FE5" w:rsidRDefault="000B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E5" w:rsidRPr="00BA737C" w:rsidRDefault="000B6FE5">
    <w:pPr>
      <w:pStyle w:val="Footer"/>
      <w:rPr>
        <w:lang w:val="sv-SE"/>
      </w:rPr>
    </w:pPr>
    <w:r>
      <w:fldChar w:fldCharType="begin"/>
    </w:r>
    <w:r w:rsidRPr="00BA737C">
      <w:rPr>
        <w:lang w:val="sv-SE"/>
      </w:rPr>
      <w:instrText xml:space="preserve"> FILENAME \p \* MERGEFORMAT </w:instrText>
    </w:r>
    <w:r>
      <w:fldChar w:fldCharType="separate"/>
    </w:r>
    <w:r w:rsidR="00BA737C" w:rsidRPr="00BA737C">
      <w:rPr>
        <w:lang w:val="sv-SE"/>
      </w:rPr>
      <w:t>P:\ESP\ITU-R\AG\RAG\RAG19\000\001ADD02REV1S.docx</w:t>
    </w:r>
    <w:r>
      <w:rPr>
        <w:lang w:val="en-US"/>
      </w:rPr>
      <w:fldChar w:fldCharType="end"/>
    </w:r>
    <w:r w:rsidRPr="00BA737C">
      <w:rPr>
        <w:lang w:val="sv-SE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737C">
      <w:t>29.03.19</w:t>
    </w:r>
    <w:r>
      <w:fldChar w:fldCharType="end"/>
    </w:r>
    <w:r w:rsidRPr="00BA737C">
      <w:rPr>
        <w:lang w:val="sv-SE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737C">
      <w:t>18.02.93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7C" w:rsidRPr="00735A92" w:rsidRDefault="00BA737C" w:rsidP="00BA737C">
    <w:pPr>
      <w:pStyle w:val="Footer"/>
      <w:rPr>
        <w:lang w:val="sv-SE"/>
      </w:rPr>
    </w:pPr>
    <w:r w:rsidRPr="00165447">
      <w:rPr>
        <w:lang w:val="sv-SE"/>
      </w:rPr>
      <w:fldChar w:fldCharType="begin"/>
    </w:r>
    <w:r w:rsidRPr="00165447">
      <w:rPr>
        <w:lang w:val="sv-SE"/>
      </w:rPr>
      <w:instrText xml:space="preserve"> FILENAME \p  \* MERGEFORMAT </w:instrText>
    </w:r>
    <w:r w:rsidRPr="00165447">
      <w:rPr>
        <w:lang w:val="sv-SE"/>
      </w:rPr>
      <w:fldChar w:fldCharType="separate"/>
    </w:r>
    <w:r>
      <w:rPr>
        <w:lang w:val="sv-SE"/>
      </w:rPr>
      <w:t>P:\ESP\ITU-R\AG\RAG\RAG19\000\001ADD02REV1S.docx</w:t>
    </w:r>
    <w:r w:rsidRPr="00165447">
      <w:rPr>
        <w:lang w:val="sv-SE"/>
      </w:rPr>
      <w:fldChar w:fldCharType="end"/>
    </w:r>
    <w:r>
      <w:rPr>
        <w:lang w:val="sv-SE"/>
      </w:rPr>
      <w:t xml:space="preserve"> (452730</w:t>
    </w:r>
    <w:r w:rsidRPr="00165447">
      <w:rPr>
        <w:lang w:val="sv-SE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E5" w:rsidRPr="00735A92" w:rsidRDefault="000B6FE5" w:rsidP="00165447">
    <w:pPr>
      <w:pStyle w:val="Footer"/>
      <w:rPr>
        <w:lang w:val="sv-SE"/>
      </w:rPr>
    </w:pPr>
    <w:r w:rsidRPr="00165447">
      <w:rPr>
        <w:lang w:val="sv-SE"/>
      </w:rPr>
      <w:fldChar w:fldCharType="begin"/>
    </w:r>
    <w:r w:rsidRPr="00165447">
      <w:rPr>
        <w:lang w:val="sv-SE"/>
      </w:rPr>
      <w:instrText xml:space="preserve"> FILENAME \p  \* MERGEFORMAT </w:instrText>
    </w:r>
    <w:r w:rsidRPr="00165447">
      <w:rPr>
        <w:lang w:val="sv-SE"/>
      </w:rPr>
      <w:fldChar w:fldCharType="separate"/>
    </w:r>
    <w:r w:rsidR="00BA737C">
      <w:rPr>
        <w:lang w:val="sv-SE"/>
      </w:rPr>
      <w:t>P:\ESP\ITU-R\AG\RAG\RAG19\000\001ADD02REV1S.docx</w:t>
    </w:r>
    <w:r w:rsidRPr="00165447">
      <w:rPr>
        <w:lang w:val="sv-SE"/>
      </w:rPr>
      <w:fldChar w:fldCharType="end"/>
    </w:r>
    <w:r>
      <w:rPr>
        <w:lang w:val="sv-SE"/>
      </w:rPr>
      <w:t xml:space="preserve"> (452730</w:t>
    </w:r>
    <w:r w:rsidRPr="00165447">
      <w:rPr>
        <w:lang w:val="sv-SE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7C" w:rsidRPr="00735A92" w:rsidRDefault="00BA737C" w:rsidP="00BA737C">
    <w:pPr>
      <w:pStyle w:val="Footer"/>
      <w:rPr>
        <w:lang w:val="sv-SE"/>
      </w:rPr>
    </w:pPr>
    <w:r w:rsidRPr="00165447">
      <w:rPr>
        <w:lang w:val="sv-SE"/>
      </w:rPr>
      <w:fldChar w:fldCharType="begin"/>
    </w:r>
    <w:r w:rsidRPr="00165447">
      <w:rPr>
        <w:lang w:val="sv-SE"/>
      </w:rPr>
      <w:instrText xml:space="preserve"> FILENAME \p  \* MERGEFORMAT </w:instrText>
    </w:r>
    <w:r w:rsidRPr="00165447">
      <w:rPr>
        <w:lang w:val="sv-SE"/>
      </w:rPr>
      <w:fldChar w:fldCharType="separate"/>
    </w:r>
    <w:r>
      <w:rPr>
        <w:lang w:val="sv-SE"/>
      </w:rPr>
      <w:t>P:\ESP\ITU-R\AG\RAG\RAG19\000\001ADD02REV1S.docx</w:t>
    </w:r>
    <w:r w:rsidRPr="00165447">
      <w:rPr>
        <w:lang w:val="sv-SE"/>
      </w:rPr>
      <w:fldChar w:fldCharType="end"/>
    </w:r>
    <w:r>
      <w:rPr>
        <w:lang w:val="sv-SE"/>
      </w:rPr>
      <w:t xml:space="preserve"> (452730</w:t>
    </w:r>
    <w:r w:rsidRPr="00165447">
      <w:rPr>
        <w:lang w:val="sv-SE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E5" w:rsidRDefault="000B6FE5">
      <w:r>
        <w:t>____________________</w:t>
      </w:r>
    </w:p>
  </w:footnote>
  <w:footnote w:type="continuationSeparator" w:id="0">
    <w:p w:rsidR="000B6FE5" w:rsidRDefault="000B6FE5">
      <w:r>
        <w:continuationSeparator/>
      </w:r>
    </w:p>
  </w:footnote>
  <w:footnote w:id="1">
    <w:p w:rsidR="00690F86" w:rsidRPr="00690F86" w:rsidRDefault="00690F86" w:rsidP="00690F8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F71AA5">
        <w:t>El Director de la Oficina nombrará a las personas responsables de los riesgos</w:t>
      </w:r>
    </w:p>
  </w:footnote>
  <w:footnote w:id="2">
    <w:p w:rsidR="00690F86" w:rsidRPr="00690F86" w:rsidRDefault="00690F8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72542C">
        <w:t>Estimación para</w:t>
      </w:r>
      <w:r>
        <w:t xml:space="preserve"> el periodo</w:t>
      </w:r>
      <w:r w:rsidRPr="0072542C">
        <w:t xml:space="preserve"> 20</w:t>
      </w:r>
      <w:r>
        <w:t>22</w:t>
      </w:r>
      <w:r w:rsidRPr="0072542C">
        <w:t>-20</w:t>
      </w:r>
      <w:r>
        <w:t>23</w:t>
      </w:r>
      <w:r w:rsidRPr="0072542C">
        <w:t xml:space="preserve">. La atribución de recursos para los años posteriores podrá modificarse en función de lo que decida la </w:t>
      </w:r>
      <w:r>
        <w:t xml:space="preserve">Alta </w:t>
      </w:r>
      <w:r w:rsidRPr="0072542C">
        <w:t>Dirección.</w:t>
      </w:r>
    </w:p>
  </w:footnote>
  <w:footnote w:id="3">
    <w:p w:rsidR="00B209CC" w:rsidRPr="00B209CC" w:rsidRDefault="00B209C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>
        <w:rPr>
          <w:lang w:val="es-ES"/>
        </w:rPr>
        <w:t>«n/a» significa que aún no se dispone de valores para el indicador.</w:t>
      </w:r>
    </w:p>
  </w:footnote>
  <w:footnote w:id="4">
    <w:p w:rsidR="000B6FE5" w:rsidRPr="009B4F0B" w:rsidRDefault="000B6FE5" w:rsidP="009B4F0B">
      <w:pPr>
        <w:pStyle w:val="FootnoteText"/>
        <w:rPr>
          <w:lang w:val="es-ES"/>
        </w:rPr>
      </w:pPr>
      <w:r>
        <w:rPr>
          <w:rStyle w:val="FootnoteReference"/>
        </w:rPr>
        <w:t>*</w:t>
      </w:r>
      <w:r>
        <w:tab/>
        <w:t>Estimación.</w:t>
      </w:r>
    </w:p>
  </w:footnote>
  <w:footnote w:id="5">
    <w:p w:rsidR="00F309A4" w:rsidRDefault="00F309A4">
      <w:pPr>
        <w:pStyle w:val="FootnoteText"/>
      </w:pPr>
      <w:r>
        <w:rPr>
          <w:rStyle w:val="FootnoteReference"/>
        </w:rPr>
        <w:footnoteRef/>
      </w:r>
      <w:r>
        <w:tab/>
      </w:r>
      <w:r w:rsidRPr="0072542C">
        <w:t xml:space="preserve">Estimación para </w:t>
      </w:r>
      <w:r>
        <w:t xml:space="preserve">el periodo </w:t>
      </w:r>
      <w:r w:rsidRPr="0072542C">
        <w:t>20</w:t>
      </w:r>
      <w:r>
        <w:t>22</w:t>
      </w:r>
      <w:r w:rsidRPr="0072542C">
        <w:t>-20</w:t>
      </w:r>
      <w:r>
        <w:t>23</w:t>
      </w:r>
      <w:r w:rsidRPr="0072542C">
        <w:t xml:space="preserve">. La atribución de recursos para los años posteriores podrá modificarse en función de lo que decida la </w:t>
      </w:r>
      <w:r>
        <w:t xml:space="preserve">Alta </w:t>
      </w:r>
      <w:r w:rsidRPr="0072542C">
        <w:t>Dirección.</w:t>
      </w:r>
    </w:p>
    <w:p w:rsidR="00F309A4" w:rsidRPr="00F309A4" w:rsidRDefault="00F309A4">
      <w:pPr>
        <w:pStyle w:val="FootnoteText"/>
        <w:rPr>
          <w:lang w:val="es-ES"/>
        </w:rPr>
      </w:pPr>
      <w:r w:rsidRPr="00F309A4">
        <w:rPr>
          <w:rFonts w:asciiTheme="majorBidi" w:hAnsiTheme="majorBidi" w:cstheme="majorBidi"/>
          <w:sz w:val="20"/>
        </w:rPr>
        <w:t>*</w:t>
      </w:r>
      <w:r w:rsidRPr="00F309A4">
        <w:rPr>
          <w:rFonts w:asciiTheme="majorBidi" w:hAnsiTheme="majorBidi" w:cstheme="majorBidi"/>
          <w:sz w:val="20"/>
        </w:rPr>
        <w:tab/>
      </w:r>
      <w:r w:rsidRPr="00A01152">
        <w:t>Estimación</w:t>
      </w:r>
      <w:r w:rsidRPr="00A01152">
        <w:rPr>
          <w:rFonts w:asciiTheme="majorBidi" w:hAnsiTheme="majorBidi" w:cstheme="majorBidi"/>
          <w:sz w:val="20"/>
        </w:rPr>
        <w:t>.</w:t>
      </w:r>
    </w:p>
  </w:footnote>
  <w:footnote w:id="6">
    <w:p w:rsidR="004A46B4" w:rsidRPr="004A46B4" w:rsidRDefault="004A46B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rPr>
          <w:lang w:val="es-ES"/>
        </w:rPr>
        <w:tab/>
        <w:t>Esta cifra sólo resulta apropiada para comparaciones, ya que la descarga de un mismo documento/publicación puede contar como varias descargas.</w:t>
      </w:r>
    </w:p>
  </w:footnote>
  <w:footnote w:id="7">
    <w:p w:rsidR="00F309A4" w:rsidRPr="00F309A4" w:rsidRDefault="00F309A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72542C">
        <w:t xml:space="preserve">Estimación para para </w:t>
      </w:r>
      <w:r>
        <w:t xml:space="preserve">el periodo </w:t>
      </w:r>
      <w:r w:rsidRPr="0072542C">
        <w:t>20</w:t>
      </w:r>
      <w:r>
        <w:t>22</w:t>
      </w:r>
      <w:r w:rsidRPr="0072542C">
        <w:t>-20</w:t>
      </w:r>
      <w:r>
        <w:t>23</w:t>
      </w:r>
      <w:r w:rsidRPr="0072542C">
        <w:t xml:space="preserve">. La atribución de recursos para los años posteriores podrá modificarse en función de lo que decida la </w:t>
      </w:r>
      <w:r>
        <w:t xml:space="preserve">Alta </w:t>
      </w:r>
      <w:r w:rsidRPr="0072542C">
        <w:t>Dirección.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E5" w:rsidRDefault="000B6FE5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B6FE5" w:rsidRDefault="000B6FE5" w:rsidP="00F77D5F">
    <w:pPr>
      <w:pStyle w:val="Header"/>
      <w:rPr>
        <w:lang w:val="es-ES"/>
      </w:rPr>
    </w:pPr>
    <w:r>
      <w:rPr>
        <w:lang w:val="es-ES"/>
      </w:rPr>
      <w:t>RAG19/#-S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E5" w:rsidRDefault="000B6FE5" w:rsidP="00D94B95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0456">
      <w:rPr>
        <w:rStyle w:val="PageNumber"/>
        <w:noProof/>
      </w:rPr>
      <w:t>12</w:t>
    </w:r>
    <w:r>
      <w:rPr>
        <w:rStyle w:val="PageNumber"/>
      </w:rPr>
      <w:fldChar w:fldCharType="end"/>
    </w:r>
  </w:p>
  <w:p w:rsidR="000B6FE5" w:rsidRPr="002C4122" w:rsidRDefault="000B6FE5" w:rsidP="001A4AE7">
    <w:pPr>
      <w:pStyle w:val="Header"/>
      <w:rPr>
        <w:lang w:val="es-ES"/>
      </w:rPr>
    </w:pPr>
    <w:r>
      <w:rPr>
        <w:lang w:val="es-ES"/>
      </w:rPr>
      <w:t>RAG19/1</w:t>
    </w:r>
    <w:r w:rsidRPr="002C4122">
      <w:rPr>
        <w:lang w:val="es-ES"/>
      </w:rPr>
      <w:t>(Add.</w:t>
    </w:r>
    <w:r>
      <w:rPr>
        <w:lang w:val="es-ES"/>
      </w:rPr>
      <w:t>2</w:t>
    </w:r>
    <w:r w:rsidRPr="002C4122">
      <w:rPr>
        <w:lang w:val="es-ES"/>
      </w:rPr>
      <w:t>)</w:t>
    </w:r>
    <w:r w:rsidR="0073037D">
      <w:rPr>
        <w:rFonts w:asciiTheme="majorBidi" w:hAnsiTheme="majorBidi" w:cstheme="majorBidi"/>
        <w:szCs w:val="18"/>
        <w:lang w:val="es-ES"/>
      </w:rPr>
      <w:t>(Rev.1)</w:t>
    </w:r>
    <w:r>
      <w:rPr>
        <w:lang w:val="es-ES"/>
      </w:rPr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E5" w:rsidRDefault="000B6FE5" w:rsidP="00D94B95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0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0B6FE5" w:rsidRPr="002C4122" w:rsidRDefault="000B6FE5" w:rsidP="001A4AE7">
    <w:pPr>
      <w:pStyle w:val="Header"/>
      <w:rPr>
        <w:lang w:val="es-ES"/>
      </w:rPr>
    </w:pPr>
    <w:r>
      <w:rPr>
        <w:lang w:val="es-ES"/>
      </w:rPr>
      <w:t>RAG19/1</w:t>
    </w:r>
    <w:r w:rsidRPr="002C4122">
      <w:rPr>
        <w:lang w:val="es-ES"/>
      </w:rPr>
      <w:t>(Add.</w:t>
    </w:r>
    <w:r>
      <w:rPr>
        <w:lang w:val="es-ES"/>
      </w:rPr>
      <w:t>2</w:t>
    </w:r>
    <w:r w:rsidRPr="002C4122">
      <w:rPr>
        <w:lang w:val="es-ES"/>
      </w:rPr>
      <w:t>)</w:t>
    </w:r>
    <w:r w:rsidR="00F71D4C">
      <w:rPr>
        <w:rFonts w:asciiTheme="majorBidi" w:hAnsiTheme="majorBidi" w:cstheme="majorBidi"/>
        <w:szCs w:val="18"/>
        <w:lang w:val="es-ES"/>
      </w:rPr>
      <w:t>(Rev.1)</w:t>
    </w:r>
    <w:r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1C05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80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EC93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EE2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0A1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01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3C3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BC6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9E7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4E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01A6"/>
    <w:multiLevelType w:val="hybridMultilevel"/>
    <w:tmpl w:val="F7A8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90453"/>
    <w:multiLevelType w:val="hybridMultilevel"/>
    <w:tmpl w:val="2C9E3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690F77"/>
    <w:multiLevelType w:val="hybridMultilevel"/>
    <w:tmpl w:val="9EA25A46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BD436E"/>
    <w:multiLevelType w:val="hybridMultilevel"/>
    <w:tmpl w:val="3BCECD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E217C"/>
    <w:multiLevelType w:val="hybridMultilevel"/>
    <w:tmpl w:val="A906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4347F9"/>
    <w:multiLevelType w:val="hybridMultilevel"/>
    <w:tmpl w:val="E45C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DA6B86"/>
    <w:multiLevelType w:val="hybridMultilevel"/>
    <w:tmpl w:val="8852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60FBF"/>
    <w:multiLevelType w:val="hybridMultilevel"/>
    <w:tmpl w:val="29DC6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D84080"/>
    <w:multiLevelType w:val="hybridMultilevel"/>
    <w:tmpl w:val="5C186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23877"/>
    <w:multiLevelType w:val="hybridMultilevel"/>
    <w:tmpl w:val="DA0A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8A5DA9"/>
    <w:multiLevelType w:val="hybridMultilevel"/>
    <w:tmpl w:val="346A33AC"/>
    <w:lvl w:ilvl="0" w:tplc="5232B3B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A12C0"/>
    <w:multiLevelType w:val="hybridMultilevel"/>
    <w:tmpl w:val="F5B8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908A1"/>
    <w:multiLevelType w:val="hybridMultilevel"/>
    <w:tmpl w:val="52AC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F22DD"/>
    <w:multiLevelType w:val="hybridMultilevel"/>
    <w:tmpl w:val="68FA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16A8A"/>
    <w:multiLevelType w:val="hybridMultilevel"/>
    <w:tmpl w:val="1548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4F86"/>
    <w:multiLevelType w:val="hybridMultilevel"/>
    <w:tmpl w:val="BC30FB54"/>
    <w:lvl w:ilvl="0" w:tplc="191A807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8B5EC0"/>
    <w:multiLevelType w:val="hybridMultilevel"/>
    <w:tmpl w:val="0944DEEC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31C29"/>
    <w:multiLevelType w:val="hybridMultilevel"/>
    <w:tmpl w:val="1D5EDEFE"/>
    <w:lvl w:ilvl="0" w:tplc="26D4D66A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8D5A33"/>
    <w:multiLevelType w:val="hybridMultilevel"/>
    <w:tmpl w:val="2740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464C6"/>
    <w:multiLevelType w:val="hybridMultilevel"/>
    <w:tmpl w:val="BC34B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C294C"/>
    <w:multiLevelType w:val="hybridMultilevel"/>
    <w:tmpl w:val="E28CD5FE"/>
    <w:lvl w:ilvl="0" w:tplc="D1960C0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377888"/>
    <w:multiLevelType w:val="hybridMultilevel"/>
    <w:tmpl w:val="DE9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C28A6"/>
    <w:multiLevelType w:val="hybridMultilevel"/>
    <w:tmpl w:val="39DAEE56"/>
    <w:lvl w:ilvl="0" w:tplc="8288011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001BA"/>
    <w:multiLevelType w:val="hybridMultilevel"/>
    <w:tmpl w:val="700E26C4"/>
    <w:lvl w:ilvl="0" w:tplc="8288011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40B8F"/>
    <w:multiLevelType w:val="hybridMultilevel"/>
    <w:tmpl w:val="4A7C1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80138"/>
    <w:multiLevelType w:val="hybridMultilevel"/>
    <w:tmpl w:val="EAE8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12237"/>
    <w:multiLevelType w:val="hybridMultilevel"/>
    <w:tmpl w:val="2006DDBC"/>
    <w:lvl w:ilvl="0" w:tplc="58A428B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54B78"/>
    <w:multiLevelType w:val="multilevel"/>
    <w:tmpl w:val="063CA99C"/>
    <w:lvl w:ilvl="0">
      <w:start w:val="1"/>
      <w:numFmt w:val="bullet"/>
      <w:pStyle w:val="enumlevel"/>
      <w:lvlText w:val=""/>
      <w:lvlJc w:val="left"/>
      <w:pPr>
        <w:ind w:left="1262" w:hanging="360"/>
      </w:pPr>
      <w:rPr>
        <w:rFonts w:ascii="Wingdings" w:hAnsi="Wingdings" w:hint="default"/>
        <w:color w:val="9900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B6C4B"/>
    <w:multiLevelType w:val="hybridMultilevel"/>
    <w:tmpl w:val="8E70E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F6E7E"/>
    <w:multiLevelType w:val="hybridMultilevel"/>
    <w:tmpl w:val="57CA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727F4"/>
    <w:multiLevelType w:val="hybridMultilevel"/>
    <w:tmpl w:val="F6E08FAC"/>
    <w:lvl w:ilvl="0" w:tplc="8288011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3194A"/>
    <w:multiLevelType w:val="hybridMultilevel"/>
    <w:tmpl w:val="2A16D274"/>
    <w:lvl w:ilvl="0" w:tplc="C348462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B36061"/>
    <w:multiLevelType w:val="hybridMultilevel"/>
    <w:tmpl w:val="76AE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2"/>
  </w:num>
  <w:num w:numId="13">
    <w:abstractNumId w:val="40"/>
  </w:num>
  <w:num w:numId="14">
    <w:abstractNumId w:val="19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</w:num>
  <w:num w:numId="17">
    <w:abstractNumId w:val="15"/>
  </w:num>
  <w:num w:numId="18">
    <w:abstractNumId w:val="17"/>
  </w:num>
  <w:num w:numId="19">
    <w:abstractNumId w:val="26"/>
  </w:num>
  <w:num w:numId="20">
    <w:abstractNumId w:val="21"/>
  </w:num>
  <w:num w:numId="21">
    <w:abstractNumId w:val="24"/>
  </w:num>
  <w:num w:numId="22">
    <w:abstractNumId w:val="1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7"/>
  </w:num>
  <w:num w:numId="26">
    <w:abstractNumId w:val="25"/>
  </w:num>
  <w:num w:numId="27">
    <w:abstractNumId w:val="30"/>
  </w:num>
  <w:num w:numId="28">
    <w:abstractNumId w:val="12"/>
  </w:num>
  <w:num w:numId="29">
    <w:abstractNumId w:val="28"/>
  </w:num>
  <w:num w:numId="30">
    <w:abstractNumId w:val="23"/>
  </w:num>
  <w:num w:numId="31">
    <w:abstractNumId w:val="31"/>
  </w:num>
  <w:num w:numId="32">
    <w:abstractNumId w:val="39"/>
  </w:num>
  <w:num w:numId="33">
    <w:abstractNumId w:val="29"/>
  </w:num>
  <w:num w:numId="34">
    <w:abstractNumId w:val="42"/>
  </w:num>
  <w:num w:numId="35">
    <w:abstractNumId w:val="43"/>
  </w:num>
  <w:num w:numId="36">
    <w:abstractNumId w:val="16"/>
  </w:num>
  <w:num w:numId="37">
    <w:abstractNumId w:val="18"/>
  </w:num>
  <w:num w:numId="38">
    <w:abstractNumId w:val="22"/>
  </w:num>
  <w:num w:numId="39">
    <w:abstractNumId w:val="38"/>
  </w:num>
  <w:num w:numId="40">
    <w:abstractNumId w:val="34"/>
  </w:num>
  <w:num w:numId="41">
    <w:abstractNumId w:val="14"/>
  </w:num>
  <w:num w:numId="42">
    <w:abstractNumId w:val="35"/>
  </w:num>
  <w:num w:numId="43">
    <w:abstractNumId w:val="37"/>
  </w:num>
  <w:num w:numId="44">
    <w:abstractNumId w:val="10"/>
  </w:num>
  <w:num w:numId="45">
    <w:abstractNumId w:val="36"/>
  </w:num>
  <w:num w:numId="46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riano, Manuel">
    <w15:presenceInfo w15:providerId="AD" w15:userId="S-1-5-21-8740799-900759487-1415713722-35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73"/>
    <w:rsid w:val="00003C88"/>
    <w:rsid w:val="00026267"/>
    <w:rsid w:val="0006282F"/>
    <w:rsid w:val="000A0C31"/>
    <w:rsid w:val="000B6FE5"/>
    <w:rsid w:val="000C62BA"/>
    <w:rsid w:val="000D756D"/>
    <w:rsid w:val="000E1D05"/>
    <w:rsid w:val="000F6C48"/>
    <w:rsid w:val="0012592F"/>
    <w:rsid w:val="001341B2"/>
    <w:rsid w:val="001536AE"/>
    <w:rsid w:val="0016292A"/>
    <w:rsid w:val="00164C34"/>
    <w:rsid w:val="00165447"/>
    <w:rsid w:val="001A4AE7"/>
    <w:rsid w:val="001B0C70"/>
    <w:rsid w:val="001B7BCD"/>
    <w:rsid w:val="001C5009"/>
    <w:rsid w:val="001D27FB"/>
    <w:rsid w:val="001D496F"/>
    <w:rsid w:val="001E6357"/>
    <w:rsid w:val="001F2F50"/>
    <w:rsid w:val="00204528"/>
    <w:rsid w:val="00242B6F"/>
    <w:rsid w:val="00260139"/>
    <w:rsid w:val="00263EA5"/>
    <w:rsid w:val="00277816"/>
    <w:rsid w:val="00290456"/>
    <w:rsid w:val="002959E8"/>
    <w:rsid w:val="002E20AA"/>
    <w:rsid w:val="0031432E"/>
    <w:rsid w:val="003238B6"/>
    <w:rsid w:val="0034043B"/>
    <w:rsid w:val="0034044B"/>
    <w:rsid w:val="00354241"/>
    <w:rsid w:val="00393222"/>
    <w:rsid w:val="003C6043"/>
    <w:rsid w:val="00414D8B"/>
    <w:rsid w:val="00434873"/>
    <w:rsid w:val="00482905"/>
    <w:rsid w:val="004A46B4"/>
    <w:rsid w:val="004D6C09"/>
    <w:rsid w:val="00536B80"/>
    <w:rsid w:val="0053777E"/>
    <w:rsid w:val="0057336B"/>
    <w:rsid w:val="005A2195"/>
    <w:rsid w:val="005A4978"/>
    <w:rsid w:val="005D3E02"/>
    <w:rsid w:val="005F6EE3"/>
    <w:rsid w:val="00603369"/>
    <w:rsid w:val="00610642"/>
    <w:rsid w:val="00616601"/>
    <w:rsid w:val="006463E4"/>
    <w:rsid w:val="00646EEF"/>
    <w:rsid w:val="00663829"/>
    <w:rsid w:val="006727B1"/>
    <w:rsid w:val="00690F86"/>
    <w:rsid w:val="00695930"/>
    <w:rsid w:val="006A42AB"/>
    <w:rsid w:val="006E291F"/>
    <w:rsid w:val="00725176"/>
    <w:rsid w:val="0073037D"/>
    <w:rsid w:val="00731F77"/>
    <w:rsid w:val="00734DD7"/>
    <w:rsid w:val="00735A92"/>
    <w:rsid w:val="0076567C"/>
    <w:rsid w:val="007745AE"/>
    <w:rsid w:val="007B04AF"/>
    <w:rsid w:val="007E06C0"/>
    <w:rsid w:val="007E39B2"/>
    <w:rsid w:val="007E444F"/>
    <w:rsid w:val="008506C9"/>
    <w:rsid w:val="00851FDA"/>
    <w:rsid w:val="008625D8"/>
    <w:rsid w:val="008B229F"/>
    <w:rsid w:val="008C2DEB"/>
    <w:rsid w:val="008F0106"/>
    <w:rsid w:val="00910A9E"/>
    <w:rsid w:val="00924B63"/>
    <w:rsid w:val="00930273"/>
    <w:rsid w:val="009518F1"/>
    <w:rsid w:val="00982618"/>
    <w:rsid w:val="009B4F0B"/>
    <w:rsid w:val="009C205E"/>
    <w:rsid w:val="009C3C1D"/>
    <w:rsid w:val="009D34C6"/>
    <w:rsid w:val="00A01152"/>
    <w:rsid w:val="00A02D6D"/>
    <w:rsid w:val="00A0579C"/>
    <w:rsid w:val="00A16191"/>
    <w:rsid w:val="00A16A43"/>
    <w:rsid w:val="00A21B4D"/>
    <w:rsid w:val="00A27B61"/>
    <w:rsid w:val="00A62245"/>
    <w:rsid w:val="00AE7D8C"/>
    <w:rsid w:val="00B0497C"/>
    <w:rsid w:val="00B209CC"/>
    <w:rsid w:val="00B32E51"/>
    <w:rsid w:val="00B50674"/>
    <w:rsid w:val="00BA4A6C"/>
    <w:rsid w:val="00BA737C"/>
    <w:rsid w:val="00BD66A4"/>
    <w:rsid w:val="00C03ACC"/>
    <w:rsid w:val="00C062B7"/>
    <w:rsid w:val="00C34B7D"/>
    <w:rsid w:val="00C61C36"/>
    <w:rsid w:val="00C71140"/>
    <w:rsid w:val="00C837F0"/>
    <w:rsid w:val="00C945CE"/>
    <w:rsid w:val="00CB32DA"/>
    <w:rsid w:val="00CB7A43"/>
    <w:rsid w:val="00CF4CAC"/>
    <w:rsid w:val="00D155D5"/>
    <w:rsid w:val="00D1705B"/>
    <w:rsid w:val="00D51E1E"/>
    <w:rsid w:val="00D64497"/>
    <w:rsid w:val="00D71025"/>
    <w:rsid w:val="00D83267"/>
    <w:rsid w:val="00D94B95"/>
    <w:rsid w:val="00DC7513"/>
    <w:rsid w:val="00DE0508"/>
    <w:rsid w:val="00DE77E6"/>
    <w:rsid w:val="00DF4D7D"/>
    <w:rsid w:val="00E237A3"/>
    <w:rsid w:val="00E47C42"/>
    <w:rsid w:val="00E72EA7"/>
    <w:rsid w:val="00EA4101"/>
    <w:rsid w:val="00EB44CA"/>
    <w:rsid w:val="00EF4D08"/>
    <w:rsid w:val="00F07A5E"/>
    <w:rsid w:val="00F21721"/>
    <w:rsid w:val="00F23715"/>
    <w:rsid w:val="00F309A4"/>
    <w:rsid w:val="00F40FF2"/>
    <w:rsid w:val="00F434B2"/>
    <w:rsid w:val="00F56D77"/>
    <w:rsid w:val="00F71D4C"/>
    <w:rsid w:val="00F77D5F"/>
    <w:rsid w:val="00FA46A8"/>
    <w:rsid w:val="00FB36AB"/>
    <w:rsid w:val="00FC419C"/>
    <w:rsid w:val="00FD49D7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EB3D366-12A6-43D5-95D5-02ECD8A3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D6C0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D6C0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D6C0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link w:val="RestitleChar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basedOn w:val="DefaultParagraphFont"/>
    <w:rsid w:val="004D6C09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-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aliases w:val="encabezado,he"/>
    <w:basedOn w:val="Normal"/>
    <w:link w:val="HeaderChar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D6C09"/>
  </w:style>
  <w:style w:type="paragraph" w:styleId="Index2">
    <w:name w:val="index 2"/>
    <w:basedOn w:val="Normal"/>
    <w:next w:val="Normal"/>
    <w:rsid w:val="004D6C09"/>
    <w:pPr>
      <w:ind w:left="283"/>
    </w:pPr>
  </w:style>
  <w:style w:type="paragraph" w:styleId="Index3">
    <w:name w:val="index 3"/>
    <w:basedOn w:val="Normal"/>
    <w:next w:val="Normal"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4D6C09"/>
    <w:pPr>
      <w:spacing w:before="80"/>
      <w:ind w:left="1531" w:hanging="851"/>
    </w:pPr>
  </w:style>
  <w:style w:type="paragraph" w:styleId="TOC3">
    <w:name w:val="toc 3"/>
    <w:basedOn w:val="TOC2"/>
    <w:rsid w:val="004D6C09"/>
  </w:style>
  <w:style w:type="paragraph" w:styleId="TOC4">
    <w:name w:val="toc 4"/>
    <w:basedOn w:val="TOC3"/>
    <w:rsid w:val="004D6C09"/>
  </w:style>
  <w:style w:type="paragraph" w:styleId="TOC5">
    <w:name w:val="toc 5"/>
    <w:basedOn w:val="TOC4"/>
    <w:rsid w:val="004D6C09"/>
  </w:style>
  <w:style w:type="paragraph" w:styleId="TOC6">
    <w:name w:val="toc 6"/>
    <w:basedOn w:val="TOC4"/>
    <w:rsid w:val="004D6C09"/>
  </w:style>
  <w:style w:type="paragraph" w:styleId="TOC7">
    <w:name w:val="toc 7"/>
    <w:basedOn w:val="TOC4"/>
    <w:rsid w:val="004D6C09"/>
  </w:style>
  <w:style w:type="paragraph" w:styleId="TOC8">
    <w:name w:val="toc 8"/>
    <w:basedOn w:val="TOC4"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1A4AE7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1A4AE7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locked/>
    <w:rsid w:val="001A4AE7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1A4AE7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1A4AE7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1A4AE7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1A4AE7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1A4AE7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1A4AE7"/>
    <w:rPr>
      <w:rFonts w:ascii="Times New Roman" w:hAnsi="Times New Roman"/>
      <w:b/>
      <w:sz w:val="24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locked/>
    <w:rsid w:val="001A4AE7"/>
    <w:rPr>
      <w:rFonts w:ascii="Times New Roman" w:hAnsi="Times New Roman"/>
      <w:sz w:val="22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1A4AE7"/>
    <w:rPr>
      <w:rFonts w:ascii="Times New Roman" w:hAnsi="Times New Roman"/>
      <w:i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locked/>
    <w:rsid w:val="001A4AE7"/>
    <w:rPr>
      <w:rFonts w:ascii="Times New Roman" w:hAnsi="Times New Roman"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1A4AE7"/>
    <w:rPr>
      <w:rFonts w:ascii="Times New Roman" w:hAnsi="Times New Roman"/>
      <w:b/>
      <w:sz w:val="2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1A4AE7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1A4AE7"/>
    <w:rPr>
      <w:rFonts w:ascii="Times New Roman" w:hAnsi="Times New Roman"/>
      <w:sz w:val="24"/>
      <w:lang w:val="es-ES_tradnl" w:eastAsia="en-US"/>
    </w:rPr>
  </w:style>
  <w:style w:type="character" w:customStyle="1" w:styleId="HeaderChar">
    <w:name w:val="Header Char"/>
    <w:aliases w:val="encabezado Char,he Char"/>
    <w:basedOn w:val="DefaultParagraphFont"/>
    <w:link w:val="Header"/>
    <w:rsid w:val="001A4AE7"/>
    <w:rPr>
      <w:rFonts w:ascii="Times New Roman" w:hAnsi="Times New Roman"/>
      <w:sz w:val="18"/>
      <w:lang w:val="es-ES_tradnl" w:eastAsia="en-US"/>
    </w:rPr>
  </w:style>
  <w:style w:type="character" w:customStyle="1" w:styleId="HeadingbChar">
    <w:name w:val="Heading_b Char"/>
    <w:link w:val="Headingb"/>
    <w:locked/>
    <w:rsid w:val="001A4AE7"/>
    <w:rPr>
      <w:rFonts w:ascii="Times New Roman" w:hAnsi="Times New Roman"/>
      <w:b/>
      <w:sz w:val="24"/>
      <w:lang w:val="es-ES_tradnl" w:eastAsia="en-US"/>
    </w:rPr>
  </w:style>
  <w:style w:type="paragraph" w:styleId="Index7">
    <w:name w:val="index 7"/>
    <w:basedOn w:val="Normal"/>
    <w:next w:val="Normal"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1698"/>
    </w:pPr>
    <w:rPr>
      <w:rFonts w:ascii="Calibri" w:hAnsi="Calibri"/>
    </w:rPr>
  </w:style>
  <w:style w:type="paragraph" w:styleId="Index6">
    <w:name w:val="index 6"/>
    <w:basedOn w:val="Normal"/>
    <w:next w:val="Normal"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1415"/>
    </w:pPr>
    <w:rPr>
      <w:rFonts w:ascii="Calibri" w:hAnsi="Calibri"/>
    </w:rPr>
  </w:style>
  <w:style w:type="paragraph" w:styleId="Index5">
    <w:name w:val="index 5"/>
    <w:basedOn w:val="Normal"/>
    <w:next w:val="Normal"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1132"/>
    </w:pPr>
    <w:rPr>
      <w:rFonts w:ascii="Calibri" w:hAnsi="Calibri"/>
    </w:rPr>
  </w:style>
  <w:style w:type="paragraph" w:styleId="Index4">
    <w:name w:val="index 4"/>
    <w:basedOn w:val="Normal"/>
    <w:next w:val="Normal"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849"/>
    </w:pPr>
    <w:rPr>
      <w:rFonts w:ascii="Calibri" w:hAnsi="Calibri"/>
    </w:rPr>
  </w:style>
  <w:style w:type="character" w:styleId="LineNumber">
    <w:name w:val="line number"/>
    <w:basedOn w:val="DefaultParagraphFont"/>
    <w:rsid w:val="001A4AE7"/>
  </w:style>
  <w:style w:type="paragraph" w:styleId="IndexHeading">
    <w:name w:val="index heading"/>
    <w:basedOn w:val="Normal"/>
    <w:next w:val="Index1"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hAnsi="Calibri"/>
    </w:rPr>
  </w:style>
  <w:style w:type="paragraph" w:styleId="NormalIndent">
    <w:name w:val="Normal Indent"/>
    <w:basedOn w:val="Normal"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567"/>
    </w:pPr>
    <w:rPr>
      <w:rFonts w:ascii="Calibri" w:hAnsi="Calibri"/>
    </w:rPr>
  </w:style>
  <w:style w:type="paragraph" w:customStyle="1" w:styleId="AnnexNo">
    <w:name w:val="Annex_No"/>
    <w:basedOn w:val="Normal"/>
    <w:next w:val="Annexref"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  <w:jc w:val="center"/>
    </w:pPr>
    <w:rPr>
      <w:rFonts w:ascii="Calibri" w:hAnsi="Calibri"/>
      <w:caps/>
      <w:sz w:val="28"/>
    </w:rPr>
  </w:style>
  <w:style w:type="paragraph" w:customStyle="1" w:styleId="Annexref">
    <w:name w:val="Annex_ref"/>
    <w:basedOn w:val="Normal"/>
    <w:next w:val="Annextitle"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center"/>
    </w:pPr>
    <w:rPr>
      <w:rFonts w:ascii="Calibri" w:hAnsi="Calibri"/>
      <w:sz w:val="28"/>
    </w:rPr>
  </w:style>
  <w:style w:type="paragraph" w:customStyle="1" w:styleId="Annextitle">
    <w:name w:val="Annex_title"/>
    <w:basedOn w:val="Normal"/>
    <w:next w:val="Normal"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sz w:val="28"/>
    </w:rPr>
  </w:style>
  <w:style w:type="paragraph" w:customStyle="1" w:styleId="Normalaftertitle0">
    <w:name w:val="Normal after title"/>
    <w:basedOn w:val="Normal"/>
    <w:next w:val="Normal"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Calibri" w:hAnsi="Calibri"/>
    </w:rPr>
  </w:style>
  <w:style w:type="paragraph" w:customStyle="1" w:styleId="AppendixNo">
    <w:name w:val="Appendix_No"/>
    <w:basedOn w:val="AnnexNo"/>
    <w:next w:val="Appendixref"/>
    <w:rsid w:val="001A4AE7"/>
  </w:style>
  <w:style w:type="paragraph" w:customStyle="1" w:styleId="Appendixref">
    <w:name w:val="Appendix_ref"/>
    <w:basedOn w:val="Annexref"/>
    <w:next w:val="Appendixtitle"/>
    <w:rsid w:val="001A4AE7"/>
  </w:style>
  <w:style w:type="paragraph" w:customStyle="1" w:styleId="Appendixtitle">
    <w:name w:val="Appendix_title"/>
    <w:basedOn w:val="Annextitle"/>
    <w:next w:val="Normal"/>
    <w:rsid w:val="001A4AE7"/>
  </w:style>
  <w:style w:type="paragraph" w:customStyle="1" w:styleId="Figuretitle">
    <w:name w:val="Figure_title"/>
    <w:basedOn w:val="Tabletitle"/>
    <w:next w:val="Normalaftertitle0"/>
    <w:rsid w:val="001A4AE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A4AE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A4AE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560" w:after="120"/>
      <w:jc w:val="center"/>
    </w:pPr>
    <w:rPr>
      <w:rFonts w:ascii="Calibri" w:hAnsi="Calibri"/>
      <w:caps/>
    </w:rPr>
  </w:style>
  <w:style w:type="paragraph" w:customStyle="1" w:styleId="Head">
    <w:name w:val="Head"/>
    <w:basedOn w:val="Normal"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</w:rPr>
  </w:style>
  <w:style w:type="paragraph" w:styleId="List">
    <w:name w:val="List"/>
    <w:basedOn w:val="Normal"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ind w:left="2127" w:hanging="2127"/>
    </w:pPr>
    <w:rPr>
      <w:rFonts w:ascii="Calibri" w:hAnsi="Calibri"/>
    </w:rPr>
  </w:style>
  <w:style w:type="paragraph" w:customStyle="1" w:styleId="Part">
    <w:name w:val="Part"/>
    <w:basedOn w:val="Normal"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276"/>
        <w:tab w:val="left" w:pos="1701"/>
        <w:tab w:val="left" w:pos="2268"/>
        <w:tab w:val="left" w:pos="2835"/>
      </w:tabs>
      <w:spacing w:before="199"/>
      <w:ind w:left="1701" w:hanging="1701"/>
    </w:pPr>
    <w:rPr>
      <w:rFonts w:ascii="Calibri" w:hAnsi="Calibri"/>
      <w:caps/>
    </w:rPr>
  </w:style>
  <w:style w:type="paragraph" w:customStyle="1" w:styleId="meeting">
    <w:name w:val="meeting"/>
    <w:basedOn w:val="Head"/>
    <w:next w:val="Head"/>
    <w:rsid w:val="001A4AE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/>
      <w:ind w:left="709" w:hanging="709"/>
    </w:pPr>
    <w:rPr>
      <w:rFonts w:ascii="Calibri" w:hAnsi="Calibri"/>
    </w:rPr>
  </w:style>
  <w:style w:type="paragraph" w:customStyle="1" w:styleId="Object">
    <w:name w:val="Object"/>
    <w:basedOn w:val="Subject"/>
    <w:next w:val="Subject"/>
    <w:rsid w:val="001A4AE7"/>
  </w:style>
  <w:style w:type="paragraph" w:customStyle="1" w:styleId="Data">
    <w:name w:val="Data"/>
    <w:basedOn w:val="Subject"/>
    <w:next w:val="Subject"/>
    <w:rsid w:val="001A4AE7"/>
  </w:style>
  <w:style w:type="character" w:styleId="Hyperlink">
    <w:name w:val="Hyperlink"/>
    <w:basedOn w:val="DefaultParagraphFont"/>
    <w:rsid w:val="001A4AE7"/>
    <w:rPr>
      <w:color w:val="0000FF"/>
      <w:u w:val="single"/>
    </w:rPr>
  </w:style>
  <w:style w:type="character" w:styleId="FollowedHyperlink">
    <w:name w:val="FollowedHyperlink"/>
    <w:basedOn w:val="DefaultParagraphFont"/>
    <w:rsid w:val="001A4AE7"/>
    <w:rPr>
      <w:color w:val="800080"/>
      <w:u w:val="single"/>
    </w:rPr>
  </w:style>
  <w:style w:type="paragraph" w:styleId="TOC9">
    <w:name w:val="toc 9"/>
    <w:basedOn w:val="TOC4"/>
    <w:rsid w:val="001A4AE7"/>
    <w:pPr>
      <w:keepLines w:val="0"/>
      <w:tabs>
        <w:tab w:val="left" w:pos="8789"/>
      </w:tabs>
      <w:spacing w:before="120"/>
      <w:ind w:left="964" w:right="0" w:hanging="964"/>
    </w:pPr>
    <w:rPr>
      <w:rFonts w:ascii="Calibri" w:hAnsi="Calibri"/>
    </w:rPr>
  </w:style>
  <w:style w:type="paragraph" w:customStyle="1" w:styleId="dnum">
    <w:name w:val="dnum"/>
    <w:basedOn w:val="Normal"/>
    <w:rsid w:val="001A4AE7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</w:pPr>
    <w:rPr>
      <w:rFonts w:ascii="Calibri" w:hAnsi="Calibri"/>
      <w:b/>
      <w:bCs/>
    </w:rPr>
  </w:style>
  <w:style w:type="paragraph" w:customStyle="1" w:styleId="ddate">
    <w:name w:val="ddate"/>
    <w:basedOn w:val="Normal"/>
    <w:rsid w:val="001A4AE7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0"/>
    </w:pPr>
    <w:rPr>
      <w:rFonts w:ascii="Calibri" w:hAnsi="Calibri"/>
      <w:b/>
      <w:bCs/>
    </w:rPr>
  </w:style>
  <w:style w:type="paragraph" w:customStyle="1" w:styleId="dorlang">
    <w:name w:val="dorlang"/>
    <w:basedOn w:val="Normal"/>
    <w:rsid w:val="001A4AE7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0"/>
    </w:pPr>
    <w:rPr>
      <w:rFonts w:ascii="Calibri" w:hAnsi="Calibri"/>
      <w:b/>
      <w:bCs/>
    </w:rPr>
  </w:style>
  <w:style w:type="paragraph" w:customStyle="1" w:styleId="Reasons">
    <w:name w:val="Reasons"/>
    <w:basedOn w:val="Normal"/>
    <w:qFormat/>
    <w:rsid w:val="001A4A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hAnsi="Calibri"/>
    </w:rPr>
  </w:style>
  <w:style w:type="paragraph" w:customStyle="1" w:styleId="docnoted">
    <w:name w:val="docnoted"/>
    <w:basedOn w:val="Normal"/>
    <w:rsid w:val="001A4AE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sz w:val="20"/>
    </w:rPr>
  </w:style>
  <w:style w:type="paragraph" w:customStyle="1" w:styleId="Table">
    <w:name w:val="Table_#"/>
    <w:basedOn w:val="Normal"/>
    <w:next w:val="Normal"/>
    <w:rsid w:val="001A4AE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Calibri" w:hAnsi="Calibri"/>
      <w:caps/>
      <w:lang w:val="en-GB"/>
    </w:rPr>
  </w:style>
  <w:style w:type="paragraph" w:customStyle="1" w:styleId="FigureNo">
    <w:name w:val="Figure_No"/>
    <w:basedOn w:val="Normal"/>
    <w:next w:val="Figuretitle"/>
    <w:rsid w:val="001A4AE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/>
      <w:jc w:val="center"/>
    </w:pPr>
    <w:rPr>
      <w:rFonts w:ascii="Calibri" w:hAnsi="Calibri"/>
      <w:caps/>
    </w:rPr>
  </w:style>
  <w:style w:type="paragraph" w:customStyle="1" w:styleId="FooterQP">
    <w:name w:val="Footer_QP"/>
    <w:basedOn w:val="Normal"/>
    <w:rsid w:val="001A4AE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SN1">
    <w:name w:val="ASN.1"/>
    <w:basedOn w:val="Normal"/>
    <w:rsid w:val="001A4A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Formal">
    <w:name w:val="Formal"/>
    <w:basedOn w:val="ASN1"/>
    <w:rsid w:val="001A4AE7"/>
    <w:rPr>
      <w:b w:val="0"/>
    </w:rPr>
  </w:style>
  <w:style w:type="paragraph" w:styleId="BalloonText">
    <w:name w:val="Balloon Text"/>
    <w:basedOn w:val="Normal"/>
    <w:link w:val="BalloonTextChar"/>
    <w:rsid w:val="001A4AE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4AE7"/>
    <w:rPr>
      <w:rFonts w:ascii="Tahoma" w:hAnsi="Tahoma" w:cs="Tahoma"/>
      <w:sz w:val="16"/>
      <w:szCs w:val="16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1A4A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1A4AE7"/>
    <w:pPr>
      <w:spacing w:before="0"/>
      <w:textAlignment w:val="auto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4AE7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A4AE7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1A4A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1A4AE7"/>
    <w:pPr>
      <w:textAlignment w:val="auto"/>
    </w:pPr>
    <w:rPr>
      <w:b/>
      <w:bCs/>
      <w:i/>
      <w:i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A4AE7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1A4AE7"/>
    <w:pPr>
      <w:spacing w:after="120"/>
      <w:ind w:left="360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A4AE7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A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1A4AE7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A4AE7"/>
    <w:pPr>
      <w:spacing w:after="120" w:line="480" w:lineRule="auto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1A4AE7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A4A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A4AE7"/>
    <w:rPr>
      <w:rFonts w:ascii="Calibri" w:eastAsiaTheme="minorEastAsia" w:hAnsi="Calibri" w:cstheme="minorBidi"/>
      <w:sz w:val="22"/>
      <w:szCs w:val="21"/>
    </w:rPr>
  </w:style>
  <w:style w:type="table" w:styleId="TableGrid">
    <w:name w:val="Table Grid"/>
    <w:basedOn w:val="TableNormal"/>
    <w:rsid w:val="001A4A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1A4AE7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1A4AE7"/>
    <w:rPr>
      <w:sz w:val="20"/>
      <w:lang w:val="en-GB"/>
    </w:rPr>
  </w:style>
  <w:style w:type="character" w:customStyle="1" w:styleId="CommentTextChar1">
    <w:name w:val="Comment Text Char1"/>
    <w:basedOn w:val="DefaultParagraphFont"/>
    <w:semiHidden/>
    <w:rsid w:val="001A4AE7"/>
    <w:rPr>
      <w:rFonts w:ascii="Times New Roman" w:hAnsi="Times New Roman"/>
      <w:lang w:val="es-ES_tradnl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A4AE7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AE7"/>
    <w:rPr>
      <w:b/>
      <w:bCs/>
    </w:rPr>
  </w:style>
  <w:style w:type="character" w:customStyle="1" w:styleId="CommentSubjectChar1">
    <w:name w:val="Comment Subject Char1"/>
    <w:basedOn w:val="CommentTextChar1"/>
    <w:semiHidden/>
    <w:rsid w:val="001A4AE7"/>
    <w:rPr>
      <w:rFonts w:ascii="Times New Roman" w:hAnsi="Times New Roman"/>
      <w:b/>
      <w:bCs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A4AE7"/>
    <w:pPr>
      <w:ind w:left="720"/>
      <w:contextualSpacing/>
    </w:pPr>
    <w:rPr>
      <w:lang w:val="en-GB"/>
    </w:rPr>
  </w:style>
  <w:style w:type="paragraph" w:customStyle="1" w:styleId="Normal2">
    <w:name w:val="Normal2"/>
    <w:basedOn w:val="Normal"/>
    <w:link w:val="Normal2Char"/>
    <w:rsid w:val="001A4A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jc w:val="both"/>
      <w:textAlignment w:val="auto"/>
    </w:pPr>
    <w:rPr>
      <w:rFonts w:ascii="Calibri" w:eastAsiaTheme="minorEastAsia" w:hAnsi="Calibri" w:cs="Calibri"/>
      <w:sz w:val="22"/>
      <w:szCs w:val="22"/>
      <w:lang w:val="en-GB" w:eastAsia="zh-CN"/>
    </w:rPr>
  </w:style>
  <w:style w:type="character" w:customStyle="1" w:styleId="Normal2Char">
    <w:name w:val="Normal2 Char"/>
    <w:link w:val="Normal2"/>
    <w:rsid w:val="001A4AE7"/>
    <w:rPr>
      <w:rFonts w:ascii="Calibri" w:eastAsiaTheme="minorEastAsia" w:hAnsi="Calibri" w:cs="Calibri"/>
      <w:sz w:val="22"/>
      <w:szCs w:val="22"/>
      <w:lang w:val="en-GB"/>
    </w:rPr>
  </w:style>
  <w:style w:type="paragraph" w:customStyle="1" w:styleId="enumlevel">
    <w:name w:val="enumlevel"/>
    <w:basedOn w:val="Normal2"/>
    <w:rsid w:val="001A4AE7"/>
    <w:pPr>
      <w:numPr>
        <w:numId w:val="43"/>
      </w:numPr>
      <w:tabs>
        <w:tab w:val="num" w:pos="360"/>
        <w:tab w:val="num" w:pos="643"/>
      </w:tabs>
      <w:ind w:left="432" w:hanging="432"/>
    </w:pPr>
  </w:style>
  <w:style w:type="table" w:customStyle="1" w:styleId="GridTable4-Accent11">
    <w:name w:val="Grid Table 4 - Accent 11"/>
    <w:basedOn w:val="TableNormal"/>
    <w:uiPriority w:val="49"/>
    <w:rsid w:val="001A4AE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2">
    <w:name w:val="Grid Table 4 - Accent 12"/>
    <w:basedOn w:val="TableNormal"/>
    <w:uiPriority w:val="49"/>
    <w:rsid w:val="001A4AE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1A4AE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7E06C0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https://gvf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euroconsult-e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euroconsult-ec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s://www.gsa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G19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ozal\AppData\Local\Microsoft\Windows\Temporary%20Internet%20Files\Content.Outlook\KGYSCHOE\Copy%20of%20Cost%20Allocation%20Draft%20Budget%202018-2019%20Operational%20Plan%20figu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A0C-4CC0-9BED-796BB2AA11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A0C-4CC0-9BED-796BB2AA11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A0C-4CC0-9BED-796BB2AA1163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A0C-4CC0-9BED-796BB2AA116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A0C-4CC0-9BED-796BB2AA116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A0C-4CC0-9BED-796BB2AA116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'R1'!$I$34:$I$36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'R1'!$J$34:$J$36</c:f>
              <c:numCache>
                <c:formatCode>0%</c:formatCode>
                <c:ptCount val="3"/>
                <c:pt idx="0">
                  <c:v>0.62</c:v>
                </c:pt>
                <c:pt idx="1">
                  <c:v>0.14000000000000001</c:v>
                </c:pt>
                <c:pt idx="2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A0C-4CC0-9BED-796BB2AA116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528B-8CF9-462C-89AA-22B569B1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PS_RAG19.dotm</Template>
  <TotalTime>107</TotalTime>
  <Pages>12</Pages>
  <Words>2734</Words>
  <Characters>15214</Characters>
  <Application>Microsoft Office Word</Application>
  <DocSecurity>0</DocSecurity>
  <Lines>825</Lines>
  <Paragraphs>506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A LA VIGÉSIMO SEXTA REUNIÓN DEL GRUPO ASESOR DE RADIOCOMUNICACIONES</vt:lpstr>
    </vt:vector>
  </TitlesOfParts>
  <Manager>General Secretariat - Pool</Manager>
  <Company>International Telecommunication Union (ITU)</Company>
  <LinksUpToDate>false</LinksUpToDate>
  <CharactersWithSpaces>17468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 LA VIGÉSIMO SEXTA REUNIÓN DEL GRUPO ASESOR DE RADIOCOMUNICACIONES</dc:title>
  <dc:subject>GRUPO ASESOR DE RADIOCOMUNICACIONES</dc:subject>
  <dc:creator>Director de la Oficina de Radiocomunicaciones</dc:creator>
  <cp:keywords>RAG03-1</cp:keywords>
  <dc:description>Revisión 1 al Addéndum 2 al Documento RAG19/1-S  For: _x000d_Document date: 27 de marzo de 2019_x000d_Saved by ITU51012676 at 2:41:22 PM on 29-Mar-19</dc:description>
  <cp:lastModifiedBy>Spanish1</cp:lastModifiedBy>
  <cp:revision>38</cp:revision>
  <cp:lastPrinted>1993-02-18T11:12:00Z</cp:lastPrinted>
  <dcterms:created xsi:type="dcterms:W3CDTF">2019-03-29T08:35:00Z</dcterms:created>
  <dcterms:modified xsi:type="dcterms:W3CDTF">2019-03-29T13:41:00Z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Revisión 1 al Addéndum 2 al Documento RAG19/1-S</vt:lpwstr>
  </property>
  <property fmtid="{D5CDD505-2E9C-101B-9397-08002B2CF9AE}" pid="3" name="Docdate">
    <vt:lpwstr>27 de marzo de 2019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