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AE17C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17-15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E17CB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47731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844A37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14</w:t>
            </w:r>
            <w:r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844A37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27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مارس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E17CB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BB22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E17CB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844A37" w:rsidP="009A0E3B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اليابان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844A37" w:rsidP="00AE17CB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مقترحات لتيسير أعمال لجان دراسات قطاع الاتصالات الراديوية بالاتحاد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7D1FBC">
            <w:pPr>
              <w:pStyle w:val="Title2"/>
              <w:rPr>
                <w:rFonts w:eastAsiaTheme="minorEastAsia"/>
                <w:rtl/>
                <w:lang w:eastAsia="zh-CN"/>
              </w:rPr>
            </w:pPr>
          </w:p>
        </w:tc>
      </w:tr>
    </w:tbl>
    <w:p w:rsidR="00844A37" w:rsidRPr="00250B60" w:rsidRDefault="00844A37" w:rsidP="008B39B9">
      <w:pPr>
        <w:rPr>
          <w:rtl/>
        </w:rPr>
      </w:pPr>
      <w:r>
        <w:rPr>
          <w:rFonts w:hint="cs"/>
          <w:rtl/>
        </w:rPr>
        <w:t xml:space="preserve">تقدم هذه الوثيقة مقترحات لتيسير أعمال لجان </w:t>
      </w:r>
      <w:bookmarkStart w:id="0" w:name="_GoBack"/>
      <w:bookmarkEnd w:id="0"/>
      <w:r>
        <w:rPr>
          <w:rFonts w:hint="cs"/>
          <w:rtl/>
        </w:rPr>
        <w:t xml:space="preserve">دراسات </w:t>
      </w:r>
      <w:r w:rsidRPr="006629C4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بالاتحاد، لينظر فيها الفريق الاستشاري للاتصالات</w:t>
      </w:r>
      <w:r w:rsidR="008B39B9">
        <w:rPr>
          <w:rFonts w:hint="eastAsia"/>
          <w:rtl/>
        </w:rPr>
        <w:t> </w:t>
      </w:r>
      <w:r>
        <w:rPr>
          <w:rFonts w:hint="cs"/>
          <w:rtl/>
        </w:rPr>
        <w:t>الراديوية.</w:t>
      </w:r>
    </w:p>
    <w:p w:rsidR="00844A37" w:rsidRPr="00421D20" w:rsidRDefault="00844A37" w:rsidP="00844A37">
      <w:pPr>
        <w:pStyle w:val="Heading1"/>
        <w:rPr>
          <w:rtl/>
        </w:rPr>
      </w:pPr>
      <w:r>
        <w:t>1</w:t>
      </w:r>
      <w:r w:rsidRPr="00250B60">
        <w:tab/>
      </w:r>
      <w:r>
        <w:rPr>
          <w:rFonts w:hint="cs"/>
          <w:rtl/>
        </w:rPr>
        <w:t xml:space="preserve">الإجراء المتعلق بالتعديل أو التصويب </w:t>
      </w:r>
      <w:proofErr w:type="spellStart"/>
      <w:r>
        <w:rPr>
          <w:rFonts w:hint="cs"/>
          <w:rtl/>
        </w:rPr>
        <w:t>الصياغي</w:t>
      </w:r>
      <w:proofErr w:type="spellEnd"/>
      <w:r>
        <w:rPr>
          <w:rFonts w:hint="cs"/>
          <w:rtl/>
        </w:rPr>
        <w:t xml:space="preserve"> المحض للنصوص الصادرة عن ال</w:t>
      </w:r>
      <w:r w:rsidR="00F26510">
        <w:rPr>
          <w:rFonts w:hint="cs"/>
          <w:rtl/>
        </w:rPr>
        <w:t>قطاع</w:t>
      </w:r>
    </w:p>
    <w:p w:rsidR="00844A37" w:rsidRDefault="00844A37" w:rsidP="007F57ED">
      <w:pPr>
        <w:rPr>
          <w:rtl/>
          <w:lang w:bidi="ar-EG"/>
        </w:rPr>
      </w:pPr>
      <w:r>
        <w:rPr>
          <w:rFonts w:hint="cs"/>
          <w:rtl/>
          <w:lang w:bidi="ar-EG"/>
        </w:rPr>
        <w:t>ينص القرار</w:t>
      </w:r>
      <w:r w:rsidR="007F57ED">
        <w:rPr>
          <w:rFonts w:hint="cs"/>
          <w:rtl/>
          <w:lang w:bidi="ar-EG"/>
        </w:rPr>
        <w:t xml:space="preserve"> </w:t>
      </w:r>
      <w:r w:rsidRPr="00652D40">
        <w:rPr>
          <w:szCs w:val="24"/>
          <w:lang w:eastAsia="ja-JP"/>
        </w:rPr>
        <w:t>ITU-R 1-7</w:t>
      </w:r>
      <w:r w:rsidR="007F57ED" w:rsidRPr="007F57ED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على إجراءات لتعديل نصوص المسائل المدروسة في قطاع الاتصالات الراديوية ونصوص توصياته </w:t>
      </w:r>
      <w:proofErr w:type="spellStart"/>
      <w:r>
        <w:rPr>
          <w:rFonts w:hint="cs"/>
          <w:rtl/>
          <w:lang w:bidi="ar-EG"/>
        </w:rPr>
        <w:t>صياغياً</w:t>
      </w:r>
      <w:proofErr w:type="spellEnd"/>
      <w:r>
        <w:rPr>
          <w:rFonts w:hint="cs"/>
          <w:rtl/>
          <w:lang w:bidi="ar-EG"/>
        </w:rPr>
        <w:t>. ف</w:t>
      </w:r>
      <w:r w:rsidRPr="000C74F9">
        <w:rPr>
          <w:rFonts w:hint="cs"/>
          <w:rtl/>
          <w:lang w:bidi="ar-EG"/>
        </w:rPr>
        <w:t xml:space="preserve">إذا </w:t>
      </w:r>
      <w:r>
        <w:rPr>
          <w:rFonts w:hint="cs"/>
          <w:rtl/>
          <w:lang w:bidi="ar-EG"/>
        </w:rPr>
        <w:t>استدعت الضرورة أثناء عملية اعتماد النص والموافقة عليه</w:t>
      </w:r>
      <w:r w:rsidRPr="000C74F9">
        <w:rPr>
          <w:rFonts w:hint="cs"/>
          <w:rtl/>
          <w:lang w:bidi="ar-EG"/>
        </w:rPr>
        <w:t xml:space="preserve"> إدخال تعديلات </w:t>
      </w:r>
      <w:proofErr w:type="spellStart"/>
      <w:r>
        <w:rPr>
          <w:rFonts w:hint="cs"/>
          <w:rtl/>
          <w:lang w:bidi="ar-EG"/>
        </w:rPr>
        <w:t>صياغية</w:t>
      </w:r>
      <w:proofErr w:type="spellEnd"/>
      <w:r>
        <w:rPr>
          <w:rFonts w:hint="cs"/>
          <w:rtl/>
          <w:lang w:bidi="ar-EG"/>
        </w:rPr>
        <w:t xml:space="preserve"> محضة وطفيفة عليه </w:t>
      </w:r>
      <w:r w:rsidRPr="000C74F9">
        <w:rPr>
          <w:rFonts w:hint="cs"/>
          <w:rtl/>
          <w:lang w:bidi="ar-EG"/>
        </w:rPr>
        <w:t xml:space="preserve">أو تدارك </w:t>
      </w:r>
      <w:r>
        <w:rPr>
          <w:rFonts w:hint="cs"/>
          <w:rtl/>
          <w:lang w:bidi="ar-EG"/>
        </w:rPr>
        <w:t xml:space="preserve">أخطاء </w:t>
      </w:r>
      <w:r w:rsidRPr="000C74F9">
        <w:rPr>
          <w:rFonts w:hint="cs"/>
          <w:rtl/>
          <w:lang w:bidi="ar-EG"/>
        </w:rPr>
        <w:t>سهو أو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أوجه عدم </w:t>
      </w:r>
      <w:r w:rsidRPr="000C74F9">
        <w:rPr>
          <w:rFonts w:hint="cs"/>
          <w:rtl/>
          <w:lang w:bidi="ar-EG"/>
        </w:rPr>
        <w:t>اتساق</w:t>
      </w:r>
      <w:r>
        <w:rPr>
          <w:rFonts w:hint="cs"/>
          <w:rtl/>
          <w:lang w:bidi="ar-EG"/>
        </w:rPr>
        <w:t xml:space="preserve"> واضحة فيه، يجوز لمدير مكتب الاتصالات الراديوية، وفقاً للفقرات</w:t>
      </w:r>
      <w:r w:rsidR="00F26510">
        <w:rPr>
          <w:rFonts w:hint="eastAsia"/>
          <w:rtl/>
          <w:lang w:bidi="ar-EG"/>
        </w:rPr>
        <w:t> 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 w:rsidRPr="0093735B">
        <w:rPr>
          <w:lang w:bidi="ar-EG"/>
        </w:rPr>
        <w:t>3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 w:rsidRPr="0093735B">
        <w:t>5</w:t>
      </w:r>
      <w:r>
        <w:t>.A</w:t>
      </w:r>
      <w:r w:rsidRPr="0093735B">
        <w:t>2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>
        <w:rPr>
          <w:lang w:bidi="ar-EG"/>
        </w:rPr>
        <w:t>1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 w:rsidR="00F26510">
        <w:rPr>
          <w:rFonts w:hint="eastAsia"/>
          <w:rtl/>
        </w:rPr>
        <w:t> </w:t>
      </w:r>
      <w:r>
        <w:rPr>
          <w:rFonts w:hint="cs"/>
          <w:rtl/>
        </w:rPr>
        <w:t>و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 w:rsidRPr="0093735B">
        <w:rPr>
          <w:lang w:bidi="ar-EG"/>
        </w:rPr>
        <w:t>3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>
        <w:rPr>
          <w:rFonts w:hint="cs"/>
          <w:rtl/>
        </w:rPr>
        <w:t xml:space="preserve"> من هذا القرار،</w:t>
      </w:r>
      <w:r>
        <w:rPr>
          <w:rFonts w:hint="cs"/>
          <w:rtl/>
          <w:lang w:bidi="ar-EG"/>
        </w:rPr>
        <w:t xml:space="preserve"> </w:t>
      </w:r>
      <w:r w:rsidRPr="000C74F9">
        <w:rPr>
          <w:rFonts w:hint="cs"/>
          <w:rtl/>
          <w:lang w:bidi="ar-EG"/>
        </w:rPr>
        <w:t xml:space="preserve">أن </w:t>
      </w:r>
      <w:r>
        <w:rPr>
          <w:rFonts w:hint="cs"/>
          <w:rtl/>
          <w:lang w:bidi="ar-EG"/>
        </w:rPr>
        <w:t>يتدارك هذه المسائل</w:t>
      </w:r>
      <w:r w:rsidRPr="000C74F9">
        <w:rPr>
          <w:rFonts w:hint="cs"/>
          <w:rtl/>
          <w:lang w:bidi="ar-EG"/>
        </w:rPr>
        <w:t xml:space="preserve"> بموافقة رئيس</w:t>
      </w:r>
      <w:r>
        <w:rPr>
          <w:rFonts w:hint="cs"/>
          <w:rtl/>
          <w:lang w:bidi="ar-EG"/>
        </w:rPr>
        <w:t xml:space="preserve"> لجنة (رؤساء لجان) الدراسات المعنية</w:t>
      </w:r>
      <w:r>
        <w:rPr>
          <w:rFonts w:hint="cs"/>
          <w:rtl/>
        </w:rPr>
        <w:t>.</w:t>
      </w:r>
    </w:p>
    <w:p w:rsidR="00844A37" w:rsidRDefault="00844A37" w:rsidP="00F26510">
      <w:pPr>
        <w:rPr>
          <w:rtl/>
          <w:lang w:bidi="ar-EG"/>
        </w:rPr>
      </w:pPr>
      <w:r>
        <w:rPr>
          <w:rFonts w:hint="cs"/>
          <w:rtl/>
        </w:rPr>
        <w:t xml:space="preserve">غير أنه إن وُجدت أخطاء سهو أو أوجه عدم اتساق واضحة في النص بعد اعتماده والموافقة عليه، فالإجراء الواجب اللازم اتخاذه في هذه الحالة هو تعديلها </w:t>
      </w:r>
      <w:proofErr w:type="spellStart"/>
      <w:r>
        <w:rPr>
          <w:rFonts w:hint="cs"/>
          <w:rtl/>
        </w:rPr>
        <w:t>صياغياً</w:t>
      </w:r>
      <w:proofErr w:type="spellEnd"/>
      <w:r>
        <w:rPr>
          <w:rFonts w:hint="cs"/>
          <w:rtl/>
        </w:rPr>
        <w:t xml:space="preserve"> وفقاً للفقرتين </w:t>
      </w:r>
      <w:r>
        <w:rPr>
          <w:lang w:bidi="ar-EG"/>
        </w:rPr>
        <w:t>4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 w:rsidRPr="0093735B">
        <w:t>5</w:t>
      </w:r>
      <w:r>
        <w:t>.A</w:t>
      </w:r>
      <w:r w:rsidRPr="0093735B">
        <w:t>2</w:t>
      </w:r>
      <w:r>
        <w:rPr>
          <w:rFonts w:hint="cs"/>
          <w:rtl/>
        </w:rPr>
        <w:t xml:space="preserve"> و</w:t>
      </w:r>
      <w:r>
        <w:t>5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>
        <w:rPr>
          <w:rFonts w:hint="cs"/>
          <w:rtl/>
          <w:lang w:bidi="ar-EG"/>
        </w:rPr>
        <w:t xml:space="preserve"> المتعلقتين بالمسائل والتوصيات، على التوالي. وإن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أمكن أيضاً تطبيق الإجراء ذاته المنصوص عليه في الفقرات 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 w:rsidRPr="0093735B">
        <w:rPr>
          <w:lang w:bidi="ar-EG"/>
        </w:rPr>
        <w:t>3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 w:rsidRPr="0093735B">
        <w:t>5</w:t>
      </w:r>
      <w:r>
        <w:t>.A</w:t>
      </w:r>
      <w:r w:rsidRPr="0093735B">
        <w:t>2</w:t>
      </w:r>
      <w:r>
        <w:rPr>
          <w:rFonts w:hint="cs"/>
          <w:rtl/>
          <w:lang w:bidi="ar-EG"/>
        </w:rPr>
        <w:t xml:space="preserve"> و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>
        <w:rPr>
          <w:lang w:bidi="ar-EG"/>
        </w:rPr>
        <w:t>1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>
        <w:rPr>
          <w:rFonts w:hint="cs"/>
          <w:rtl/>
        </w:rPr>
        <w:t xml:space="preserve"> و</w:t>
      </w:r>
      <w:r w:rsidRPr="0093735B">
        <w:rPr>
          <w:lang w:bidi="ar-EG"/>
        </w:rPr>
        <w:t>6</w:t>
      </w:r>
      <w:r w:rsidRPr="000C74F9">
        <w:rPr>
          <w:lang w:bidi="ar-EG"/>
        </w:rPr>
        <w:t>.</w:t>
      </w:r>
      <w:r w:rsidRPr="0093735B">
        <w:rPr>
          <w:lang w:bidi="ar-EG"/>
        </w:rPr>
        <w:t>3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>
        <w:rPr>
          <w:rFonts w:hint="cs"/>
          <w:rtl/>
          <w:lang w:bidi="ar-EG"/>
        </w:rPr>
        <w:t xml:space="preserve"> من القرار المشار إليه، أو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إجراء مماثل له، على مثل هذه التعديلات أو التصويبات </w:t>
      </w:r>
      <w:proofErr w:type="spellStart"/>
      <w:r>
        <w:rPr>
          <w:rFonts w:hint="cs"/>
          <w:rtl/>
          <w:lang w:bidi="ar-EG"/>
        </w:rPr>
        <w:t>الصياغية</w:t>
      </w:r>
      <w:proofErr w:type="spellEnd"/>
      <w:r>
        <w:rPr>
          <w:rFonts w:hint="cs"/>
          <w:rtl/>
          <w:lang w:bidi="ar-EG"/>
        </w:rPr>
        <w:t xml:space="preserve"> المحضة، فستصبح أعمال لجان الدراسات أكثر كفاءة.</w:t>
      </w:r>
    </w:p>
    <w:p w:rsidR="00844A37" w:rsidRDefault="00844A37" w:rsidP="00844A3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لذا، تود اليابان إحالة هذه المسألة إلى عناية الفريق الاستشاري </w:t>
      </w:r>
      <w:r>
        <w:rPr>
          <w:rFonts w:hint="cs"/>
          <w:rtl/>
        </w:rPr>
        <w:t>للاتصالات الراديوية، بالرغم من أنها قد تكون مسألة يجب معالجتها في</w:t>
      </w:r>
      <w:r>
        <w:rPr>
          <w:rFonts w:hint="eastAsia"/>
          <w:rtl/>
        </w:rPr>
        <w:t> </w:t>
      </w:r>
      <w:r>
        <w:rPr>
          <w:rFonts w:hint="cs"/>
          <w:rtl/>
        </w:rPr>
        <w:t>الجمعية.</w:t>
      </w:r>
    </w:p>
    <w:p w:rsidR="00844A37" w:rsidRPr="00421D20" w:rsidRDefault="00844A37" w:rsidP="008B39B9">
      <w:pPr>
        <w:pStyle w:val="Heading1"/>
        <w:spacing w:before="320"/>
        <w:rPr>
          <w:rtl/>
          <w:lang w:bidi="ar-SA"/>
        </w:rPr>
      </w:pPr>
      <w:r>
        <w:t>2</w:t>
      </w:r>
      <w:r w:rsidRPr="00250B60">
        <w:tab/>
      </w:r>
      <w:r>
        <w:rPr>
          <w:rFonts w:hint="cs"/>
          <w:rtl/>
        </w:rPr>
        <w:t xml:space="preserve">تحديد النصوص المحدَّثة </w:t>
      </w:r>
      <w:proofErr w:type="spellStart"/>
      <w:r>
        <w:rPr>
          <w:rFonts w:hint="cs"/>
          <w:rtl/>
        </w:rPr>
        <w:t>صياغياً</w:t>
      </w:r>
      <w:proofErr w:type="spellEnd"/>
      <w:r>
        <w:rPr>
          <w:rFonts w:hint="cs"/>
          <w:rtl/>
        </w:rPr>
        <w:t xml:space="preserve"> الصادرة عن القطاع</w:t>
      </w:r>
    </w:p>
    <w:p w:rsidR="00844A37" w:rsidRPr="00275E16" w:rsidRDefault="00844A37" w:rsidP="006E4A45">
      <w:pPr>
        <w:rPr>
          <w:rtl/>
          <w:lang w:bidi="ar-EG"/>
        </w:rPr>
      </w:pPr>
      <w:r>
        <w:rPr>
          <w:rFonts w:hint="cs"/>
          <w:rtl/>
        </w:rPr>
        <w:t xml:space="preserve">متى حُدِّث نص إحدى المسائل المدروسة في قطاع الاتصالات الراديوية أو إحدى توصياته </w:t>
      </w:r>
      <w:proofErr w:type="spellStart"/>
      <w:r>
        <w:rPr>
          <w:rFonts w:hint="cs"/>
          <w:rtl/>
        </w:rPr>
        <w:t>صياغياً</w:t>
      </w:r>
      <w:proofErr w:type="spellEnd"/>
      <w:r>
        <w:rPr>
          <w:rFonts w:hint="cs"/>
          <w:rtl/>
        </w:rPr>
        <w:t>، تُضاف إليه حاشية تفيد بما</w:t>
      </w:r>
      <w:r w:rsidR="00F26510">
        <w:rPr>
          <w:rFonts w:hint="eastAsia"/>
          <w:rtl/>
        </w:rPr>
        <w:t> </w:t>
      </w:r>
      <w:r>
        <w:rPr>
          <w:rFonts w:hint="cs"/>
          <w:rtl/>
        </w:rPr>
        <w:t xml:space="preserve">يلي </w:t>
      </w:r>
      <w:r>
        <w:rPr>
          <w:rFonts w:hint="cs"/>
          <w:rtl/>
          <w:lang w:bidi="ar-EG"/>
        </w:rPr>
        <w:t xml:space="preserve">وفقاً للفقرتين </w:t>
      </w:r>
      <w:r>
        <w:rPr>
          <w:lang w:val="es-ES" w:bidi="ar-EG"/>
        </w:rPr>
        <w:t>2.</w:t>
      </w:r>
      <w:r>
        <w:rPr>
          <w:lang w:bidi="ar-EG"/>
        </w:rPr>
        <w:t>4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 w:rsidRPr="0093735B">
        <w:t>5</w:t>
      </w:r>
      <w:r>
        <w:t>.A</w:t>
      </w:r>
      <w:r w:rsidRPr="0093735B">
        <w:t>2</w:t>
      </w:r>
      <w:r>
        <w:rPr>
          <w:rFonts w:hint="cs"/>
          <w:rtl/>
        </w:rPr>
        <w:t xml:space="preserve"> و</w:t>
      </w:r>
      <w:r>
        <w:t>2.5</w:t>
      </w:r>
      <w:r w:rsidRPr="000C74F9">
        <w:rPr>
          <w:lang w:bidi="ar-EG"/>
        </w:rPr>
        <w:t>.</w:t>
      </w:r>
      <w:r w:rsidRPr="0093735B">
        <w:rPr>
          <w:lang w:bidi="ar-EG"/>
        </w:rPr>
        <w:t>2</w:t>
      </w:r>
      <w:r>
        <w:rPr>
          <w:lang w:bidi="ar-EG"/>
        </w:rPr>
        <w:t>.</w:t>
      </w:r>
      <w:r>
        <w:t>6.A</w:t>
      </w:r>
      <w:r w:rsidRPr="0093735B">
        <w:t>2</w:t>
      </w:r>
      <w:r>
        <w:rPr>
          <w:rFonts w:hint="cs"/>
          <w:rtl/>
          <w:lang w:bidi="ar-EG"/>
        </w:rPr>
        <w:t xml:space="preserve"> المتعلقتين بالمسائل والتوصيات، على التوالي</w:t>
      </w:r>
      <w:r>
        <w:rPr>
          <w:rFonts w:hint="cs"/>
          <w:rtl/>
        </w:rPr>
        <w:t xml:space="preserve">: </w:t>
      </w:r>
      <w:r w:rsidRPr="000C74F9">
        <w:rPr>
          <w:rFonts w:hint="cs"/>
          <w:rtl/>
          <w:lang w:bidi="ar-EG"/>
        </w:rPr>
        <w:t xml:space="preserve">"قامت لجنة </w:t>
      </w:r>
      <w:r w:rsidR="00E57AA2">
        <w:rPr>
          <w:rFonts w:hint="cs"/>
          <w:rtl/>
          <w:lang w:bidi="ar-EG"/>
        </w:rPr>
        <w:t>الدراسات</w:t>
      </w:r>
      <w:r w:rsidRPr="000C74F9">
        <w:rPr>
          <w:rFonts w:hint="cs"/>
          <w:rtl/>
          <w:lang w:bidi="ar-EG"/>
        </w:rPr>
        <w:t xml:space="preserve"> </w:t>
      </w:r>
      <w:r w:rsidRPr="000C74F9">
        <w:rPr>
          <w:rFonts w:hint="cs"/>
          <w:i/>
          <w:iCs/>
          <w:rtl/>
          <w:lang w:bidi="ar-EG"/>
        </w:rPr>
        <w:t>(يدرج اسم لجنة الدراسات حسبما يكون ملائماً)</w:t>
      </w:r>
      <w:r w:rsidRPr="000C74F9">
        <w:rPr>
          <w:rFonts w:hint="cs"/>
          <w:rtl/>
          <w:lang w:bidi="ar-EG"/>
        </w:rPr>
        <w:t xml:space="preserve"> </w:t>
      </w:r>
      <w:r w:rsidR="00E57AA2">
        <w:rPr>
          <w:rFonts w:hint="cs"/>
          <w:rtl/>
          <w:lang w:bidi="ar-EG"/>
        </w:rPr>
        <w:t xml:space="preserve">للاتصالات الراديوية </w:t>
      </w:r>
      <w:r w:rsidRPr="000C74F9">
        <w:rPr>
          <w:rFonts w:hint="cs"/>
          <w:rtl/>
          <w:lang w:bidi="ar-EG"/>
        </w:rPr>
        <w:t xml:space="preserve">بإدخال تعديلات </w:t>
      </w:r>
      <w:proofErr w:type="spellStart"/>
      <w:r w:rsidRPr="000C74F9">
        <w:rPr>
          <w:rFonts w:hint="cs"/>
          <w:rtl/>
          <w:lang w:bidi="ar-EG"/>
        </w:rPr>
        <w:t>صياغية</w:t>
      </w:r>
      <w:proofErr w:type="spellEnd"/>
      <w:r w:rsidRPr="000C74F9">
        <w:rPr>
          <w:rFonts w:hint="cs"/>
          <w:rtl/>
          <w:lang w:bidi="ar-EG"/>
        </w:rPr>
        <w:t xml:space="preserve"> على</w:t>
      </w:r>
      <w:r>
        <w:rPr>
          <w:rFonts w:hint="eastAsia"/>
          <w:rtl/>
          <w:lang w:bidi="ar-EG"/>
        </w:rPr>
        <w:t> </w:t>
      </w:r>
      <w:r w:rsidRPr="000C74F9">
        <w:rPr>
          <w:rFonts w:hint="cs"/>
          <w:rtl/>
          <w:lang w:bidi="ar-EG"/>
        </w:rPr>
        <w:t>هذه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المسألة في </w:t>
      </w:r>
      <w:r w:rsidRPr="000C74F9">
        <w:rPr>
          <w:rFonts w:hint="cs"/>
          <w:rtl/>
          <w:lang w:bidi="ar-EG"/>
        </w:rPr>
        <w:t>عام (</w:t>
      </w:r>
      <w:r w:rsidRPr="000C74F9">
        <w:rPr>
          <w:rFonts w:hint="cs"/>
          <w:i/>
          <w:iCs/>
          <w:rtl/>
          <w:lang w:bidi="ar-EG"/>
        </w:rPr>
        <w:t>يدرج العام الذي أدخلت فيه التعديلات)</w:t>
      </w:r>
      <w:r w:rsidRPr="000C74F9">
        <w:rPr>
          <w:rFonts w:hint="cs"/>
          <w:rtl/>
          <w:lang w:bidi="ar-EG"/>
        </w:rPr>
        <w:t xml:space="preserve"> وفقاً للقرار</w:t>
      </w:r>
      <w:r w:rsidRPr="000C74F9">
        <w:rPr>
          <w:rFonts w:hint="eastAsia"/>
          <w:rtl/>
          <w:lang w:bidi="ar-EG"/>
        </w:rPr>
        <w:t> </w:t>
      </w:r>
      <w:r w:rsidRPr="000C74F9">
        <w:t>ITU</w:t>
      </w:r>
      <w:r w:rsidRPr="000C74F9">
        <w:noBreakHyphen/>
        <w:t>R </w:t>
      </w:r>
      <w:r w:rsidRPr="0093735B">
        <w:t>1</w:t>
      </w:r>
      <w:r>
        <w:rPr>
          <w:rFonts w:hint="cs"/>
          <w:rtl/>
          <w:lang w:bidi="ar-EG"/>
        </w:rPr>
        <w:t xml:space="preserve">" أو </w:t>
      </w:r>
      <w:r w:rsidRPr="000C74F9">
        <w:rPr>
          <w:rFonts w:hint="cs"/>
          <w:rtl/>
          <w:lang w:bidi="ar-EG"/>
        </w:rPr>
        <w:t xml:space="preserve">"قامت لجنة الدراسات </w:t>
      </w:r>
      <w:r w:rsidRPr="000C74F9">
        <w:rPr>
          <w:rFonts w:hint="cs"/>
          <w:i/>
          <w:iCs/>
          <w:rtl/>
          <w:lang w:bidi="ar-EG"/>
        </w:rPr>
        <w:t>(يدرج اسم لجنة الدراسات حسبما يكون ملائماً)</w:t>
      </w:r>
      <w:r w:rsidRPr="000C74F9">
        <w:rPr>
          <w:rFonts w:hint="cs"/>
          <w:rtl/>
          <w:lang w:bidi="ar-EG"/>
        </w:rPr>
        <w:t xml:space="preserve"> للاتصالات الراديوية بإدخال تعديلات </w:t>
      </w:r>
      <w:proofErr w:type="spellStart"/>
      <w:r w:rsidRPr="000C74F9">
        <w:rPr>
          <w:rFonts w:hint="cs"/>
          <w:rtl/>
          <w:lang w:bidi="ar-EG"/>
        </w:rPr>
        <w:t>صياغية</w:t>
      </w:r>
      <w:proofErr w:type="spellEnd"/>
      <w:r w:rsidRPr="000C74F9">
        <w:rPr>
          <w:rFonts w:hint="cs"/>
          <w:rtl/>
          <w:lang w:bidi="ar-EG"/>
        </w:rPr>
        <w:t xml:space="preserve"> على هذه التوصية</w:t>
      </w:r>
      <w:r>
        <w:rPr>
          <w:rFonts w:hint="cs"/>
          <w:rtl/>
          <w:lang w:bidi="ar-EG"/>
        </w:rPr>
        <w:t xml:space="preserve"> في </w:t>
      </w:r>
      <w:r w:rsidRPr="000C74F9">
        <w:rPr>
          <w:rFonts w:hint="cs"/>
          <w:rtl/>
          <w:lang w:bidi="ar-EG"/>
        </w:rPr>
        <w:t>عام (</w:t>
      </w:r>
      <w:r w:rsidRPr="000C74F9">
        <w:rPr>
          <w:rFonts w:hint="cs"/>
          <w:i/>
          <w:iCs/>
          <w:rtl/>
          <w:lang w:bidi="ar-EG"/>
        </w:rPr>
        <w:t>يدرج العام الذي أدخلت فيه التعديلات)</w:t>
      </w:r>
      <w:r>
        <w:rPr>
          <w:rFonts w:hint="cs"/>
          <w:i/>
          <w:iCs/>
          <w:rtl/>
          <w:lang w:bidi="ar-EG"/>
        </w:rPr>
        <w:t>"</w:t>
      </w:r>
      <w:r>
        <w:rPr>
          <w:rFonts w:hint="cs"/>
          <w:rtl/>
          <w:lang w:bidi="ar-EG"/>
        </w:rPr>
        <w:t>. ولما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كانت التعديلات </w:t>
      </w:r>
      <w:proofErr w:type="spellStart"/>
      <w:r>
        <w:rPr>
          <w:rFonts w:hint="cs"/>
          <w:rtl/>
          <w:lang w:bidi="ar-EG"/>
        </w:rPr>
        <w:t>الصياغية</w:t>
      </w:r>
      <w:proofErr w:type="spellEnd"/>
      <w:r>
        <w:rPr>
          <w:rFonts w:hint="cs"/>
          <w:rtl/>
          <w:lang w:bidi="ar-EG"/>
        </w:rPr>
        <w:t xml:space="preserve"> لا تُعد مراجعات، لا يطرأ على النسخة المعدّلة </w:t>
      </w:r>
      <w:proofErr w:type="spellStart"/>
      <w:r>
        <w:rPr>
          <w:rFonts w:hint="cs"/>
          <w:rtl/>
          <w:lang w:bidi="ar-EG"/>
        </w:rPr>
        <w:t>صياغياً</w:t>
      </w:r>
      <w:proofErr w:type="spellEnd"/>
      <w:r>
        <w:rPr>
          <w:rFonts w:hint="cs"/>
          <w:rtl/>
          <w:lang w:bidi="ar-EG"/>
        </w:rPr>
        <w:t xml:space="preserve"> من النص واسم الملف أي تغيير. (ملاحظة: لا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يتضمن القرار</w:t>
      </w:r>
      <w:r w:rsidR="006E4A45">
        <w:rPr>
          <w:rFonts w:hint="eastAsia"/>
          <w:rtl/>
          <w:lang w:bidi="ar-EG"/>
        </w:rPr>
        <w:t> </w:t>
      </w:r>
      <w:r>
        <w:rPr>
          <w:sz w:val="23"/>
          <w:szCs w:val="23"/>
          <w:lang w:eastAsia="ja-JP"/>
        </w:rPr>
        <w:t>ITU-R 1-7</w:t>
      </w:r>
      <w:r>
        <w:rPr>
          <w:rFonts w:hint="cs"/>
          <w:rtl/>
          <w:lang w:bidi="ar-EG"/>
        </w:rPr>
        <w:t xml:space="preserve"> إجراءات لتعديل تقارير قطاع الاتصالات الراديوية والكتيب</w:t>
      </w:r>
      <w:r w:rsidR="006A47EA">
        <w:rPr>
          <w:rFonts w:hint="cs"/>
          <w:rtl/>
          <w:lang w:bidi="ar-EG"/>
        </w:rPr>
        <w:t xml:space="preserve">ات الصادرة عنه وآرائه </w:t>
      </w:r>
      <w:proofErr w:type="spellStart"/>
      <w:r w:rsidR="006A47EA">
        <w:rPr>
          <w:rFonts w:hint="cs"/>
          <w:rtl/>
          <w:lang w:bidi="ar-EG"/>
        </w:rPr>
        <w:t>صياغياً</w:t>
      </w:r>
      <w:proofErr w:type="spellEnd"/>
      <w:r w:rsidR="006A47EA">
        <w:rPr>
          <w:rFonts w:hint="cs"/>
          <w:rtl/>
          <w:lang w:bidi="ar-EG"/>
        </w:rPr>
        <w:t>.)</w:t>
      </w:r>
    </w:p>
    <w:p w:rsidR="00844A37" w:rsidRDefault="00844A37" w:rsidP="008B39B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بيد أن ذلك يؤدي إلى احتمال اختلاط الأمر على مستخدمي/قرّاء النصوص الصادرة عن القطاع. فتبعاً لتوقيت حصولهم عليها، قد تكون النصوص المختلفة المضمون، وإن كان الاختلاف </w:t>
      </w:r>
      <w:proofErr w:type="spellStart"/>
      <w:r>
        <w:rPr>
          <w:rFonts w:hint="cs"/>
          <w:rtl/>
          <w:lang w:bidi="ar-EG"/>
        </w:rPr>
        <w:t>صياغياً</w:t>
      </w:r>
      <w:proofErr w:type="spellEnd"/>
      <w:r>
        <w:rPr>
          <w:rFonts w:hint="cs"/>
          <w:rtl/>
          <w:lang w:bidi="ar-EG"/>
        </w:rPr>
        <w:t xml:space="preserve"> في طبيعته لا أكثر، قد وُزّعت باستخدام نفس اسم الملف وأُشير</w:t>
      </w:r>
      <w:r w:rsidR="008B39B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إليها جميعاً على أنها النسخة ذاتها. بل إنه في بعض الحالات، قد تؤدي التصويبات </w:t>
      </w:r>
      <w:proofErr w:type="spellStart"/>
      <w:r>
        <w:rPr>
          <w:rFonts w:hint="cs"/>
          <w:rtl/>
          <w:lang w:bidi="ar-EG"/>
        </w:rPr>
        <w:t>الصياغية</w:t>
      </w:r>
      <w:proofErr w:type="spellEnd"/>
      <w:r>
        <w:rPr>
          <w:rFonts w:hint="cs"/>
          <w:rtl/>
          <w:lang w:bidi="ar-EG"/>
        </w:rPr>
        <w:t xml:space="preserve"> المتمثلة في مجرد تصويب أخطاء مطبعية أو أخطاء سهو في توصية ما إلى تنفيذ هذه التوصية بطرق مختلفة.</w:t>
      </w:r>
    </w:p>
    <w:p w:rsidR="00844A37" w:rsidRDefault="00844A37" w:rsidP="008B39B9">
      <w:pPr>
        <w:rPr>
          <w:spacing w:val="-3"/>
          <w:sz w:val="30"/>
          <w:rtl/>
          <w:lang w:eastAsia="ja-JP"/>
        </w:rPr>
      </w:pPr>
      <w:r>
        <w:rPr>
          <w:rFonts w:hint="cs"/>
          <w:rtl/>
          <w:lang w:bidi="ar-EG"/>
        </w:rPr>
        <w:t xml:space="preserve">ويمكن تلافي هذا الخلط وما قد ينطوي عليه من مخاطر إن أمكن تحديد نسخ النصوص المحدَّثة </w:t>
      </w:r>
      <w:proofErr w:type="spellStart"/>
      <w:r>
        <w:rPr>
          <w:rFonts w:hint="cs"/>
          <w:rtl/>
          <w:lang w:bidi="ar-EG"/>
        </w:rPr>
        <w:t>صياغياً</w:t>
      </w:r>
      <w:proofErr w:type="spellEnd"/>
      <w:r>
        <w:rPr>
          <w:rFonts w:hint="cs"/>
          <w:rtl/>
          <w:lang w:bidi="ar-EG"/>
        </w:rPr>
        <w:t xml:space="preserve"> الصادرة عن القطاع والإشارة</w:t>
      </w:r>
      <w:r w:rsidR="00F2651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إليها، صراحةً، بإضافة لاحقة إلى رقم كل منها. فعلى سبيل المثال، يمكن إسناد الحروف </w:t>
      </w:r>
      <w:r w:rsidR="008B39B9">
        <w:rPr>
          <w:rFonts w:hint="cs"/>
          <w:rtl/>
          <w:lang w:bidi="ar-EG"/>
        </w:rPr>
        <w:t>"</w:t>
      </w:r>
      <w:r>
        <w:rPr>
          <w:lang w:bidi="ar-EG"/>
        </w:rPr>
        <w:t>a</w:t>
      </w:r>
      <w:r w:rsidR="008B39B9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و</w:t>
      </w:r>
      <w:r w:rsidR="008B39B9">
        <w:rPr>
          <w:rFonts w:hint="cs"/>
          <w:rtl/>
          <w:lang w:bidi="ar-EG"/>
        </w:rPr>
        <w:t>"</w:t>
      </w:r>
      <w:r>
        <w:rPr>
          <w:lang w:bidi="ar-EG"/>
        </w:rPr>
        <w:t>b</w:t>
      </w:r>
      <w:r w:rsidR="008B39B9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و</w:t>
      </w:r>
      <w:r w:rsidR="008B39B9">
        <w:rPr>
          <w:rFonts w:hint="cs"/>
          <w:rtl/>
          <w:lang w:bidi="ar-EG"/>
        </w:rPr>
        <w:t>"</w:t>
      </w:r>
      <w:r>
        <w:rPr>
          <w:lang w:bidi="ar-EG"/>
        </w:rPr>
        <w:t>c</w:t>
      </w:r>
      <w:r w:rsidR="008B39B9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إلى التحديثات </w:t>
      </w:r>
      <w:proofErr w:type="spellStart"/>
      <w:r>
        <w:rPr>
          <w:rFonts w:hint="cs"/>
          <w:rtl/>
          <w:lang w:bidi="ar-EG"/>
        </w:rPr>
        <w:t>الصياغية</w:t>
      </w:r>
      <w:proofErr w:type="spellEnd"/>
      <w:r>
        <w:rPr>
          <w:rFonts w:hint="cs"/>
          <w:rtl/>
          <w:lang w:bidi="ar-EG"/>
        </w:rPr>
        <w:t xml:space="preserve"> الأولى والثا</w:t>
      </w:r>
      <w:r w:rsidR="00F26510">
        <w:rPr>
          <w:rFonts w:hint="cs"/>
          <w:rtl/>
          <w:lang w:bidi="ar-EG"/>
        </w:rPr>
        <w:t>نية والثالثة</w:t>
      </w:r>
      <w:r>
        <w:rPr>
          <w:rFonts w:hint="cs"/>
          <w:rtl/>
          <w:lang w:bidi="ar-EG"/>
        </w:rPr>
        <w:t xml:space="preserve">، على التوالي، بحيث تشير التوصية </w:t>
      </w:r>
      <w:r>
        <w:rPr>
          <w:spacing w:val="-3"/>
          <w:szCs w:val="24"/>
          <w:lang w:eastAsia="ja-JP"/>
        </w:rPr>
        <w:t>ITU-R BT.2100</w:t>
      </w:r>
      <w:r>
        <w:rPr>
          <w:spacing w:val="-3"/>
          <w:szCs w:val="24"/>
          <w:lang w:eastAsia="ja-JP"/>
        </w:rPr>
        <w:noBreakHyphen/>
        <w:t>1b</w:t>
      </w:r>
      <w:r>
        <w:rPr>
          <w:rFonts w:hint="cs"/>
          <w:rtl/>
          <w:lang w:bidi="ar-EG"/>
        </w:rPr>
        <w:t xml:space="preserve">، مثلاً، إلى التحديث </w:t>
      </w:r>
      <w:proofErr w:type="spellStart"/>
      <w:r w:rsidR="00F26510">
        <w:rPr>
          <w:rFonts w:hint="cs"/>
          <w:rtl/>
          <w:lang w:bidi="ar-EG"/>
        </w:rPr>
        <w:t>الصياغي</w:t>
      </w:r>
      <w:proofErr w:type="spellEnd"/>
      <w:r>
        <w:rPr>
          <w:rFonts w:hint="cs"/>
          <w:rtl/>
          <w:lang w:bidi="ar-EG"/>
        </w:rPr>
        <w:t xml:space="preserve"> الثاني للتوصية</w:t>
      </w:r>
      <w:r w:rsidR="00F26510">
        <w:rPr>
          <w:rFonts w:hint="eastAsia"/>
          <w:rtl/>
          <w:lang w:bidi="ar-EG"/>
        </w:rPr>
        <w:t> </w:t>
      </w:r>
      <w:r>
        <w:rPr>
          <w:spacing w:val="-3"/>
          <w:szCs w:val="24"/>
          <w:lang w:eastAsia="ja-JP"/>
        </w:rPr>
        <w:t>ITU</w:t>
      </w:r>
      <w:r w:rsidR="00F26510">
        <w:rPr>
          <w:spacing w:val="-3"/>
          <w:szCs w:val="24"/>
          <w:lang w:eastAsia="ja-JP"/>
        </w:rPr>
        <w:noBreakHyphen/>
      </w:r>
      <w:r>
        <w:rPr>
          <w:spacing w:val="-3"/>
          <w:szCs w:val="24"/>
          <w:lang w:eastAsia="ja-JP"/>
        </w:rPr>
        <w:t>R BT.2100-1</w:t>
      </w:r>
      <w:r w:rsidRPr="008B39B9">
        <w:rPr>
          <w:rFonts w:hint="cs"/>
          <w:spacing w:val="-3"/>
          <w:sz w:val="30"/>
          <w:rtl/>
          <w:lang w:eastAsia="ja-JP"/>
        </w:rPr>
        <w:t>.</w:t>
      </w:r>
      <w:r w:rsidRPr="00175C62">
        <w:rPr>
          <w:rFonts w:hint="cs"/>
          <w:spacing w:val="-3"/>
          <w:sz w:val="30"/>
          <w:rtl/>
          <w:lang w:eastAsia="ja-JP"/>
        </w:rPr>
        <w:t xml:space="preserve"> فمن شأن ذلك أن يساعد القارئ على معرفة ماهية النسخة</w:t>
      </w:r>
      <w:r w:rsidR="00F26510">
        <w:rPr>
          <w:rFonts w:hint="cs"/>
          <w:spacing w:val="-3"/>
          <w:sz w:val="30"/>
          <w:rtl/>
          <w:lang w:eastAsia="ja-JP"/>
        </w:rPr>
        <w:t xml:space="preserve"> المحال إليها</w:t>
      </w:r>
      <w:r w:rsidRPr="00175C62">
        <w:rPr>
          <w:rFonts w:hint="cs"/>
          <w:spacing w:val="-3"/>
          <w:sz w:val="30"/>
          <w:rtl/>
          <w:lang w:eastAsia="ja-JP"/>
        </w:rPr>
        <w:t xml:space="preserve"> </w:t>
      </w:r>
      <w:r>
        <w:rPr>
          <w:rFonts w:hint="cs"/>
          <w:spacing w:val="-3"/>
          <w:sz w:val="30"/>
          <w:rtl/>
          <w:lang w:eastAsia="ja-JP"/>
        </w:rPr>
        <w:t>بالضبط</w:t>
      </w:r>
      <w:r w:rsidRPr="00175C62">
        <w:rPr>
          <w:rFonts w:hint="cs"/>
          <w:spacing w:val="-3"/>
          <w:sz w:val="30"/>
          <w:rtl/>
          <w:lang w:eastAsia="ja-JP"/>
        </w:rPr>
        <w:t>.</w:t>
      </w:r>
    </w:p>
    <w:p w:rsidR="00F26510" w:rsidRDefault="00F26510" w:rsidP="00F26510">
      <w:pPr>
        <w:rPr>
          <w:rtl/>
          <w:lang w:bidi="ar-EG"/>
        </w:rPr>
      </w:pPr>
      <w:r>
        <w:rPr>
          <w:rFonts w:hint="cs"/>
          <w:spacing w:val="-3"/>
          <w:sz w:val="30"/>
          <w:rtl/>
          <w:lang w:eastAsia="ja-JP"/>
        </w:rPr>
        <w:t>وتقترح اليابان أن ينظر الفريق الاستشاري للاتصالات الراديوية في تنفيذ مكتب الاتصالات الراديوية لهذه الممارسة.</w:t>
      </w:r>
    </w:p>
    <w:p w:rsidR="00844A37" w:rsidRPr="00421D20" w:rsidRDefault="00844A37" w:rsidP="008B39B9">
      <w:pPr>
        <w:pStyle w:val="Heading1"/>
        <w:spacing w:before="320"/>
        <w:rPr>
          <w:rtl/>
          <w:lang w:bidi="ar-SA"/>
        </w:rPr>
      </w:pPr>
      <w:r>
        <w:t>3</w:t>
      </w:r>
      <w:r w:rsidRPr="00250B60">
        <w:tab/>
      </w:r>
      <w:r w:rsidR="00F26510">
        <w:rPr>
          <w:rFonts w:hint="cs"/>
          <w:rtl/>
        </w:rPr>
        <w:t>القوائم</w:t>
      </w:r>
      <w:r>
        <w:rPr>
          <w:rFonts w:hint="cs"/>
          <w:rtl/>
        </w:rPr>
        <w:t xml:space="preserve"> البريدية لأفرقة المقررين وأفرقة العمل بالمراسلة</w:t>
      </w:r>
    </w:p>
    <w:p w:rsidR="00844A37" w:rsidRDefault="00844A37" w:rsidP="008B39B9">
      <w:pPr>
        <w:rPr>
          <w:rtl/>
        </w:rPr>
      </w:pPr>
      <w:r>
        <w:rPr>
          <w:rFonts w:hint="cs"/>
          <w:rtl/>
        </w:rPr>
        <w:t xml:space="preserve">تشكل القوائم البريدية أداة مفيدة لتيسير أعمال الأفرقة المنشأة في قطاع الاتصالات الراديوية بما فيها أفرقة المقررين وأفرقة العمل بالمراسلة. وإن أمكن أن يشير حقل الموضوع </w:t>
      </w:r>
      <w:r w:rsidR="00F26510" w:rsidRPr="003204ED">
        <w:rPr>
          <w:rFonts w:hint="cs"/>
          <w:rtl/>
        </w:rPr>
        <w:t>آلياً</w:t>
      </w:r>
      <w:r>
        <w:rPr>
          <w:rFonts w:hint="cs"/>
          <w:rtl/>
        </w:rPr>
        <w:t xml:space="preserve"> فيما يُعمَّم من رسائل إلكترونية عن طريق القائمة البريدية إلى اسم الفريق ورقم</w:t>
      </w:r>
      <w:r w:rsidR="008B39B9">
        <w:rPr>
          <w:rFonts w:hint="eastAsia"/>
          <w:rtl/>
        </w:rPr>
        <w:t> </w:t>
      </w:r>
      <w:r>
        <w:rPr>
          <w:rFonts w:hint="cs"/>
          <w:rtl/>
        </w:rPr>
        <w:t>تسلسل الرسالة في القائمة البريدية، سيتيسر على أعضاء الفريق تحديد الرسائل الإلكترونية ذات الصلة</w:t>
      </w:r>
      <w:r w:rsidR="00F26510">
        <w:rPr>
          <w:rFonts w:hint="cs"/>
          <w:rtl/>
        </w:rPr>
        <w:t xml:space="preserve"> بسهولة</w:t>
      </w:r>
      <w:r>
        <w:rPr>
          <w:rFonts w:hint="cs"/>
          <w:rtl/>
        </w:rPr>
        <w:t>.</w:t>
      </w:r>
    </w:p>
    <w:p w:rsidR="00844A37" w:rsidRDefault="00844A37" w:rsidP="00F26510">
      <w:pPr>
        <w:rPr>
          <w:rtl/>
        </w:rPr>
      </w:pPr>
      <w:r>
        <w:rPr>
          <w:rFonts w:hint="cs"/>
          <w:rtl/>
        </w:rPr>
        <w:t>وتقترح اليابان أن ينظر الفريق الاستشاري للاتصالات الراديوية</w:t>
      </w:r>
      <w:r w:rsidR="00F26510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</w:t>
      </w:r>
      <w:r w:rsidR="00F26510">
        <w:rPr>
          <w:rFonts w:hint="cs"/>
          <w:rtl/>
        </w:rPr>
        <w:t>تنفيذ</w:t>
      </w:r>
      <w:r>
        <w:rPr>
          <w:rFonts w:hint="cs"/>
          <w:rtl/>
        </w:rPr>
        <w:t xml:space="preserve"> مكتب الاتصالات الراديوية</w:t>
      </w:r>
      <w:r w:rsidR="00F26510">
        <w:rPr>
          <w:rFonts w:hint="cs"/>
          <w:rtl/>
        </w:rPr>
        <w:t xml:space="preserve"> لهذه الممارسة</w:t>
      </w:r>
      <w:r>
        <w:rPr>
          <w:rFonts w:hint="cs"/>
          <w:rtl/>
        </w:rPr>
        <w:t>.</w:t>
      </w:r>
    </w:p>
    <w:p w:rsidR="00844A37" w:rsidRPr="00421D20" w:rsidRDefault="00844A37" w:rsidP="008B39B9">
      <w:pPr>
        <w:pStyle w:val="Heading1"/>
        <w:spacing w:before="320"/>
        <w:rPr>
          <w:rtl/>
          <w:lang w:bidi="ar-SA"/>
        </w:rPr>
      </w:pPr>
      <w:r>
        <w:t>4</w:t>
      </w:r>
      <w:r w:rsidRPr="00250B60">
        <w:tab/>
      </w:r>
      <w:r>
        <w:rPr>
          <w:rFonts w:hint="cs"/>
          <w:rtl/>
        </w:rPr>
        <w:t>تضمين توصيات القطاع مواد إعلامية</w:t>
      </w:r>
    </w:p>
    <w:p w:rsidR="00844A37" w:rsidRPr="00005B8D" w:rsidRDefault="00844A37" w:rsidP="008B39B9">
      <w:pPr>
        <w:rPr>
          <w:rtl/>
        </w:rPr>
      </w:pPr>
      <w:r w:rsidRPr="00005B8D">
        <w:rPr>
          <w:rFonts w:hint="cs"/>
          <w:rtl/>
        </w:rPr>
        <w:t xml:space="preserve">قدمت اليابان مقترحات إلى أحد الاجتماعات السابقة للفريق الاستشاري للاتصالات الراديوية تلتمس فيها توضيح صفة الملاحظات والحواشي، وكذلك </w:t>
      </w:r>
      <w:r w:rsidR="00F26510" w:rsidRPr="00005B8D">
        <w:rPr>
          <w:rFonts w:hint="cs"/>
          <w:rtl/>
        </w:rPr>
        <w:t>الملحقات</w:t>
      </w:r>
      <w:r w:rsidRPr="00005B8D">
        <w:rPr>
          <w:rFonts w:hint="cs"/>
          <w:rtl/>
        </w:rPr>
        <w:t xml:space="preserve"> والمرفقات، الواردة في توصيات قطاع الاتصالات الراديوية، واستخدامها، بتعديل "نسق</w:t>
      </w:r>
      <w:r w:rsidR="008B39B9" w:rsidRPr="00005B8D">
        <w:rPr>
          <w:rFonts w:hint="eastAsia"/>
          <w:rtl/>
        </w:rPr>
        <w:t> </w:t>
      </w:r>
      <w:r w:rsidRPr="00005B8D">
        <w:rPr>
          <w:rFonts w:hint="cs"/>
          <w:rtl/>
        </w:rPr>
        <w:t xml:space="preserve">توصيات القطاع". وتدرك اليابان أن الفريق الاستشاري لا يرى ضرورة لتعديل نسق توصيات القطاع لعدم </w:t>
      </w:r>
      <w:r w:rsidR="00F26510" w:rsidRPr="00005B8D">
        <w:rPr>
          <w:rFonts w:hint="cs"/>
          <w:rtl/>
        </w:rPr>
        <w:t>مواجهة</w:t>
      </w:r>
      <w:r w:rsidRPr="00005B8D">
        <w:rPr>
          <w:rFonts w:hint="cs"/>
          <w:rtl/>
        </w:rPr>
        <w:t xml:space="preserve"> أي</w:t>
      </w:r>
      <w:r w:rsidR="008B39B9" w:rsidRPr="00005B8D">
        <w:rPr>
          <w:rFonts w:hint="eastAsia"/>
          <w:rtl/>
        </w:rPr>
        <w:t> </w:t>
      </w:r>
      <w:r w:rsidR="00F26510" w:rsidRPr="00005B8D">
        <w:rPr>
          <w:rFonts w:hint="cs"/>
          <w:rtl/>
        </w:rPr>
        <w:t xml:space="preserve">صعوبات </w:t>
      </w:r>
      <w:r w:rsidR="008B39B9" w:rsidRPr="00005B8D">
        <w:rPr>
          <w:rFonts w:hint="cs"/>
          <w:rtl/>
        </w:rPr>
        <w:t>تتعلق بنسقها الحالي حتى الآن.</w:t>
      </w:r>
    </w:p>
    <w:p w:rsidR="00844A37" w:rsidRDefault="00844A37" w:rsidP="00F26510">
      <w:pPr>
        <w:rPr>
          <w:rtl/>
        </w:rPr>
      </w:pPr>
      <w:r>
        <w:rPr>
          <w:rFonts w:hint="cs"/>
          <w:rtl/>
        </w:rPr>
        <w:t xml:space="preserve">وفيما يتعلق بهذه المسألة، لاحظت اليابان </w:t>
      </w:r>
      <w:r w:rsidR="00F26510">
        <w:rPr>
          <w:rFonts w:hint="cs"/>
          <w:rtl/>
        </w:rPr>
        <w:t>الشرطين</w:t>
      </w:r>
      <w:r>
        <w:rPr>
          <w:rFonts w:hint="cs"/>
          <w:rtl/>
        </w:rPr>
        <w:t xml:space="preserve"> التاليين في القرار </w:t>
      </w:r>
      <w:r>
        <w:rPr>
          <w:lang w:eastAsia="ja-JP"/>
        </w:rPr>
        <w:t>ITU-R 1-7</w:t>
      </w:r>
      <w:r>
        <w:rPr>
          <w:rFonts w:hint="cs"/>
          <w:rtl/>
          <w:lang w:eastAsia="ja-JP"/>
        </w:rPr>
        <w:t>:</w:t>
      </w:r>
    </w:p>
    <w:p w:rsidR="00844A37" w:rsidRPr="008B0FC8" w:rsidRDefault="00844A37" w:rsidP="00844A37">
      <w:pPr>
        <w:rPr>
          <w:i/>
          <w:iCs/>
          <w:rtl/>
          <w:lang w:bidi="ar-EG"/>
        </w:rPr>
      </w:pPr>
      <w:r w:rsidRPr="008B0FC8">
        <w:rPr>
          <w:i/>
          <w:iCs/>
        </w:rPr>
        <w:t>4.1.1</w:t>
      </w:r>
      <w:proofErr w:type="gramStart"/>
      <w:r w:rsidRPr="008B0FC8">
        <w:rPr>
          <w:i/>
          <w:iCs/>
        </w:rPr>
        <w:t>.A2</w:t>
      </w:r>
      <w:proofErr w:type="gramEnd"/>
      <w:r w:rsidRPr="008B0FC8">
        <w:rPr>
          <w:i/>
          <w:iCs/>
          <w:rtl/>
          <w:lang w:bidi="ar-EG"/>
        </w:rPr>
        <w:tab/>
        <w:t>وينبغي أن تعتبر الملحقات والمرفقات والتذييلات الواردة في أي نص من هذه النصوص متكافئة في الوضع، ما</w:t>
      </w:r>
      <w:r w:rsidRPr="008B0FC8">
        <w:rPr>
          <w:rFonts w:hint="eastAsia"/>
          <w:i/>
          <w:iCs/>
          <w:rtl/>
          <w:lang w:bidi="ar-EG"/>
        </w:rPr>
        <w:t> </w:t>
      </w:r>
      <w:r w:rsidRPr="008B0FC8">
        <w:rPr>
          <w:i/>
          <w:iCs/>
          <w:rtl/>
          <w:lang w:bidi="ar-EG"/>
        </w:rPr>
        <w:t>لم</w:t>
      </w:r>
      <w:r w:rsidRPr="008B0FC8">
        <w:rPr>
          <w:rFonts w:hint="eastAsia"/>
          <w:i/>
          <w:iCs/>
          <w:rtl/>
          <w:lang w:bidi="ar-EG"/>
        </w:rPr>
        <w:t> </w:t>
      </w:r>
      <w:r w:rsidRPr="008B0FC8">
        <w:rPr>
          <w:i/>
          <w:iCs/>
          <w:rtl/>
          <w:lang w:bidi="ar-EG"/>
        </w:rPr>
        <w:t>يُحدد خلاف</w:t>
      </w:r>
      <w:r w:rsidRPr="008B0FC8">
        <w:rPr>
          <w:rFonts w:hint="cs"/>
          <w:i/>
          <w:iCs/>
          <w:rtl/>
          <w:lang w:bidi="ar-EG"/>
        </w:rPr>
        <w:t> </w:t>
      </w:r>
      <w:r w:rsidRPr="008B0FC8">
        <w:rPr>
          <w:i/>
          <w:iCs/>
          <w:rtl/>
          <w:lang w:bidi="ar-EG"/>
        </w:rPr>
        <w:t>ذلك.</w:t>
      </w:r>
    </w:p>
    <w:p w:rsidR="00844A37" w:rsidRPr="000C738C" w:rsidRDefault="00150A65" w:rsidP="00844A37">
      <w:pPr>
        <w:rPr>
          <w:i/>
          <w:iCs/>
          <w:rtl/>
          <w:lang w:bidi="ar-EG"/>
        </w:rPr>
      </w:pPr>
      <w:r>
        <w:rPr>
          <w:i/>
          <w:iCs/>
          <w:lang w:bidi="ar-EG"/>
        </w:rPr>
        <w:t>1</w:t>
      </w:r>
      <w:r w:rsidR="00844A37" w:rsidRPr="0010597B">
        <w:rPr>
          <w:i/>
          <w:iCs/>
          <w:lang w:bidi="ar-EG"/>
        </w:rPr>
        <w:t>.6</w:t>
      </w:r>
      <w:proofErr w:type="gramStart"/>
      <w:r w:rsidR="00844A37" w:rsidRPr="0010597B">
        <w:rPr>
          <w:i/>
          <w:iCs/>
          <w:lang w:bidi="ar-EG"/>
        </w:rPr>
        <w:t>.A2</w:t>
      </w:r>
      <w:proofErr w:type="gramEnd"/>
      <w:r w:rsidR="00844A37" w:rsidRPr="0010597B">
        <w:rPr>
          <w:i/>
          <w:iCs/>
          <w:rtl/>
          <w:lang w:bidi="ar-EG"/>
        </w:rPr>
        <w:tab/>
      </w:r>
      <w:r w:rsidR="00844A37" w:rsidRPr="008B39B9">
        <w:rPr>
          <w:rFonts w:hint="cs"/>
          <w:i/>
          <w:iCs/>
          <w:rtl/>
          <w:lang w:bidi="ar-EG"/>
        </w:rPr>
        <w:t xml:space="preserve">الملاحظة </w:t>
      </w:r>
      <w:r w:rsidR="00844A37" w:rsidRPr="008B39B9">
        <w:rPr>
          <w:i/>
          <w:iCs/>
          <w:lang w:bidi="ar-EG"/>
        </w:rPr>
        <w:t>5</w:t>
      </w:r>
      <w:r w:rsidR="00844A37" w:rsidRPr="0010597B">
        <w:rPr>
          <w:rFonts w:hint="cs"/>
          <w:i/>
          <w:iCs/>
          <w:rtl/>
          <w:lang w:bidi="ar-EG"/>
        </w:rPr>
        <w:t xml:space="preserve"> - إن الإحالات في توصية ما إلى تقارير قطاع الاتصالات الراديوية هي ذات طبيعة إعلامية.</w:t>
      </w:r>
    </w:p>
    <w:p w:rsidR="00844A37" w:rsidRPr="00150A65" w:rsidRDefault="00844A37" w:rsidP="00150A65">
      <w:pPr>
        <w:rPr>
          <w:lang w:bidi="ar-EG"/>
        </w:rPr>
      </w:pPr>
      <w:r w:rsidRPr="00150A65">
        <w:rPr>
          <w:rFonts w:hint="cs"/>
          <w:rtl/>
          <w:lang w:bidi="ar-EG"/>
        </w:rPr>
        <w:t xml:space="preserve">وترى اليابان أن هذين </w:t>
      </w:r>
      <w:r w:rsidR="00F26510" w:rsidRPr="00150A65">
        <w:rPr>
          <w:rFonts w:hint="cs"/>
          <w:rtl/>
          <w:lang w:bidi="ar-EG"/>
        </w:rPr>
        <w:t>الشرطين</w:t>
      </w:r>
      <w:r w:rsidRPr="00150A65">
        <w:rPr>
          <w:rFonts w:hint="cs"/>
          <w:rtl/>
          <w:lang w:bidi="ar-EG"/>
        </w:rPr>
        <w:t xml:space="preserve"> ينطويان على احتمال تضمّن توصيات القطاع عناصر ذات طبيعة غير معيارية، أو إعلامية، وأن</w:t>
      </w:r>
      <w:r w:rsidR="008B39B9" w:rsidRPr="00150A65">
        <w:rPr>
          <w:rFonts w:hint="eastAsia"/>
          <w:rtl/>
          <w:lang w:bidi="ar-EG"/>
        </w:rPr>
        <w:t> </w:t>
      </w:r>
      <w:r w:rsidRPr="00150A65">
        <w:rPr>
          <w:rFonts w:hint="cs"/>
          <w:rtl/>
          <w:lang w:bidi="ar-EG"/>
        </w:rPr>
        <w:t>من</w:t>
      </w:r>
      <w:r w:rsidR="008B39B9" w:rsidRPr="00150A65">
        <w:rPr>
          <w:rFonts w:hint="eastAsia"/>
          <w:rtl/>
          <w:lang w:bidi="ar-EG"/>
        </w:rPr>
        <w:t> </w:t>
      </w:r>
      <w:r w:rsidRPr="00150A65">
        <w:rPr>
          <w:rFonts w:hint="cs"/>
          <w:rtl/>
          <w:lang w:bidi="ar-EG"/>
        </w:rPr>
        <w:t>اللازم في هذه الحالة الإشارة إلى صفة هذه العناصر بوضوح. وستقدّر اليابان للفريق الاستشاري تلقّيها أي توجيهات بشأن هذا</w:t>
      </w:r>
      <w:r w:rsidR="00150A65">
        <w:rPr>
          <w:rFonts w:hint="eastAsia"/>
          <w:rtl/>
          <w:lang w:bidi="ar-EG"/>
        </w:rPr>
        <w:t> </w:t>
      </w:r>
      <w:r w:rsidRPr="00150A65">
        <w:rPr>
          <w:rFonts w:hint="cs"/>
          <w:rtl/>
          <w:lang w:bidi="ar-EG"/>
        </w:rPr>
        <w:t>التفسير.</w:t>
      </w:r>
    </w:p>
    <w:p w:rsidR="00844A37" w:rsidRPr="00D20B64" w:rsidRDefault="00233929" w:rsidP="00233929">
      <w:pPr>
        <w:spacing w:before="600"/>
        <w:jc w:val="center"/>
        <w:rPr>
          <w:rFonts w:eastAsiaTheme="minorEastAsia"/>
          <w:rtl/>
          <w:lang w:val="en-GB" w:bidi="ar-SY"/>
        </w:rPr>
      </w:pPr>
      <w:r>
        <w:rPr>
          <w:rFonts w:hint="cs"/>
          <w:rtl/>
          <w:lang w:bidi="ar-EG"/>
        </w:rPr>
        <w:t>___________</w:t>
      </w:r>
    </w:p>
    <w:sectPr w:rsidR="00844A37" w:rsidRPr="00D20B64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1E" w:rsidRDefault="00E36C1E" w:rsidP="00E07379">
      <w:pPr>
        <w:spacing w:before="0" w:line="240" w:lineRule="auto"/>
      </w:pPr>
      <w:r>
        <w:separator/>
      </w:r>
    </w:p>
  </w:endnote>
  <w:endnote w:type="continuationSeparator" w:id="0">
    <w:p w:rsidR="00E36C1E" w:rsidRDefault="00E36C1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44A37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844A37">
      <w:rPr>
        <w:rFonts w:eastAsiaTheme="minorEastAsia" w:cs="Calibri"/>
        <w:noProof/>
        <w:sz w:val="16"/>
        <w:szCs w:val="16"/>
        <w:lang w:eastAsia="zh-CN"/>
      </w:rPr>
      <w:t>P:\ARA\ITU-R\AG\RAG\RAG19\000\014A.docx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844A37">
      <w:rPr>
        <w:rFonts w:eastAsiaTheme="minorEastAsia" w:cs="Calibri" w:hint="cs"/>
        <w:sz w:val="16"/>
        <w:szCs w:val="16"/>
        <w:rtl/>
        <w:lang w:eastAsia="zh-CN"/>
      </w:rPr>
      <w:t>452763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44A37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844A37">
      <w:rPr>
        <w:rFonts w:eastAsiaTheme="minorEastAsia" w:cs="Calibri"/>
        <w:noProof/>
        <w:sz w:val="16"/>
        <w:szCs w:val="16"/>
        <w:lang w:eastAsia="zh-CN"/>
      </w:rPr>
      <w:t>P:\ARA\ITU-R\AG\RAG\RAG19\000\014A.docx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844A37">
      <w:rPr>
        <w:rFonts w:eastAsiaTheme="minorEastAsia" w:cs="Calibri" w:hint="cs"/>
        <w:sz w:val="16"/>
        <w:szCs w:val="16"/>
        <w:rtl/>
        <w:lang w:eastAsia="zh-CN"/>
      </w:rPr>
      <w:t>452763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1E" w:rsidRDefault="00E36C1E" w:rsidP="00E07379">
      <w:pPr>
        <w:spacing w:before="0" w:line="240" w:lineRule="auto"/>
      </w:pPr>
      <w:r>
        <w:separator/>
      </w:r>
    </w:p>
  </w:footnote>
  <w:footnote w:type="continuationSeparator" w:id="0">
    <w:p w:rsidR="00E36C1E" w:rsidRDefault="00E36C1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44A37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9A0E3B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 w:rsidR="00AE17CB"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844A37">
      <w:rPr>
        <w:rFonts w:eastAsiaTheme="minorEastAsia" w:cs="Calibri" w:hint="cs"/>
        <w:sz w:val="20"/>
        <w:szCs w:val="20"/>
        <w:rtl/>
        <w:lang w:val="en-GB" w:eastAsia="zh-CN"/>
      </w:rPr>
      <w:t>14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1E"/>
    <w:rsid w:val="00005B8D"/>
    <w:rsid w:val="000124CC"/>
    <w:rsid w:val="00034CD2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50A65"/>
    <w:rsid w:val="00173915"/>
    <w:rsid w:val="0022345D"/>
    <w:rsid w:val="00225854"/>
    <w:rsid w:val="0023283D"/>
    <w:rsid w:val="00233929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04ED"/>
    <w:rsid w:val="003231B9"/>
    <w:rsid w:val="003275AC"/>
    <w:rsid w:val="00333D29"/>
    <w:rsid w:val="003409F4"/>
    <w:rsid w:val="00357185"/>
    <w:rsid w:val="003C475F"/>
    <w:rsid w:val="003E3DBC"/>
    <w:rsid w:val="003E4132"/>
    <w:rsid w:val="003F678F"/>
    <w:rsid w:val="0042686F"/>
    <w:rsid w:val="004367CE"/>
    <w:rsid w:val="00443869"/>
    <w:rsid w:val="004712C6"/>
    <w:rsid w:val="00477314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16304"/>
    <w:rsid w:val="00620E60"/>
    <w:rsid w:val="0063315A"/>
    <w:rsid w:val="0065591D"/>
    <w:rsid w:val="00662C5A"/>
    <w:rsid w:val="00670AF5"/>
    <w:rsid w:val="006A47EA"/>
    <w:rsid w:val="006C1556"/>
    <w:rsid w:val="006E4A45"/>
    <w:rsid w:val="006F267F"/>
    <w:rsid w:val="006F63F7"/>
    <w:rsid w:val="006F6F03"/>
    <w:rsid w:val="00706D7A"/>
    <w:rsid w:val="00726AEC"/>
    <w:rsid w:val="007530CA"/>
    <w:rsid w:val="0079553D"/>
    <w:rsid w:val="007A0CBD"/>
    <w:rsid w:val="007B01CC"/>
    <w:rsid w:val="007B74DD"/>
    <w:rsid w:val="007D1FBC"/>
    <w:rsid w:val="007E7C6C"/>
    <w:rsid w:val="007F57ED"/>
    <w:rsid w:val="007F6238"/>
    <w:rsid w:val="007F646C"/>
    <w:rsid w:val="00801FCD"/>
    <w:rsid w:val="00803D7E"/>
    <w:rsid w:val="00803F08"/>
    <w:rsid w:val="008235CD"/>
    <w:rsid w:val="00823A07"/>
    <w:rsid w:val="00835FEC"/>
    <w:rsid w:val="00844A37"/>
    <w:rsid w:val="008513CB"/>
    <w:rsid w:val="00874D9C"/>
    <w:rsid w:val="008A1810"/>
    <w:rsid w:val="008B39B9"/>
    <w:rsid w:val="008B5B5D"/>
    <w:rsid w:val="00917694"/>
    <w:rsid w:val="009263CD"/>
    <w:rsid w:val="00930E6D"/>
    <w:rsid w:val="00972CA2"/>
    <w:rsid w:val="00982B28"/>
    <w:rsid w:val="00984EA5"/>
    <w:rsid w:val="00992593"/>
    <w:rsid w:val="009A0E3B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17CB"/>
    <w:rsid w:val="00AE7244"/>
    <w:rsid w:val="00AF3FEE"/>
    <w:rsid w:val="00B02F46"/>
    <w:rsid w:val="00B10C10"/>
    <w:rsid w:val="00B2000C"/>
    <w:rsid w:val="00B20ADE"/>
    <w:rsid w:val="00B30303"/>
    <w:rsid w:val="00B50C09"/>
    <w:rsid w:val="00B66B9A"/>
    <w:rsid w:val="00B70F7A"/>
    <w:rsid w:val="00B82089"/>
    <w:rsid w:val="00B823E0"/>
    <w:rsid w:val="00B970AE"/>
    <w:rsid w:val="00BA1427"/>
    <w:rsid w:val="00BB2204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07F9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6C1E"/>
    <w:rsid w:val="00E45211"/>
    <w:rsid w:val="00E57AA2"/>
    <w:rsid w:val="00E7380C"/>
    <w:rsid w:val="00E74BE7"/>
    <w:rsid w:val="00E86CC9"/>
    <w:rsid w:val="00E96624"/>
    <w:rsid w:val="00F126F1"/>
    <w:rsid w:val="00F2106A"/>
    <w:rsid w:val="00F26510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7558C1EC-4E0C-4917-A3A8-921C26F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1FBC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FFCB3F-A568-43A9-BC9A-E47BF7B6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PA_RAG19.dotx</Template>
  <TotalTime>52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Awad, Samy</cp:lastModifiedBy>
  <cp:revision>14</cp:revision>
  <cp:lastPrinted>2016-06-07T13:25:00Z</cp:lastPrinted>
  <dcterms:created xsi:type="dcterms:W3CDTF">2019-04-03T12:51:00Z</dcterms:created>
  <dcterms:modified xsi:type="dcterms:W3CDTF">2019-04-03T15:04:00Z</dcterms:modified>
  <cp:category>Conference document</cp:category>
</cp:coreProperties>
</file>