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843036" w14:paraId="7E64B3CA" w14:textId="77777777" w:rsidTr="00C16E44">
        <w:trPr>
          <w:cantSplit/>
        </w:trPr>
        <w:tc>
          <w:tcPr>
            <w:tcW w:w="6771" w:type="dxa"/>
            <w:vAlign w:val="center"/>
          </w:tcPr>
          <w:p w14:paraId="3EB8B299" w14:textId="77777777" w:rsidR="00C16E44" w:rsidRPr="00843036" w:rsidRDefault="00C16E44" w:rsidP="00C16E44">
            <w:pPr>
              <w:shd w:val="solid" w:color="FFFFFF" w:fill="FFFFFF"/>
              <w:tabs>
                <w:tab w:val="clear" w:pos="794"/>
                <w:tab w:val="clear" w:pos="1191"/>
                <w:tab w:val="clear" w:pos="1588"/>
                <w:tab w:val="left" w:pos="1560"/>
              </w:tabs>
              <w:spacing w:before="0"/>
              <w:rPr>
                <w:b/>
                <w:caps/>
                <w:sz w:val="32"/>
              </w:rPr>
            </w:pPr>
            <w:bookmarkStart w:id="0" w:name="_GoBack"/>
            <w:bookmarkEnd w:id="0"/>
            <w:r w:rsidRPr="00843036">
              <w:rPr>
                <w:rFonts w:ascii="Verdana" w:hAnsi="Verdana" w:cs="Times New Roman Bold"/>
                <w:b/>
                <w:sz w:val="26"/>
                <w:szCs w:val="26"/>
              </w:rPr>
              <w:t xml:space="preserve">Junta del Reglamento de </w:t>
            </w:r>
            <w:r w:rsidRPr="00843036">
              <w:rPr>
                <w:rFonts w:ascii="Verdana" w:hAnsi="Verdana" w:cs="Times New Roman Bold"/>
                <w:b/>
                <w:sz w:val="26"/>
                <w:szCs w:val="26"/>
              </w:rPr>
              <w:br/>
              <w:t>Radiocomunicaciones</w:t>
            </w:r>
            <w:r w:rsidRPr="00843036">
              <w:rPr>
                <w:b/>
                <w:caps/>
                <w:sz w:val="32"/>
              </w:rPr>
              <w:t xml:space="preserve"> </w:t>
            </w:r>
          </w:p>
          <w:p w14:paraId="4EA8686E" w14:textId="77777777" w:rsidR="00C16E44" w:rsidRPr="00843036" w:rsidRDefault="009F0570" w:rsidP="00F31656">
            <w:pPr>
              <w:shd w:val="solid" w:color="FFFFFF" w:fill="FFFFFF"/>
              <w:tabs>
                <w:tab w:val="clear" w:pos="794"/>
                <w:tab w:val="clear" w:pos="1191"/>
                <w:tab w:val="clear" w:pos="1588"/>
                <w:tab w:val="left" w:pos="1560"/>
              </w:tabs>
              <w:spacing w:before="0"/>
              <w:rPr>
                <w:rFonts w:ascii="Verdana" w:hAnsi="Verdana"/>
                <w:b/>
                <w:bCs/>
              </w:rPr>
            </w:pPr>
            <w:r w:rsidRPr="00843036">
              <w:rPr>
                <w:rFonts w:ascii="Verdana" w:hAnsi="Verdana" w:cs="Times New Roman Bold"/>
                <w:b/>
                <w:sz w:val="20"/>
              </w:rPr>
              <w:t xml:space="preserve">Ginebra, </w:t>
            </w:r>
            <w:r w:rsidR="00867CA2" w:rsidRPr="00843036">
              <w:rPr>
                <w:rFonts w:ascii="Verdana" w:hAnsi="Verdana" w:cs="Times New Roman Bold"/>
                <w:b/>
                <w:sz w:val="20"/>
              </w:rPr>
              <w:t>1</w:t>
            </w:r>
            <w:r w:rsidR="00E50C03" w:rsidRPr="00843036">
              <w:rPr>
                <w:rFonts w:ascii="Verdana" w:hAnsi="Verdana" w:cs="Times New Roman Bold"/>
                <w:b/>
                <w:sz w:val="20"/>
              </w:rPr>
              <w:t>4</w:t>
            </w:r>
            <w:r w:rsidRPr="00843036">
              <w:rPr>
                <w:rFonts w:ascii="Verdana" w:hAnsi="Verdana" w:cs="Times New Roman Bold"/>
                <w:b/>
                <w:sz w:val="20"/>
              </w:rPr>
              <w:t>-</w:t>
            </w:r>
            <w:r w:rsidR="00F31656" w:rsidRPr="00843036">
              <w:rPr>
                <w:rFonts w:ascii="Verdana" w:hAnsi="Verdana" w:cs="Times New Roman Bold"/>
                <w:b/>
                <w:sz w:val="20"/>
              </w:rPr>
              <w:t>1</w:t>
            </w:r>
            <w:r w:rsidR="00E50C03" w:rsidRPr="00843036">
              <w:rPr>
                <w:rFonts w:ascii="Verdana" w:hAnsi="Verdana" w:cs="Times New Roman Bold"/>
                <w:b/>
                <w:sz w:val="20"/>
              </w:rPr>
              <w:t>8</w:t>
            </w:r>
            <w:r w:rsidRPr="00843036">
              <w:rPr>
                <w:rFonts w:ascii="Verdana" w:hAnsi="Verdana" w:cs="Times New Roman Bold"/>
                <w:b/>
                <w:sz w:val="20"/>
              </w:rPr>
              <w:t xml:space="preserve"> de </w:t>
            </w:r>
            <w:r w:rsidR="00E50C03" w:rsidRPr="00843036">
              <w:rPr>
                <w:rFonts w:ascii="Verdana" w:hAnsi="Verdana" w:cs="Times New Roman Bold"/>
                <w:b/>
                <w:sz w:val="20"/>
              </w:rPr>
              <w:t>octubre</w:t>
            </w:r>
            <w:r w:rsidRPr="00843036">
              <w:rPr>
                <w:rFonts w:ascii="Verdana" w:hAnsi="Verdana" w:cs="Times New Roman Bold"/>
                <w:b/>
                <w:sz w:val="20"/>
              </w:rPr>
              <w:t xml:space="preserve"> de 201</w:t>
            </w:r>
            <w:r w:rsidR="00867CA2" w:rsidRPr="00843036">
              <w:rPr>
                <w:rFonts w:ascii="Verdana" w:hAnsi="Verdana" w:cs="Times New Roman Bold"/>
                <w:b/>
                <w:sz w:val="20"/>
              </w:rPr>
              <w:t>9</w:t>
            </w:r>
          </w:p>
        </w:tc>
        <w:tc>
          <w:tcPr>
            <w:tcW w:w="3295" w:type="dxa"/>
            <w:gridSpan w:val="2"/>
            <w:vAlign w:val="center"/>
          </w:tcPr>
          <w:p w14:paraId="2DBB1D6D" w14:textId="77777777" w:rsidR="00C16E44" w:rsidRPr="00843036" w:rsidRDefault="00640B4D" w:rsidP="00640B4D">
            <w:pPr>
              <w:shd w:val="solid" w:color="FFFFFF" w:fill="FFFFFF"/>
              <w:spacing w:before="0" w:line="240" w:lineRule="atLeast"/>
              <w:jc w:val="right"/>
            </w:pPr>
            <w:r w:rsidRPr="00843036">
              <w:rPr>
                <w:noProof/>
                <w:lang w:val="en-GB" w:eastAsia="zh-CN"/>
              </w:rPr>
              <w:drawing>
                <wp:inline distT="0" distB="0" distL="0" distR="0" wp14:anchorId="1BA2F2F4" wp14:editId="554F38C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843036" w14:paraId="05966798" w14:textId="77777777" w:rsidTr="00C16E44">
        <w:trPr>
          <w:gridAfter w:val="1"/>
          <w:wAfter w:w="33" w:type="dxa"/>
          <w:cantSplit/>
        </w:trPr>
        <w:tc>
          <w:tcPr>
            <w:tcW w:w="10033" w:type="dxa"/>
            <w:gridSpan w:val="2"/>
            <w:tcBorders>
              <w:bottom w:val="single" w:sz="12" w:space="0" w:color="auto"/>
            </w:tcBorders>
          </w:tcPr>
          <w:p w14:paraId="78523A60" w14:textId="77777777" w:rsidR="00C16E44" w:rsidRPr="00843036" w:rsidRDefault="00C16E44" w:rsidP="00C16E44">
            <w:pPr>
              <w:shd w:val="solid" w:color="FFFFFF" w:fill="FFFFFF"/>
              <w:spacing w:before="0" w:after="48"/>
              <w:rPr>
                <w:rFonts w:ascii="Verdana" w:hAnsi="Verdana" w:cs="Times New Roman Bold"/>
                <w:b/>
                <w:sz w:val="22"/>
                <w:szCs w:val="22"/>
              </w:rPr>
            </w:pPr>
          </w:p>
        </w:tc>
      </w:tr>
      <w:tr w:rsidR="00C16E44" w:rsidRPr="00843036" w14:paraId="09AF2A89" w14:textId="77777777" w:rsidTr="00C16E44">
        <w:trPr>
          <w:gridAfter w:val="1"/>
          <w:wAfter w:w="33" w:type="dxa"/>
          <w:cantSplit/>
        </w:trPr>
        <w:tc>
          <w:tcPr>
            <w:tcW w:w="6771" w:type="dxa"/>
            <w:tcBorders>
              <w:top w:val="single" w:sz="12" w:space="0" w:color="auto"/>
            </w:tcBorders>
          </w:tcPr>
          <w:p w14:paraId="7610E94A" w14:textId="77777777" w:rsidR="00C16E44" w:rsidRPr="00843036"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01D2A922" w14:textId="77777777" w:rsidR="00C16E44" w:rsidRPr="00843036" w:rsidRDefault="00C16E44" w:rsidP="00C16E44">
            <w:pPr>
              <w:shd w:val="solid" w:color="FFFFFF" w:fill="FFFFFF"/>
              <w:spacing w:before="0" w:after="48" w:line="240" w:lineRule="atLeast"/>
              <w:rPr>
                <w:rFonts w:ascii="Verdana" w:hAnsi="Verdana"/>
                <w:sz w:val="20"/>
              </w:rPr>
            </w:pPr>
          </w:p>
        </w:tc>
      </w:tr>
      <w:tr w:rsidR="00C16E44" w:rsidRPr="00843036" w14:paraId="01E29B09" w14:textId="77777777" w:rsidTr="00C16E44">
        <w:trPr>
          <w:gridAfter w:val="1"/>
          <w:wAfter w:w="33" w:type="dxa"/>
          <w:cantSplit/>
        </w:trPr>
        <w:tc>
          <w:tcPr>
            <w:tcW w:w="6771" w:type="dxa"/>
            <w:vMerge w:val="restart"/>
          </w:tcPr>
          <w:p w14:paraId="1FFF918E" w14:textId="77777777" w:rsidR="00C16E44" w:rsidRPr="00843036" w:rsidRDefault="00C16E44" w:rsidP="00C16E44">
            <w:pPr>
              <w:shd w:val="solid" w:color="FFFFFF" w:fill="FFFFFF"/>
              <w:spacing w:after="240"/>
              <w:rPr>
                <w:sz w:val="20"/>
              </w:rPr>
            </w:pPr>
            <w:bookmarkStart w:id="1" w:name="dnum" w:colFirst="1" w:colLast="1"/>
          </w:p>
        </w:tc>
        <w:tc>
          <w:tcPr>
            <w:tcW w:w="3262" w:type="dxa"/>
          </w:tcPr>
          <w:p w14:paraId="2A7FBF82" w14:textId="77777777" w:rsidR="00C16E44" w:rsidRPr="00843036" w:rsidRDefault="00101A67" w:rsidP="00C16E44">
            <w:pPr>
              <w:shd w:val="solid" w:color="FFFFFF" w:fill="FFFFFF"/>
              <w:spacing w:before="0" w:line="240" w:lineRule="atLeast"/>
              <w:rPr>
                <w:rFonts w:ascii="Verdana" w:hAnsi="Verdana"/>
                <w:sz w:val="20"/>
              </w:rPr>
            </w:pPr>
            <w:r w:rsidRPr="00843036">
              <w:rPr>
                <w:rFonts w:ascii="Verdana" w:hAnsi="Verdana"/>
                <w:b/>
                <w:sz w:val="20"/>
              </w:rPr>
              <w:t>Document</w:t>
            </w:r>
            <w:r w:rsidR="00843036">
              <w:rPr>
                <w:rFonts w:ascii="Verdana" w:hAnsi="Verdana"/>
                <w:b/>
                <w:sz w:val="20"/>
              </w:rPr>
              <w:t>o</w:t>
            </w:r>
            <w:r w:rsidRPr="00843036">
              <w:rPr>
                <w:rFonts w:ascii="Verdana" w:hAnsi="Verdana"/>
                <w:b/>
                <w:sz w:val="20"/>
              </w:rPr>
              <w:t xml:space="preserve"> RRB19-3/6-S</w:t>
            </w:r>
          </w:p>
        </w:tc>
      </w:tr>
      <w:tr w:rsidR="00101A67" w:rsidRPr="00843036" w14:paraId="4367CC7A" w14:textId="77777777" w:rsidTr="00C16E44">
        <w:trPr>
          <w:gridAfter w:val="1"/>
          <w:wAfter w:w="33" w:type="dxa"/>
          <w:cantSplit/>
        </w:trPr>
        <w:tc>
          <w:tcPr>
            <w:tcW w:w="6771" w:type="dxa"/>
            <w:vMerge/>
          </w:tcPr>
          <w:p w14:paraId="6D6257F5" w14:textId="77777777" w:rsidR="00101A67" w:rsidRPr="00843036" w:rsidRDefault="00101A67" w:rsidP="00101A67">
            <w:pPr>
              <w:spacing w:before="60"/>
              <w:jc w:val="center"/>
              <w:rPr>
                <w:b/>
                <w:smallCaps/>
                <w:sz w:val="32"/>
              </w:rPr>
            </w:pPr>
            <w:bookmarkStart w:id="2" w:name="ddate" w:colFirst="1" w:colLast="1"/>
            <w:bookmarkEnd w:id="1"/>
          </w:p>
        </w:tc>
        <w:tc>
          <w:tcPr>
            <w:tcW w:w="3262" w:type="dxa"/>
          </w:tcPr>
          <w:p w14:paraId="70D55697" w14:textId="77777777" w:rsidR="00101A67" w:rsidRPr="00843036" w:rsidRDefault="00101A67" w:rsidP="00101A67">
            <w:pPr>
              <w:shd w:val="solid" w:color="FFFFFF" w:fill="FFFFFF"/>
              <w:spacing w:before="0" w:line="240" w:lineRule="atLeast"/>
              <w:rPr>
                <w:rFonts w:ascii="Verdana" w:hAnsi="Verdana"/>
                <w:sz w:val="20"/>
                <w:lang w:eastAsia="zh-CN"/>
              </w:rPr>
            </w:pPr>
            <w:r w:rsidRPr="00843036">
              <w:rPr>
                <w:rFonts w:ascii="Verdana" w:hAnsi="Verdana"/>
                <w:b/>
                <w:sz w:val="20"/>
                <w:lang w:eastAsia="zh-CN"/>
              </w:rPr>
              <w:t>17 de octubre de 2019</w:t>
            </w:r>
          </w:p>
        </w:tc>
      </w:tr>
      <w:tr w:rsidR="00101A67" w:rsidRPr="00843036" w14:paraId="172E0681" w14:textId="77777777" w:rsidTr="00C16E44">
        <w:trPr>
          <w:gridAfter w:val="1"/>
          <w:wAfter w:w="33" w:type="dxa"/>
          <w:cantSplit/>
        </w:trPr>
        <w:tc>
          <w:tcPr>
            <w:tcW w:w="6771" w:type="dxa"/>
            <w:vMerge/>
          </w:tcPr>
          <w:p w14:paraId="001C3446" w14:textId="77777777" w:rsidR="00101A67" w:rsidRPr="00843036" w:rsidRDefault="00101A67" w:rsidP="00101A67">
            <w:pPr>
              <w:spacing w:before="60"/>
              <w:jc w:val="center"/>
              <w:rPr>
                <w:b/>
                <w:smallCaps/>
                <w:sz w:val="32"/>
              </w:rPr>
            </w:pPr>
            <w:bookmarkStart w:id="3" w:name="dorlang" w:colFirst="1" w:colLast="1"/>
            <w:bookmarkEnd w:id="2"/>
          </w:p>
        </w:tc>
        <w:tc>
          <w:tcPr>
            <w:tcW w:w="3262" w:type="dxa"/>
          </w:tcPr>
          <w:p w14:paraId="550E0DA3" w14:textId="77777777" w:rsidR="00101A67" w:rsidRPr="00843036" w:rsidRDefault="00101A67" w:rsidP="00101A67">
            <w:pPr>
              <w:shd w:val="solid" w:color="FFFFFF" w:fill="FFFFFF"/>
              <w:spacing w:before="0" w:line="240" w:lineRule="atLeast"/>
              <w:rPr>
                <w:rFonts w:ascii="Verdana" w:eastAsia="SimSun" w:hAnsi="Verdana"/>
                <w:sz w:val="20"/>
                <w:lang w:eastAsia="zh-CN"/>
              </w:rPr>
            </w:pPr>
            <w:r w:rsidRPr="00843036">
              <w:rPr>
                <w:rFonts w:ascii="Verdana" w:eastAsia="SimSun" w:hAnsi="Verdana"/>
                <w:b/>
                <w:sz w:val="20"/>
                <w:lang w:eastAsia="zh-CN"/>
              </w:rPr>
              <w:t>Original: inglés</w:t>
            </w:r>
          </w:p>
        </w:tc>
      </w:tr>
      <w:tr w:rsidR="00C16E44" w:rsidRPr="00843036" w14:paraId="5D3E67A2" w14:textId="77777777" w:rsidTr="00C16E44">
        <w:trPr>
          <w:gridAfter w:val="1"/>
          <w:wAfter w:w="33" w:type="dxa"/>
          <w:cantSplit/>
        </w:trPr>
        <w:tc>
          <w:tcPr>
            <w:tcW w:w="10033" w:type="dxa"/>
            <w:gridSpan w:val="2"/>
          </w:tcPr>
          <w:p w14:paraId="5BBC2E05" w14:textId="0337859C" w:rsidR="00C16E44" w:rsidRPr="00254CC8" w:rsidRDefault="00101A67" w:rsidP="00254CC8">
            <w:pPr>
              <w:pStyle w:val="Title1"/>
              <w:rPr>
                <w:rFonts w:asciiTheme="minorHAnsi" w:hAnsiTheme="minorHAnsi" w:cstheme="minorHAnsi"/>
              </w:rPr>
            </w:pPr>
            <w:bookmarkStart w:id="4" w:name="dsource" w:colFirst="0" w:colLast="0"/>
            <w:bookmarkEnd w:id="3"/>
            <w:r w:rsidRPr="00254CC8">
              <w:rPr>
                <w:rFonts w:asciiTheme="minorHAnsi" w:hAnsiTheme="minorHAnsi" w:cstheme="minorHAnsi"/>
              </w:rPr>
              <w:t xml:space="preserve">Resumen de decisiones </w:t>
            </w:r>
            <w:r w:rsidR="00B135C4">
              <w:rPr>
                <w:rFonts w:asciiTheme="minorHAnsi" w:hAnsiTheme="minorHAnsi" w:cstheme="minorHAnsi"/>
              </w:rPr>
              <w:br/>
            </w:r>
            <w:r w:rsidRPr="00254CC8">
              <w:rPr>
                <w:rFonts w:asciiTheme="minorHAnsi" w:hAnsiTheme="minorHAnsi" w:cstheme="minorHAnsi"/>
              </w:rPr>
              <w:t>de la 82</w:t>
            </w:r>
            <w:r w:rsidRPr="00254CC8">
              <w:rPr>
                <w:rFonts w:asciiTheme="minorHAnsi" w:hAnsiTheme="minorHAnsi" w:cstheme="minorHAnsi"/>
                <w:vertAlign w:val="superscript"/>
              </w:rPr>
              <w:t>a</w:t>
            </w:r>
            <w:r w:rsidRPr="00254CC8">
              <w:rPr>
                <w:rFonts w:asciiTheme="minorHAnsi" w:hAnsiTheme="minorHAnsi" w:cstheme="minorHAnsi"/>
              </w:rPr>
              <w:t xml:space="preserve"> reunión</w:t>
            </w:r>
            <w:r w:rsidR="00B135C4">
              <w:rPr>
                <w:rFonts w:asciiTheme="minorHAnsi" w:hAnsiTheme="minorHAnsi" w:cstheme="minorHAnsi"/>
              </w:rPr>
              <w:t xml:space="preserve"> </w:t>
            </w:r>
            <w:r w:rsidRPr="00254CC8">
              <w:rPr>
                <w:rFonts w:asciiTheme="minorHAnsi" w:hAnsiTheme="minorHAnsi" w:cstheme="minorHAnsi"/>
              </w:rPr>
              <w:t xml:space="preserve">de la Junta del Reglamento </w:t>
            </w:r>
            <w:r w:rsidR="00B135C4">
              <w:rPr>
                <w:rFonts w:asciiTheme="minorHAnsi" w:hAnsiTheme="minorHAnsi" w:cstheme="minorHAnsi"/>
              </w:rPr>
              <w:br/>
            </w:r>
            <w:r w:rsidRPr="00254CC8">
              <w:rPr>
                <w:rFonts w:asciiTheme="minorHAnsi" w:hAnsiTheme="minorHAnsi" w:cstheme="minorHAnsi"/>
              </w:rPr>
              <w:t>de Radiocomunicaciones</w:t>
            </w:r>
          </w:p>
        </w:tc>
      </w:tr>
      <w:tr w:rsidR="00C16E44" w:rsidRPr="00843036" w14:paraId="1AEC7CCB" w14:textId="77777777" w:rsidTr="00C16E44">
        <w:trPr>
          <w:gridAfter w:val="1"/>
          <w:wAfter w:w="33" w:type="dxa"/>
          <w:cantSplit/>
        </w:trPr>
        <w:tc>
          <w:tcPr>
            <w:tcW w:w="10033" w:type="dxa"/>
            <w:gridSpan w:val="2"/>
          </w:tcPr>
          <w:p w14:paraId="3E1A8852" w14:textId="76BBEAEA" w:rsidR="00C16E44" w:rsidRPr="00254CC8" w:rsidRDefault="00101A67" w:rsidP="00254CC8">
            <w:pPr>
              <w:jc w:val="center"/>
              <w:rPr>
                <w:rFonts w:asciiTheme="minorHAnsi" w:hAnsiTheme="minorHAnsi" w:cstheme="minorHAnsi"/>
              </w:rPr>
            </w:pPr>
            <w:bookmarkStart w:id="5" w:name="dtitle1" w:colFirst="0" w:colLast="0"/>
            <w:bookmarkEnd w:id="4"/>
            <w:r w:rsidRPr="00254CC8">
              <w:rPr>
                <w:rFonts w:asciiTheme="minorHAnsi" w:hAnsiTheme="minorHAnsi" w:cstheme="minorHAnsi"/>
              </w:rPr>
              <w:t>14</w:t>
            </w:r>
            <w:r w:rsidR="00254CC8">
              <w:rPr>
                <w:rFonts w:asciiTheme="minorHAnsi" w:hAnsiTheme="minorHAnsi" w:cstheme="minorHAnsi"/>
              </w:rPr>
              <w:t>-</w:t>
            </w:r>
            <w:r w:rsidRPr="00254CC8">
              <w:rPr>
                <w:rFonts w:asciiTheme="minorHAnsi" w:hAnsiTheme="minorHAnsi" w:cstheme="minorHAnsi"/>
              </w:rPr>
              <w:t>17 de octubre de 2019</w:t>
            </w:r>
          </w:p>
        </w:tc>
      </w:tr>
      <w:bookmarkEnd w:id="5"/>
    </w:tbl>
    <w:p w14:paraId="7D7C4AC3" w14:textId="77777777" w:rsidR="00E50C03" w:rsidRPr="00843036" w:rsidRDefault="00E50C03" w:rsidP="00075863">
      <w:pPr>
        <w:pStyle w:val="Normalaftertitle"/>
      </w:pPr>
    </w:p>
    <w:p w14:paraId="244D24EF" w14:textId="77777777" w:rsidR="00101A67" w:rsidRPr="00843036" w:rsidRDefault="00101A67" w:rsidP="00101A67">
      <w:pPr>
        <w:ind w:left="1588" w:hanging="1588"/>
        <w:rPr>
          <w:rFonts w:asciiTheme="minorHAnsi" w:hAnsiTheme="minorHAnsi"/>
          <w:u w:val="single"/>
        </w:rPr>
      </w:pPr>
      <w:r w:rsidRPr="00843036">
        <w:rPr>
          <w:rFonts w:asciiTheme="minorHAnsi" w:hAnsiTheme="minorHAnsi"/>
          <w:u w:val="single"/>
        </w:rPr>
        <w:t>Presentes</w:t>
      </w:r>
      <w:r w:rsidRPr="00843036">
        <w:rPr>
          <w:rFonts w:asciiTheme="minorHAnsi" w:hAnsiTheme="minorHAnsi"/>
        </w:rPr>
        <w:t>:</w:t>
      </w:r>
      <w:r w:rsidRPr="00843036">
        <w:rPr>
          <w:rFonts w:asciiTheme="minorHAnsi" w:hAnsiTheme="minorHAnsi"/>
        </w:rPr>
        <w:tab/>
      </w:r>
      <w:r w:rsidRPr="00843036">
        <w:rPr>
          <w:rFonts w:asciiTheme="minorHAnsi" w:hAnsiTheme="minorHAnsi"/>
        </w:rPr>
        <w:tab/>
      </w:r>
      <w:r w:rsidRPr="00843036">
        <w:rPr>
          <w:rFonts w:asciiTheme="minorHAnsi" w:hAnsiTheme="minorHAnsi"/>
          <w:u w:val="single"/>
        </w:rPr>
        <w:t>Miembros de la RRB</w:t>
      </w:r>
    </w:p>
    <w:p w14:paraId="3E8EB5AC" w14:textId="77777777" w:rsidR="00101A67" w:rsidRPr="00843036" w:rsidRDefault="00101A67" w:rsidP="00101A67">
      <w:pPr>
        <w:ind w:left="1588" w:hanging="1588"/>
        <w:rPr>
          <w:rFonts w:asciiTheme="minorHAnsi" w:hAnsiTheme="minorHAnsi"/>
        </w:rPr>
      </w:pPr>
      <w:r w:rsidRPr="00843036">
        <w:rPr>
          <w:rFonts w:asciiTheme="minorHAnsi" w:hAnsiTheme="minorHAnsi"/>
        </w:rPr>
        <w:tab/>
      </w:r>
      <w:r w:rsidRPr="00843036">
        <w:rPr>
          <w:rFonts w:asciiTheme="minorHAnsi" w:hAnsiTheme="minorHAnsi"/>
        </w:rPr>
        <w:tab/>
      </w:r>
      <w:r w:rsidRPr="00843036">
        <w:rPr>
          <w:rFonts w:asciiTheme="minorHAnsi" w:hAnsiTheme="minorHAnsi"/>
        </w:rPr>
        <w:tab/>
        <w:t>Sra. L. JEANTY, Presidenta</w:t>
      </w:r>
    </w:p>
    <w:p w14:paraId="03DC60F4" w14:textId="7032295C" w:rsidR="00101A67" w:rsidRPr="00843036" w:rsidRDefault="00101A67" w:rsidP="007E332C">
      <w:pPr>
        <w:tabs>
          <w:tab w:val="left" w:pos="5985"/>
        </w:tabs>
        <w:ind w:left="1588" w:hanging="1588"/>
        <w:rPr>
          <w:rFonts w:asciiTheme="minorHAnsi" w:hAnsiTheme="minorHAnsi"/>
        </w:rPr>
      </w:pPr>
      <w:r w:rsidRPr="00843036">
        <w:rPr>
          <w:rFonts w:asciiTheme="minorHAnsi" w:hAnsiTheme="minorHAnsi"/>
        </w:rPr>
        <w:tab/>
      </w:r>
      <w:r w:rsidRPr="00843036">
        <w:rPr>
          <w:rFonts w:asciiTheme="minorHAnsi" w:hAnsiTheme="minorHAnsi"/>
        </w:rPr>
        <w:tab/>
      </w:r>
      <w:r w:rsidRPr="00843036">
        <w:rPr>
          <w:rFonts w:asciiTheme="minorHAnsi" w:hAnsiTheme="minorHAnsi"/>
        </w:rPr>
        <w:tab/>
        <w:t>Sra. C. BEAUMIER, Vicepresidenta</w:t>
      </w:r>
    </w:p>
    <w:p w14:paraId="38801F79" w14:textId="72FB3807" w:rsidR="00101A67" w:rsidRPr="00843036" w:rsidRDefault="00101A67" w:rsidP="00101A67">
      <w:pPr>
        <w:ind w:left="1588" w:hanging="1588"/>
        <w:rPr>
          <w:rFonts w:asciiTheme="minorHAnsi" w:hAnsiTheme="minorHAnsi"/>
        </w:rPr>
      </w:pPr>
      <w:r w:rsidRPr="00843036">
        <w:rPr>
          <w:rFonts w:asciiTheme="minorHAnsi" w:hAnsiTheme="minorHAnsi"/>
        </w:rPr>
        <w:tab/>
      </w:r>
      <w:r w:rsidRPr="00843036">
        <w:rPr>
          <w:rFonts w:asciiTheme="minorHAnsi" w:hAnsiTheme="minorHAnsi"/>
        </w:rPr>
        <w:tab/>
      </w:r>
      <w:r w:rsidRPr="00843036">
        <w:rPr>
          <w:rFonts w:asciiTheme="minorHAnsi" w:hAnsiTheme="minorHAnsi"/>
        </w:rPr>
        <w:tab/>
        <w:t>Sr T. ALAMRI, Sr E. AZZOUZ, Sr L. F. BORJÓN FIGUEROA, Ms S. HASANOVA, Sr A.</w:t>
      </w:r>
      <w:r w:rsidR="005051A6">
        <w:rPr>
          <w:rFonts w:asciiTheme="minorHAnsi" w:hAnsiTheme="minorHAnsi"/>
        </w:rPr>
        <w:t> </w:t>
      </w:r>
      <w:r w:rsidRPr="00843036">
        <w:rPr>
          <w:rFonts w:asciiTheme="minorHAnsi" w:hAnsiTheme="minorHAnsi"/>
        </w:rPr>
        <w:t>HASHIMOTO, Sr Y. HENRI, Sr D. Q. HOAN, Sr S. M. MCHUNU, Sr H. TALIB, Sr</w:t>
      </w:r>
      <w:r w:rsidR="005051A6">
        <w:rPr>
          <w:rFonts w:asciiTheme="minorHAnsi" w:hAnsiTheme="minorHAnsi"/>
        </w:rPr>
        <w:t> </w:t>
      </w:r>
      <w:r w:rsidRPr="00843036">
        <w:rPr>
          <w:rFonts w:asciiTheme="minorHAnsi" w:hAnsiTheme="minorHAnsi"/>
        </w:rPr>
        <w:t>N. VARLAMOV</w:t>
      </w:r>
    </w:p>
    <w:p w14:paraId="26442C97" w14:textId="77777777" w:rsidR="00101A67" w:rsidRPr="00843036" w:rsidRDefault="00101A67" w:rsidP="00101A67">
      <w:pPr>
        <w:tabs>
          <w:tab w:val="left" w:pos="7365"/>
        </w:tabs>
        <w:spacing w:before="240"/>
        <w:ind w:left="1588" w:hanging="1588"/>
        <w:rPr>
          <w:rFonts w:asciiTheme="minorHAnsi" w:hAnsiTheme="minorHAnsi"/>
        </w:rPr>
      </w:pPr>
      <w:r w:rsidRPr="00843036">
        <w:rPr>
          <w:rFonts w:asciiTheme="minorHAnsi" w:hAnsiTheme="minorHAnsi"/>
        </w:rPr>
        <w:tab/>
      </w:r>
      <w:r w:rsidRPr="00843036">
        <w:rPr>
          <w:rFonts w:asciiTheme="minorHAnsi" w:hAnsiTheme="minorHAnsi"/>
        </w:rPr>
        <w:tab/>
      </w:r>
      <w:r w:rsidRPr="00843036">
        <w:rPr>
          <w:rFonts w:asciiTheme="minorHAnsi" w:hAnsiTheme="minorHAnsi"/>
        </w:rPr>
        <w:tab/>
      </w:r>
      <w:r w:rsidRPr="00843036">
        <w:rPr>
          <w:rFonts w:asciiTheme="minorHAnsi" w:hAnsiTheme="minorHAnsi"/>
          <w:u w:val="single"/>
        </w:rPr>
        <w:t>Secretario Ejecutivo de la RRB</w:t>
      </w:r>
      <w:r w:rsidRPr="00843036">
        <w:rPr>
          <w:rFonts w:asciiTheme="minorHAnsi" w:hAnsiTheme="minorHAnsi"/>
        </w:rPr>
        <w:br/>
        <w:t>Sr. M. MANIEWICZ, Director, BR</w:t>
      </w:r>
    </w:p>
    <w:p w14:paraId="206F6936" w14:textId="77777777" w:rsidR="00101A67" w:rsidRPr="00843036" w:rsidRDefault="00101A67" w:rsidP="00101A67">
      <w:pPr>
        <w:spacing w:before="240"/>
        <w:ind w:left="1588" w:hanging="1588"/>
        <w:rPr>
          <w:rFonts w:asciiTheme="minorHAnsi" w:hAnsiTheme="minorHAnsi"/>
        </w:rPr>
      </w:pPr>
      <w:r w:rsidRPr="00843036">
        <w:rPr>
          <w:rFonts w:asciiTheme="minorHAnsi" w:hAnsiTheme="minorHAnsi"/>
        </w:rPr>
        <w:tab/>
      </w:r>
      <w:r w:rsidRPr="00843036">
        <w:rPr>
          <w:rFonts w:asciiTheme="minorHAnsi" w:hAnsiTheme="minorHAnsi"/>
        </w:rPr>
        <w:tab/>
      </w:r>
      <w:r w:rsidRPr="00843036">
        <w:rPr>
          <w:rFonts w:asciiTheme="minorHAnsi" w:hAnsiTheme="minorHAnsi"/>
        </w:rPr>
        <w:tab/>
      </w:r>
      <w:r w:rsidRPr="00843036">
        <w:rPr>
          <w:rFonts w:asciiTheme="minorHAnsi" w:hAnsiTheme="minorHAnsi"/>
          <w:u w:val="single"/>
        </w:rPr>
        <w:t xml:space="preserve">Redactores de actas </w:t>
      </w:r>
      <w:r w:rsidRPr="00843036">
        <w:rPr>
          <w:rFonts w:asciiTheme="minorHAnsi" w:hAnsiTheme="minorHAnsi"/>
          <w:u w:val="single"/>
        </w:rPr>
        <w:br/>
      </w:r>
      <w:r w:rsidRPr="00843036">
        <w:rPr>
          <w:rFonts w:asciiTheme="minorHAnsi" w:hAnsiTheme="minorHAnsi"/>
        </w:rPr>
        <w:t>Sr. T. ELDRIDGE y Sra. S. MUTTI</w:t>
      </w:r>
    </w:p>
    <w:p w14:paraId="6D23F39D" w14:textId="77777777" w:rsidR="00101A67" w:rsidRPr="00843036" w:rsidRDefault="00101A67" w:rsidP="00101A67">
      <w:pPr>
        <w:pStyle w:val="Heading1"/>
        <w:rPr>
          <w:rFonts w:asciiTheme="minorHAnsi" w:hAnsiTheme="minorHAnsi"/>
          <w:b w:val="0"/>
          <w:bCs/>
        </w:rPr>
      </w:pPr>
      <w:r w:rsidRPr="00843036">
        <w:rPr>
          <w:rFonts w:asciiTheme="minorHAnsi" w:hAnsiTheme="minorHAnsi"/>
          <w:b w:val="0"/>
          <w:bCs/>
          <w:u w:val="single"/>
        </w:rPr>
        <w:t>También presentes</w:t>
      </w:r>
      <w:r w:rsidRPr="00843036">
        <w:rPr>
          <w:rFonts w:asciiTheme="minorHAnsi" w:hAnsiTheme="minorHAnsi"/>
          <w:b w:val="0"/>
          <w:bCs/>
        </w:rPr>
        <w:t>:</w:t>
      </w:r>
      <w:r w:rsidR="009174A7">
        <w:rPr>
          <w:rFonts w:asciiTheme="minorHAnsi" w:hAnsiTheme="minorHAnsi"/>
          <w:b w:val="0"/>
          <w:bCs/>
        </w:rPr>
        <w:tab/>
      </w:r>
      <w:r w:rsidRPr="00843036">
        <w:rPr>
          <w:rFonts w:asciiTheme="minorHAnsi" w:hAnsiTheme="minorHAnsi"/>
          <w:b w:val="0"/>
          <w:bCs/>
        </w:rPr>
        <w:t>Sra., J. WILSON, Directora Adjunta de la BR y Jefa de IAP</w:t>
      </w:r>
    </w:p>
    <w:p w14:paraId="1745B451" w14:textId="6B00EB93" w:rsidR="00101A67" w:rsidRPr="00361529" w:rsidRDefault="00101A67" w:rsidP="00101A67">
      <w:pPr>
        <w:pStyle w:val="Heading1"/>
        <w:spacing w:before="0"/>
        <w:rPr>
          <w:rFonts w:asciiTheme="minorHAnsi" w:hAnsiTheme="minorHAnsi"/>
          <w:b w:val="0"/>
          <w:bCs/>
          <w:lang w:val="en-US"/>
        </w:rPr>
      </w:pPr>
      <w:r w:rsidRPr="00843036">
        <w:rPr>
          <w:rFonts w:asciiTheme="minorHAnsi" w:hAnsiTheme="minorHAnsi"/>
          <w:b w:val="0"/>
          <w:bCs/>
        </w:rPr>
        <w:tab/>
      </w:r>
      <w:r w:rsidRPr="00843036">
        <w:rPr>
          <w:rFonts w:asciiTheme="minorHAnsi" w:hAnsiTheme="minorHAnsi"/>
          <w:b w:val="0"/>
          <w:bCs/>
        </w:rPr>
        <w:tab/>
      </w:r>
      <w:r w:rsidRPr="00843036">
        <w:rPr>
          <w:rFonts w:asciiTheme="minorHAnsi" w:hAnsiTheme="minorHAnsi"/>
          <w:b w:val="0"/>
          <w:bCs/>
        </w:rPr>
        <w:tab/>
      </w:r>
      <w:r w:rsidR="00267BC0">
        <w:rPr>
          <w:rFonts w:asciiTheme="minorHAnsi" w:hAnsiTheme="minorHAnsi"/>
          <w:b w:val="0"/>
          <w:bCs/>
        </w:rPr>
        <w:tab/>
      </w:r>
      <w:r w:rsidRPr="00361529">
        <w:rPr>
          <w:rFonts w:asciiTheme="minorHAnsi" w:hAnsiTheme="minorHAnsi"/>
          <w:b w:val="0"/>
          <w:bCs/>
          <w:lang w:val="en-US"/>
        </w:rPr>
        <w:t>Sr. A. VALLET, Jefe, SSD</w:t>
      </w:r>
    </w:p>
    <w:p w14:paraId="682338A7" w14:textId="1D5A60EA" w:rsidR="00101A67" w:rsidRPr="00361529" w:rsidRDefault="00101A67" w:rsidP="00101A67">
      <w:pPr>
        <w:spacing w:before="0"/>
        <w:ind w:left="1588" w:hanging="1588"/>
        <w:rPr>
          <w:rFonts w:asciiTheme="minorHAnsi" w:hAnsiTheme="minorHAnsi"/>
          <w:lang w:val="en-US"/>
        </w:rPr>
      </w:pPr>
      <w:r w:rsidRPr="00361529">
        <w:rPr>
          <w:rFonts w:asciiTheme="minorHAnsi" w:hAnsiTheme="minorHAnsi"/>
          <w:bCs/>
          <w:lang w:val="en-US"/>
        </w:rPr>
        <w:tab/>
      </w:r>
      <w:r w:rsidRPr="00361529">
        <w:rPr>
          <w:rFonts w:asciiTheme="minorHAnsi" w:hAnsiTheme="minorHAnsi"/>
          <w:bCs/>
          <w:lang w:val="en-US"/>
        </w:rPr>
        <w:tab/>
      </w:r>
      <w:r w:rsidRPr="00361529">
        <w:rPr>
          <w:rFonts w:asciiTheme="minorHAnsi" w:hAnsiTheme="minorHAnsi"/>
          <w:bCs/>
          <w:lang w:val="en-US"/>
        </w:rPr>
        <w:tab/>
      </w:r>
      <w:r w:rsidR="00267BC0">
        <w:rPr>
          <w:rFonts w:asciiTheme="minorHAnsi" w:hAnsiTheme="minorHAnsi"/>
          <w:bCs/>
          <w:lang w:val="en-US"/>
        </w:rPr>
        <w:tab/>
      </w:r>
      <w:r w:rsidRPr="00361529">
        <w:rPr>
          <w:rFonts w:asciiTheme="minorHAnsi" w:hAnsiTheme="minorHAnsi"/>
          <w:lang w:val="en-US"/>
        </w:rPr>
        <w:t>Sr. C.C. LOO, Director, SSD/SPR</w:t>
      </w:r>
    </w:p>
    <w:p w14:paraId="2A414579" w14:textId="2F44A3E3" w:rsidR="00101A67" w:rsidRPr="00361529" w:rsidRDefault="00101A67" w:rsidP="00101A67">
      <w:pPr>
        <w:spacing w:before="0"/>
        <w:ind w:left="1588" w:hanging="1588"/>
        <w:rPr>
          <w:rFonts w:asciiTheme="minorHAnsi" w:hAnsiTheme="minorHAnsi"/>
          <w:lang w:val="en-US"/>
        </w:rPr>
      </w:pPr>
      <w:r w:rsidRPr="00361529">
        <w:rPr>
          <w:rFonts w:asciiTheme="minorHAnsi" w:hAnsiTheme="minorHAnsi"/>
          <w:lang w:val="en-US"/>
        </w:rPr>
        <w:tab/>
      </w:r>
      <w:r w:rsidRPr="00361529">
        <w:rPr>
          <w:rFonts w:asciiTheme="minorHAnsi" w:hAnsiTheme="minorHAnsi"/>
          <w:lang w:val="en-US"/>
        </w:rPr>
        <w:tab/>
      </w:r>
      <w:r w:rsidR="00267BC0">
        <w:rPr>
          <w:rFonts w:asciiTheme="minorHAnsi" w:hAnsiTheme="minorHAnsi"/>
          <w:lang w:val="en-US"/>
        </w:rPr>
        <w:tab/>
      </w:r>
      <w:r w:rsidRPr="00361529">
        <w:rPr>
          <w:rFonts w:asciiTheme="minorHAnsi" w:hAnsiTheme="minorHAnsi"/>
          <w:lang w:val="en-US"/>
        </w:rPr>
        <w:tab/>
        <w:t>Sr. M. SAKAMOTO, Director, SSD/SSC</w:t>
      </w:r>
    </w:p>
    <w:p w14:paraId="2512EE87" w14:textId="774FFBC0" w:rsidR="00101A67" w:rsidRPr="00361529" w:rsidRDefault="00101A67" w:rsidP="00101A67">
      <w:pPr>
        <w:spacing w:before="0"/>
        <w:ind w:left="1588" w:hanging="1588"/>
        <w:rPr>
          <w:rFonts w:asciiTheme="minorHAnsi" w:hAnsiTheme="minorHAnsi"/>
          <w:lang w:val="en-US"/>
        </w:rPr>
      </w:pPr>
      <w:r w:rsidRPr="00361529">
        <w:rPr>
          <w:rFonts w:asciiTheme="minorHAnsi" w:hAnsiTheme="minorHAnsi"/>
          <w:lang w:val="en-US"/>
        </w:rPr>
        <w:tab/>
      </w:r>
      <w:r w:rsidRPr="00361529">
        <w:rPr>
          <w:rFonts w:asciiTheme="minorHAnsi" w:hAnsiTheme="minorHAnsi"/>
          <w:lang w:val="en-US"/>
        </w:rPr>
        <w:tab/>
      </w:r>
      <w:r w:rsidR="00267BC0">
        <w:rPr>
          <w:rFonts w:asciiTheme="minorHAnsi" w:hAnsiTheme="minorHAnsi"/>
          <w:lang w:val="en-US"/>
        </w:rPr>
        <w:tab/>
      </w:r>
      <w:r w:rsidRPr="00361529">
        <w:rPr>
          <w:rFonts w:asciiTheme="minorHAnsi" w:hAnsiTheme="minorHAnsi"/>
          <w:lang w:val="en-US"/>
        </w:rPr>
        <w:tab/>
        <w:t>Sr. J. WANG, Head, Director/SNP</w:t>
      </w:r>
    </w:p>
    <w:p w14:paraId="62557407" w14:textId="5279EF1B" w:rsidR="00101A67" w:rsidRPr="00361529" w:rsidRDefault="00101A67" w:rsidP="00101A67">
      <w:pPr>
        <w:spacing w:before="0"/>
        <w:ind w:left="1588" w:hanging="1588"/>
        <w:rPr>
          <w:rFonts w:asciiTheme="minorHAnsi" w:hAnsiTheme="minorHAnsi"/>
          <w:lang w:val="en-US"/>
        </w:rPr>
      </w:pPr>
      <w:r w:rsidRPr="00361529">
        <w:rPr>
          <w:rFonts w:asciiTheme="minorHAnsi" w:hAnsiTheme="minorHAnsi"/>
          <w:lang w:val="en-US"/>
        </w:rPr>
        <w:tab/>
      </w:r>
      <w:r w:rsidRPr="00361529">
        <w:rPr>
          <w:rFonts w:asciiTheme="minorHAnsi" w:hAnsiTheme="minorHAnsi"/>
          <w:lang w:val="en-US"/>
        </w:rPr>
        <w:tab/>
      </w:r>
      <w:r w:rsidR="00267BC0">
        <w:rPr>
          <w:rFonts w:asciiTheme="minorHAnsi" w:hAnsiTheme="minorHAnsi"/>
          <w:lang w:val="en-US"/>
        </w:rPr>
        <w:tab/>
      </w:r>
      <w:r w:rsidRPr="00361529">
        <w:rPr>
          <w:rFonts w:asciiTheme="minorHAnsi" w:hAnsiTheme="minorHAnsi"/>
          <w:lang w:val="en-US"/>
        </w:rPr>
        <w:tab/>
        <w:t>Sr. N. VASSILIEV, Jefe, TSD</w:t>
      </w:r>
    </w:p>
    <w:p w14:paraId="03511939" w14:textId="2AD6D07A" w:rsidR="00101A67" w:rsidRPr="00361529" w:rsidRDefault="00101A67" w:rsidP="00101A67">
      <w:pPr>
        <w:spacing w:before="0"/>
        <w:ind w:left="1588" w:hanging="1588"/>
        <w:rPr>
          <w:rFonts w:asciiTheme="minorHAnsi" w:hAnsiTheme="minorHAnsi"/>
          <w:lang w:val="en-US"/>
        </w:rPr>
      </w:pPr>
      <w:r w:rsidRPr="00361529">
        <w:rPr>
          <w:rFonts w:asciiTheme="minorHAnsi" w:hAnsiTheme="minorHAnsi"/>
          <w:lang w:val="en-US"/>
        </w:rPr>
        <w:tab/>
      </w:r>
      <w:r w:rsidRPr="00361529">
        <w:rPr>
          <w:rFonts w:asciiTheme="minorHAnsi" w:hAnsiTheme="minorHAnsi"/>
          <w:lang w:val="en-US"/>
        </w:rPr>
        <w:tab/>
      </w:r>
      <w:r w:rsidR="00267BC0">
        <w:rPr>
          <w:rFonts w:asciiTheme="minorHAnsi" w:hAnsiTheme="minorHAnsi"/>
          <w:lang w:val="en-US"/>
        </w:rPr>
        <w:tab/>
      </w:r>
      <w:r w:rsidRPr="00361529">
        <w:rPr>
          <w:rFonts w:asciiTheme="minorHAnsi" w:hAnsiTheme="minorHAnsi"/>
          <w:lang w:val="en-US"/>
        </w:rPr>
        <w:tab/>
        <w:t>Sr. K. BOGENS, Director TSD/FMD</w:t>
      </w:r>
    </w:p>
    <w:p w14:paraId="594149AA" w14:textId="0E08A0DB" w:rsidR="00101A67" w:rsidRPr="00843036" w:rsidRDefault="00101A67" w:rsidP="00101A67">
      <w:pPr>
        <w:spacing w:before="0"/>
        <w:ind w:left="1588" w:hanging="1588"/>
        <w:rPr>
          <w:rFonts w:asciiTheme="minorHAnsi" w:hAnsiTheme="minorHAnsi"/>
        </w:rPr>
      </w:pPr>
      <w:r w:rsidRPr="00361529">
        <w:rPr>
          <w:rFonts w:asciiTheme="minorHAnsi" w:hAnsiTheme="minorHAnsi"/>
          <w:lang w:val="en-US"/>
        </w:rPr>
        <w:tab/>
      </w:r>
      <w:r w:rsidRPr="00361529">
        <w:rPr>
          <w:rFonts w:asciiTheme="minorHAnsi" w:hAnsiTheme="minorHAnsi"/>
          <w:lang w:val="en-US"/>
        </w:rPr>
        <w:tab/>
      </w:r>
      <w:r w:rsidR="00267BC0">
        <w:rPr>
          <w:rFonts w:asciiTheme="minorHAnsi" w:hAnsiTheme="minorHAnsi"/>
          <w:lang w:val="en-US"/>
        </w:rPr>
        <w:tab/>
      </w:r>
      <w:r w:rsidRPr="00361529">
        <w:rPr>
          <w:rFonts w:asciiTheme="minorHAnsi" w:hAnsiTheme="minorHAnsi"/>
          <w:lang w:val="en-US"/>
        </w:rPr>
        <w:tab/>
      </w:r>
      <w:r w:rsidRPr="00843036">
        <w:rPr>
          <w:rFonts w:asciiTheme="minorHAnsi" w:hAnsiTheme="minorHAnsi"/>
        </w:rPr>
        <w:t>Sr. B. BA, Director, TSD/TPR</w:t>
      </w:r>
    </w:p>
    <w:p w14:paraId="38B3F42C" w14:textId="7C0F9E70" w:rsidR="00101A67" w:rsidRPr="00843036" w:rsidRDefault="00101A67" w:rsidP="00101A67">
      <w:pPr>
        <w:spacing w:before="0"/>
        <w:ind w:left="1588" w:hanging="1588"/>
        <w:rPr>
          <w:rFonts w:asciiTheme="minorHAnsi" w:hAnsiTheme="minorHAnsi"/>
        </w:rPr>
      </w:pPr>
      <w:r w:rsidRPr="00843036">
        <w:rPr>
          <w:rFonts w:asciiTheme="minorHAnsi" w:hAnsiTheme="minorHAnsi"/>
        </w:rPr>
        <w:tab/>
      </w:r>
      <w:r w:rsidR="00267BC0">
        <w:rPr>
          <w:rFonts w:asciiTheme="minorHAnsi" w:hAnsiTheme="minorHAnsi"/>
        </w:rPr>
        <w:tab/>
      </w:r>
      <w:r w:rsidRPr="00843036">
        <w:rPr>
          <w:rFonts w:asciiTheme="minorHAnsi" w:hAnsiTheme="minorHAnsi"/>
        </w:rPr>
        <w:tab/>
      </w:r>
      <w:r w:rsidRPr="00843036">
        <w:rPr>
          <w:rFonts w:asciiTheme="minorHAnsi" w:hAnsiTheme="minorHAnsi"/>
        </w:rPr>
        <w:tab/>
        <w:t>Sra. I. GHAZI, Directora TSD/BCD</w:t>
      </w:r>
    </w:p>
    <w:p w14:paraId="6AAB1EAA" w14:textId="7E3E2752" w:rsidR="00101A67" w:rsidRPr="00843036" w:rsidRDefault="00101A67" w:rsidP="00101A67">
      <w:pPr>
        <w:spacing w:before="0"/>
        <w:ind w:left="1588" w:hanging="1588"/>
        <w:rPr>
          <w:rFonts w:asciiTheme="minorHAnsi" w:hAnsiTheme="minorHAnsi"/>
        </w:rPr>
      </w:pPr>
      <w:r w:rsidRPr="00843036">
        <w:rPr>
          <w:rFonts w:asciiTheme="minorHAnsi" w:hAnsiTheme="minorHAnsi"/>
        </w:rPr>
        <w:tab/>
      </w:r>
      <w:r w:rsidR="00267BC0">
        <w:rPr>
          <w:rFonts w:asciiTheme="minorHAnsi" w:hAnsiTheme="minorHAnsi"/>
        </w:rPr>
        <w:tab/>
      </w:r>
      <w:r w:rsidRPr="00843036">
        <w:rPr>
          <w:rFonts w:asciiTheme="minorHAnsi" w:hAnsiTheme="minorHAnsi"/>
        </w:rPr>
        <w:tab/>
      </w:r>
      <w:r w:rsidRPr="00843036">
        <w:rPr>
          <w:rFonts w:asciiTheme="minorHAnsi" w:hAnsiTheme="minorHAnsi"/>
        </w:rPr>
        <w:tab/>
        <w:t>Sr. A. MANARA, TSD/BCD</w:t>
      </w:r>
    </w:p>
    <w:p w14:paraId="41C44210" w14:textId="31775FB7" w:rsidR="00101A67" w:rsidRPr="00843036" w:rsidRDefault="00101A67" w:rsidP="00101A67">
      <w:pPr>
        <w:spacing w:before="0"/>
        <w:ind w:left="1588" w:hanging="1588"/>
        <w:rPr>
          <w:rFonts w:asciiTheme="minorHAnsi" w:hAnsiTheme="minorHAnsi"/>
        </w:rPr>
      </w:pPr>
      <w:r w:rsidRPr="00843036">
        <w:rPr>
          <w:rFonts w:asciiTheme="minorHAnsi" w:hAnsiTheme="minorHAnsi"/>
        </w:rPr>
        <w:tab/>
      </w:r>
      <w:r w:rsidR="00267BC0">
        <w:rPr>
          <w:rFonts w:asciiTheme="minorHAnsi" w:hAnsiTheme="minorHAnsi"/>
        </w:rPr>
        <w:tab/>
      </w:r>
      <w:r w:rsidRPr="00843036">
        <w:rPr>
          <w:rFonts w:asciiTheme="minorHAnsi" w:hAnsiTheme="minorHAnsi"/>
        </w:rPr>
        <w:tab/>
      </w:r>
      <w:r w:rsidRPr="00843036">
        <w:rPr>
          <w:rFonts w:asciiTheme="minorHAnsi" w:hAnsiTheme="minorHAnsi"/>
        </w:rPr>
        <w:tab/>
        <w:t>Sr. D. BOTHA, SGD</w:t>
      </w:r>
    </w:p>
    <w:p w14:paraId="2149654F" w14:textId="4B9FAAC0" w:rsidR="000F186A" w:rsidRDefault="00101A67" w:rsidP="00267BC0">
      <w:pPr>
        <w:spacing w:before="0"/>
        <w:rPr>
          <w:rFonts w:asciiTheme="minorHAnsi" w:hAnsiTheme="minorHAnsi"/>
        </w:rPr>
      </w:pPr>
      <w:r w:rsidRPr="00843036">
        <w:rPr>
          <w:rFonts w:asciiTheme="minorHAnsi" w:hAnsiTheme="minorHAnsi"/>
        </w:rPr>
        <w:tab/>
      </w:r>
      <w:r w:rsidR="00267BC0">
        <w:rPr>
          <w:rFonts w:asciiTheme="minorHAnsi" w:hAnsiTheme="minorHAnsi"/>
        </w:rPr>
        <w:tab/>
      </w:r>
      <w:r w:rsidRPr="00843036">
        <w:rPr>
          <w:rFonts w:asciiTheme="minorHAnsi" w:hAnsiTheme="minorHAnsi"/>
        </w:rPr>
        <w:tab/>
      </w:r>
      <w:r w:rsidRPr="00843036">
        <w:rPr>
          <w:rFonts w:asciiTheme="minorHAnsi" w:hAnsiTheme="minorHAnsi"/>
        </w:rPr>
        <w:tab/>
        <w:t>Sra. K. GOZAL, Secretaria Administrativa</w:t>
      </w:r>
    </w:p>
    <w:p w14:paraId="0A040C6D" w14:textId="77777777" w:rsidR="00575F18" w:rsidRDefault="00575F18" w:rsidP="00101A67">
      <w:pPr>
        <w:rPr>
          <w:rFonts w:asciiTheme="minorHAnsi" w:hAnsiTheme="minorHAnsi"/>
        </w:rPr>
      </w:pPr>
    </w:p>
    <w:p w14:paraId="212745A4" w14:textId="4823370F" w:rsidR="00575F18" w:rsidRDefault="00575F18" w:rsidP="00101A67">
      <w:pPr>
        <w:rPr>
          <w:rFonts w:asciiTheme="minorHAnsi" w:hAnsiTheme="minorHAnsi"/>
        </w:rPr>
        <w:sectPr w:rsidR="00575F18">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tbl>
      <w:tblPr>
        <w:tblStyle w:val="GridTable1Light-Accent12"/>
        <w:tblW w:w="14029" w:type="dxa"/>
        <w:tblLayout w:type="fixed"/>
        <w:tblLook w:val="04A0" w:firstRow="1" w:lastRow="0" w:firstColumn="1" w:lastColumn="0" w:noHBand="0" w:noVBand="1"/>
      </w:tblPr>
      <w:tblGrid>
        <w:gridCol w:w="805"/>
        <w:gridCol w:w="3865"/>
        <w:gridCol w:w="6946"/>
        <w:gridCol w:w="2413"/>
      </w:tblGrid>
      <w:tr w:rsidR="00101A67" w:rsidRPr="00CC5819" w14:paraId="21B53389" w14:textId="77777777" w:rsidTr="005C3B64">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05" w:type="dxa"/>
            <w:shd w:val="clear" w:color="auto" w:fill="DBE5F1" w:themeFill="accent1" w:themeFillTint="33"/>
            <w:vAlign w:val="center"/>
          </w:tcPr>
          <w:p w14:paraId="7AA778A5" w14:textId="77777777" w:rsidR="00101A67" w:rsidRPr="00CC5819" w:rsidRDefault="00101A67" w:rsidP="00101A67">
            <w:pPr>
              <w:pStyle w:val="Tablehead"/>
              <w:rPr>
                <w:rFonts w:asciiTheme="minorHAnsi" w:hAnsiTheme="minorHAnsi" w:cstheme="minorHAnsi"/>
                <w:b/>
                <w:szCs w:val="22"/>
              </w:rPr>
            </w:pPr>
            <w:r w:rsidRPr="00CC5819">
              <w:rPr>
                <w:rFonts w:asciiTheme="minorHAnsi" w:hAnsiTheme="minorHAnsi" w:cstheme="minorHAnsi"/>
                <w:b/>
                <w:szCs w:val="22"/>
              </w:rPr>
              <w:lastRenderedPageBreak/>
              <w:br w:type="page"/>
              <w:t>Punto núm.</w:t>
            </w:r>
          </w:p>
        </w:tc>
        <w:tc>
          <w:tcPr>
            <w:tcW w:w="3865" w:type="dxa"/>
            <w:shd w:val="clear" w:color="auto" w:fill="DBE5F1" w:themeFill="accent1" w:themeFillTint="33"/>
            <w:vAlign w:val="center"/>
          </w:tcPr>
          <w:p w14:paraId="05CC4A81" w14:textId="77777777" w:rsidR="00101A67" w:rsidRPr="00CC5819" w:rsidRDefault="00101A67" w:rsidP="00101A67">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CC5819">
              <w:rPr>
                <w:rFonts w:asciiTheme="minorHAnsi" w:hAnsiTheme="minorHAnsi" w:cstheme="minorHAnsi"/>
                <w:b/>
                <w:szCs w:val="22"/>
              </w:rPr>
              <w:t>Asunto</w:t>
            </w:r>
          </w:p>
        </w:tc>
        <w:tc>
          <w:tcPr>
            <w:tcW w:w="6946" w:type="dxa"/>
            <w:shd w:val="clear" w:color="auto" w:fill="DBE5F1" w:themeFill="accent1" w:themeFillTint="33"/>
            <w:vAlign w:val="center"/>
          </w:tcPr>
          <w:p w14:paraId="0952F462" w14:textId="77777777" w:rsidR="00101A67" w:rsidRPr="00CC5819" w:rsidRDefault="00101A67" w:rsidP="00101A67">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CC5819">
              <w:rPr>
                <w:rFonts w:asciiTheme="minorHAnsi" w:hAnsiTheme="minorHAnsi" w:cstheme="minorHAnsi"/>
                <w:b/>
                <w:szCs w:val="22"/>
              </w:rPr>
              <w:t>Acción/decisión y motivos</w:t>
            </w:r>
          </w:p>
        </w:tc>
        <w:tc>
          <w:tcPr>
            <w:tcW w:w="2413" w:type="dxa"/>
            <w:shd w:val="clear" w:color="auto" w:fill="DBE5F1" w:themeFill="accent1" w:themeFillTint="33"/>
            <w:vAlign w:val="center"/>
          </w:tcPr>
          <w:p w14:paraId="4E760BF2" w14:textId="77777777" w:rsidR="00101A67" w:rsidRPr="00CC5819" w:rsidRDefault="00101A67" w:rsidP="006C663C">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CC5819">
              <w:rPr>
                <w:rFonts w:asciiTheme="minorHAnsi" w:hAnsiTheme="minorHAnsi" w:cstheme="minorHAnsi"/>
                <w:b/>
                <w:szCs w:val="22"/>
              </w:rPr>
              <w:t>Seguimiento</w:t>
            </w:r>
          </w:p>
        </w:tc>
      </w:tr>
      <w:tr w:rsidR="00101A67" w:rsidRPr="00CC5819" w14:paraId="6DCE309A" w14:textId="77777777" w:rsidTr="005C3B64">
        <w:trPr>
          <w:trHeight w:val="650"/>
        </w:trPr>
        <w:tc>
          <w:tcPr>
            <w:cnfStyle w:val="001000000000" w:firstRow="0" w:lastRow="0" w:firstColumn="1" w:lastColumn="0" w:oddVBand="0" w:evenVBand="0" w:oddHBand="0" w:evenHBand="0" w:firstRowFirstColumn="0" w:firstRowLastColumn="0" w:lastRowFirstColumn="0" w:lastRowLastColumn="0"/>
            <w:tcW w:w="805" w:type="dxa"/>
          </w:tcPr>
          <w:p w14:paraId="3F86C278"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1</w:t>
            </w:r>
          </w:p>
        </w:tc>
        <w:tc>
          <w:tcPr>
            <w:tcW w:w="3865" w:type="dxa"/>
          </w:tcPr>
          <w:p w14:paraId="2FDF5C2C"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 xml:space="preserve">Apertura de la reunión </w:t>
            </w:r>
          </w:p>
        </w:tc>
        <w:tc>
          <w:tcPr>
            <w:tcW w:w="6946" w:type="dxa"/>
          </w:tcPr>
          <w:p w14:paraId="26DFD103"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Presidenta, Sra. L. JEANTY, dio la bienvenida a los miembros del Consejo a la 82ª reunión.</w:t>
            </w:r>
          </w:p>
          <w:p w14:paraId="73622F70" w14:textId="75A48996"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 Director de la Oficina de Radiocomunicaciones, Sr. M. MANIEWICZ, en nombre del Secretario General, Sr. H. ZHAO, también dio la bienvenida a los miembros de la Junta, deseó a la Junta una reunión fructífera e indicó además que la Oficina estaba plenamente dedicada a la preparación de la</w:t>
            </w:r>
            <w:r w:rsidR="004C0624">
              <w:rPr>
                <w:rFonts w:asciiTheme="minorHAnsi" w:hAnsiTheme="minorHAnsi" w:cstheme="minorHAnsi"/>
                <w:szCs w:val="22"/>
              </w:rPr>
              <w:t> </w:t>
            </w:r>
            <w:r w:rsidRPr="00CC5819">
              <w:rPr>
                <w:rFonts w:asciiTheme="minorHAnsi" w:hAnsiTheme="minorHAnsi" w:cstheme="minorHAnsi"/>
                <w:szCs w:val="22"/>
              </w:rPr>
              <w:t>CMR-19.</w:t>
            </w:r>
          </w:p>
          <w:p w14:paraId="18C2C33E"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 Sr. E. AZZOUZ indicó que se iban a adoptar todas las medidas prácticas para cumplir las exigencias de los miembros de la Junta y de las administraciones durante la CMR-19, y que podían dirigirse a él para cualquier problema administrativo y solicitud durante la Conferencia.</w:t>
            </w:r>
          </w:p>
        </w:tc>
        <w:tc>
          <w:tcPr>
            <w:tcW w:w="2413" w:type="dxa"/>
          </w:tcPr>
          <w:p w14:paraId="02C8D634" w14:textId="531E50F5"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3201BB75" w14:textId="77777777" w:rsidTr="005C3B64">
        <w:trPr>
          <w:trHeight w:val="982"/>
        </w:trPr>
        <w:tc>
          <w:tcPr>
            <w:cnfStyle w:val="001000000000" w:firstRow="0" w:lastRow="0" w:firstColumn="1" w:lastColumn="0" w:oddVBand="0" w:evenVBand="0" w:oddHBand="0" w:evenHBand="0" w:firstRowFirstColumn="0" w:firstRowLastColumn="0" w:lastRowFirstColumn="0" w:lastRowLastColumn="0"/>
            <w:tcW w:w="805" w:type="dxa"/>
          </w:tcPr>
          <w:p w14:paraId="1A2B6821"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2</w:t>
            </w:r>
          </w:p>
        </w:tc>
        <w:tc>
          <w:tcPr>
            <w:tcW w:w="3865" w:type="dxa"/>
          </w:tcPr>
          <w:p w14:paraId="0E467EDA" w14:textId="31CF4836"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 xml:space="preserve">Adopción del orden del día </w:t>
            </w:r>
            <w:r w:rsidRPr="00CC5819">
              <w:rPr>
                <w:rFonts w:asciiTheme="minorHAnsi" w:hAnsiTheme="minorHAnsi" w:cstheme="minorHAnsi"/>
                <w:szCs w:val="22"/>
              </w:rPr>
              <w:br/>
            </w:r>
            <w:hyperlink r:id="rId11" w:history="1">
              <w:r w:rsidRPr="00CC5819">
                <w:rPr>
                  <w:rFonts w:asciiTheme="minorHAnsi" w:hAnsiTheme="minorHAnsi" w:cstheme="minorHAnsi"/>
                  <w:color w:val="0000FF" w:themeColor="hyperlink"/>
                  <w:szCs w:val="22"/>
                  <w:u w:val="single"/>
                </w:rPr>
                <w:t>RRB19-3/OJ/1(Rev.1)</w:t>
              </w:r>
            </w:hyperlink>
          </w:p>
        </w:tc>
        <w:tc>
          <w:tcPr>
            <w:tcW w:w="6946" w:type="dxa"/>
          </w:tcPr>
          <w:p w14:paraId="417D21E6"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 proyecto de orden del día se adoptó con las modificaciones que figuraban en el Documento RRB19-3/OJ/1(Rev.1). La Junta decidió incluir el Documento RRB19</w:t>
            </w:r>
            <w:r w:rsidRPr="00CC5819">
              <w:rPr>
                <w:rFonts w:asciiTheme="minorHAnsi" w:hAnsiTheme="minorHAnsi" w:cstheme="minorHAnsi"/>
                <w:szCs w:val="22"/>
              </w:rPr>
              <w:noBreakHyphen/>
              <w:t xml:space="preserve">3/DELAYED/1 en el punto 5.1 del </w:t>
            </w:r>
            <w:r w:rsidR="00843036" w:rsidRPr="00CC5819">
              <w:rPr>
                <w:rFonts w:asciiTheme="minorHAnsi" w:hAnsiTheme="minorHAnsi" w:cstheme="minorHAnsi"/>
                <w:szCs w:val="22"/>
              </w:rPr>
              <w:t>orden del día para información.</w:t>
            </w:r>
          </w:p>
          <w:p w14:paraId="788A50F0"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pidió a la Oficina que respetara los plazos para la publicación de todos los documentos antes de la reunión.</w:t>
            </w:r>
          </w:p>
        </w:tc>
        <w:tc>
          <w:tcPr>
            <w:tcW w:w="2413" w:type="dxa"/>
          </w:tcPr>
          <w:p w14:paraId="6D5005F7" w14:textId="26E425D3"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70051D70" w14:textId="77777777" w:rsidTr="005C3B64">
        <w:trPr>
          <w:trHeight w:val="1139"/>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0781528C"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3</w:t>
            </w:r>
          </w:p>
        </w:tc>
        <w:tc>
          <w:tcPr>
            <w:tcW w:w="3865" w:type="dxa"/>
            <w:vMerge w:val="restart"/>
          </w:tcPr>
          <w:p w14:paraId="007A0139" w14:textId="19E05D8C" w:rsidR="00101A67" w:rsidRPr="00267BC0" w:rsidRDefault="00101A67" w:rsidP="00267B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themeColor="hyperlink"/>
                <w:szCs w:val="22"/>
                <w:u w:val="single"/>
              </w:rPr>
            </w:pPr>
            <w:r w:rsidRPr="00CC5819">
              <w:rPr>
                <w:rFonts w:asciiTheme="minorHAnsi" w:hAnsiTheme="minorHAnsi" w:cstheme="minorHAnsi"/>
                <w:szCs w:val="22"/>
              </w:rPr>
              <w:t>Informe del Director de la BR</w:t>
            </w:r>
            <w:r w:rsidRPr="00CC5819">
              <w:rPr>
                <w:rFonts w:asciiTheme="minorHAnsi" w:hAnsiTheme="minorHAnsi" w:cstheme="minorHAnsi"/>
                <w:szCs w:val="22"/>
              </w:rPr>
              <w:br/>
            </w:r>
            <w:hyperlink r:id="rId12" w:history="1">
              <w:r w:rsidRPr="00CC5819">
                <w:rPr>
                  <w:rFonts w:asciiTheme="minorHAnsi" w:hAnsiTheme="minorHAnsi" w:cstheme="minorHAnsi"/>
                  <w:color w:val="0000FF" w:themeColor="hyperlink"/>
                  <w:szCs w:val="22"/>
                  <w:u w:val="single"/>
                </w:rPr>
                <w:t>RRB19-3/2</w:t>
              </w:r>
            </w:hyperlink>
            <w:r w:rsidRPr="00CC5819">
              <w:rPr>
                <w:rFonts w:asciiTheme="minorHAnsi" w:hAnsiTheme="minorHAnsi" w:cstheme="minorHAnsi"/>
                <w:color w:val="0000FF" w:themeColor="hyperlink"/>
                <w:szCs w:val="22"/>
                <w:u w:val="single"/>
              </w:rPr>
              <w:t xml:space="preserve">; </w:t>
            </w:r>
            <w:hyperlink r:id="rId13" w:history="1">
              <w:r w:rsidRPr="00CC5819">
                <w:rPr>
                  <w:rFonts w:asciiTheme="minorHAnsi" w:hAnsiTheme="minorHAnsi" w:cstheme="minorHAnsi"/>
                  <w:color w:val="0000FF" w:themeColor="hyperlink"/>
                  <w:szCs w:val="22"/>
                  <w:u w:val="single"/>
                </w:rPr>
                <w:t>RRB19-3/2(Add.1)</w:t>
              </w:r>
            </w:hyperlink>
            <w:r w:rsidRPr="00CC5819">
              <w:rPr>
                <w:rFonts w:asciiTheme="minorHAnsi" w:hAnsiTheme="minorHAnsi" w:cstheme="minorHAnsi"/>
                <w:color w:val="0000FF" w:themeColor="hyperlink"/>
                <w:szCs w:val="22"/>
                <w:u w:val="single"/>
              </w:rPr>
              <w:t>;</w:t>
            </w:r>
            <w:r w:rsidRPr="00CC5819">
              <w:rPr>
                <w:rFonts w:asciiTheme="minorHAnsi" w:hAnsiTheme="minorHAnsi" w:cstheme="minorHAnsi"/>
                <w:color w:val="0000FF" w:themeColor="hyperlink"/>
                <w:szCs w:val="22"/>
                <w:u w:val="single"/>
              </w:rPr>
              <w:br/>
            </w:r>
            <w:hyperlink r:id="rId14" w:history="1">
              <w:r w:rsidRPr="00CC5819">
                <w:rPr>
                  <w:rFonts w:asciiTheme="minorHAnsi" w:hAnsiTheme="minorHAnsi" w:cstheme="minorHAnsi"/>
                  <w:color w:val="0000FF" w:themeColor="hyperlink"/>
                  <w:szCs w:val="22"/>
                  <w:u w:val="single"/>
                </w:rPr>
                <w:t>RRB19-3/2(Add.2)</w:t>
              </w:r>
            </w:hyperlink>
            <w:r w:rsidRPr="00CC5819">
              <w:rPr>
                <w:rFonts w:asciiTheme="minorHAnsi" w:hAnsiTheme="minorHAnsi" w:cstheme="minorHAnsi"/>
                <w:color w:val="0000FF" w:themeColor="hyperlink"/>
                <w:szCs w:val="22"/>
                <w:u w:val="single"/>
              </w:rPr>
              <w:t xml:space="preserve">; </w:t>
            </w:r>
            <w:hyperlink r:id="rId15" w:history="1">
              <w:r w:rsidRPr="00CC5819">
                <w:rPr>
                  <w:rFonts w:asciiTheme="minorHAnsi" w:hAnsiTheme="minorHAnsi" w:cstheme="minorHAnsi"/>
                  <w:color w:val="0000FF" w:themeColor="hyperlink"/>
                  <w:szCs w:val="22"/>
                  <w:u w:val="single"/>
                </w:rPr>
                <w:t>RRB19-3/2(Add.3)</w:t>
              </w:r>
            </w:hyperlink>
            <w:r w:rsidRPr="00CC5819">
              <w:rPr>
                <w:rFonts w:asciiTheme="minorHAnsi" w:hAnsiTheme="minorHAnsi" w:cstheme="minorHAnsi"/>
                <w:color w:val="0000FF" w:themeColor="hyperlink"/>
                <w:szCs w:val="22"/>
                <w:u w:val="single"/>
              </w:rPr>
              <w:t>;</w:t>
            </w:r>
            <w:r w:rsidRPr="00CC5819">
              <w:rPr>
                <w:rFonts w:asciiTheme="minorHAnsi" w:hAnsiTheme="minorHAnsi" w:cstheme="minorHAnsi"/>
                <w:color w:val="0000FF" w:themeColor="hyperlink"/>
                <w:szCs w:val="22"/>
                <w:u w:val="single"/>
              </w:rPr>
              <w:br/>
            </w:r>
            <w:hyperlink r:id="rId16" w:history="1">
              <w:r w:rsidRPr="00CC5819">
                <w:rPr>
                  <w:rFonts w:asciiTheme="minorHAnsi" w:hAnsiTheme="minorHAnsi" w:cstheme="minorHAnsi"/>
                  <w:color w:val="0000FF" w:themeColor="hyperlink"/>
                  <w:szCs w:val="22"/>
                  <w:u w:val="single"/>
                </w:rPr>
                <w:t>RRB19-3/2(Add.4)</w:t>
              </w:r>
            </w:hyperlink>
            <w:r w:rsidRPr="00CC5819">
              <w:rPr>
                <w:rFonts w:asciiTheme="minorHAnsi" w:hAnsiTheme="minorHAnsi" w:cstheme="minorHAnsi"/>
                <w:color w:val="0000FF" w:themeColor="hyperlink"/>
                <w:szCs w:val="22"/>
                <w:u w:val="single"/>
              </w:rPr>
              <w:t>;</w:t>
            </w:r>
            <w:r w:rsidRPr="00CC5819">
              <w:rPr>
                <w:rFonts w:asciiTheme="minorHAnsi" w:hAnsiTheme="minorHAnsi" w:cstheme="minorHAnsi"/>
                <w:color w:val="0000FF" w:themeColor="hyperlink"/>
                <w:szCs w:val="22"/>
                <w:u w:val="single"/>
              </w:rPr>
              <w:br/>
            </w:r>
            <w:hyperlink r:id="rId17" w:history="1">
              <w:r w:rsidRPr="00CC5819">
                <w:rPr>
                  <w:rFonts w:asciiTheme="minorHAnsi" w:hAnsiTheme="minorHAnsi" w:cstheme="minorHAnsi"/>
                  <w:color w:val="0000FF" w:themeColor="hyperlink"/>
                  <w:szCs w:val="22"/>
                  <w:u w:val="single"/>
                </w:rPr>
                <w:t>RRB19-3/2(Add.4)(Corr.1)</w:t>
              </w:r>
            </w:hyperlink>
            <w:r w:rsidRPr="00CC5819">
              <w:rPr>
                <w:rFonts w:asciiTheme="minorHAnsi" w:hAnsiTheme="minorHAnsi" w:cstheme="minorHAnsi"/>
                <w:color w:val="0000FF" w:themeColor="hyperlink"/>
                <w:szCs w:val="22"/>
                <w:u w:val="single"/>
              </w:rPr>
              <w:t>;</w:t>
            </w:r>
            <w:r w:rsidRPr="00CC5819">
              <w:rPr>
                <w:rFonts w:asciiTheme="minorHAnsi" w:hAnsiTheme="minorHAnsi" w:cstheme="minorHAnsi"/>
                <w:color w:val="0000FF" w:themeColor="hyperlink"/>
                <w:szCs w:val="22"/>
                <w:u w:val="single"/>
              </w:rPr>
              <w:br/>
            </w:r>
            <w:hyperlink r:id="rId18" w:history="1">
              <w:r w:rsidRPr="00CC5819">
                <w:rPr>
                  <w:rFonts w:asciiTheme="minorHAnsi" w:hAnsiTheme="minorHAnsi" w:cstheme="minorHAnsi"/>
                  <w:color w:val="0000FF" w:themeColor="hyperlink"/>
                  <w:szCs w:val="22"/>
                  <w:u w:val="single"/>
                </w:rPr>
                <w:t>RRB19-3/2(Add.5)</w:t>
              </w:r>
            </w:hyperlink>
            <w:r w:rsidRPr="00CC5819">
              <w:rPr>
                <w:rFonts w:asciiTheme="minorHAnsi" w:hAnsiTheme="minorHAnsi" w:cstheme="minorHAnsi"/>
                <w:color w:val="0000FF" w:themeColor="hyperlink"/>
                <w:szCs w:val="22"/>
                <w:u w:val="single"/>
              </w:rPr>
              <w:t xml:space="preserve">; </w:t>
            </w:r>
            <w:hyperlink r:id="rId19" w:history="1">
              <w:r w:rsidRPr="00CC5819">
                <w:rPr>
                  <w:rFonts w:asciiTheme="minorHAnsi" w:hAnsiTheme="minorHAnsi" w:cstheme="minorHAnsi"/>
                  <w:color w:val="0000FF" w:themeColor="hyperlink"/>
                  <w:szCs w:val="22"/>
                  <w:u w:val="single"/>
                </w:rPr>
                <w:t>RRB19-3/2(Add.6)</w:t>
              </w:r>
            </w:hyperlink>
            <w:r w:rsidRPr="00CC5819">
              <w:rPr>
                <w:rFonts w:asciiTheme="minorHAnsi" w:hAnsiTheme="minorHAnsi" w:cstheme="minorHAnsi"/>
                <w:color w:val="0000FF" w:themeColor="hyperlink"/>
                <w:szCs w:val="22"/>
                <w:u w:val="single"/>
              </w:rPr>
              <w:t xml:space="preserve">; </w:t>
            </w:r>
            <w:hyperlink r:id="rId20" w:history="1">
              <w:r w:rsidRPr="00CC5819">
                <w:rPr>
                  <w:rFonts w:asciiTheme="minorHAnsi" w:hAnsiTheme="minorHAnsi" w:cstheme="minorHAnsi"/>
                  <w:color w:val="0000FF" w:themeColor="hyperlink"/>
                  <w:szCs w:val="22"/>
                  <w:u w:val="single"/>
                </w:rPr>
                <w:t>RRB19-3/2(Add.7)</w:t>
              </w:r>
            </w:hyperlink>
          </w:p>
        </w:tc>
        <w:tc>
          <w:tcPr>
            <w:tcW w:w="6946" w:type="dxa"/>
          </w:tcPr>
          <w:p w14:paraId="638D9590" w14:textId="0F42371C"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Cs w:val="22"/>
                <w:lang w:eastAsia="zh-CN"/>
              </w:rPr>
            </w:pPr>
            <w:r w:rsidRPr="00CC5819">
              <w:rPr>
                <w:rFonts w:asciiTheme="minorHAnsi" w:eastAsiaTheme="minorEastAsia" w:hAnsiTheme="minorHAnsi" w:cstheme="minorHAnsi"/>
                <w:szCs w:val="22"/>
                <w:lang w:eastAsia="zh-CN"/>
              </w:rPr>
              <w:t xml:space="preserve">La Junta examinó detalladamente el Informe del Director, que figuraba en el Documento RRB19-3/2 y sus </w:t>
            </w:r>
            <w:proofErr w:type="spellStart"/>
            <w:r w:rsidR="001D254E" w:rsidRPr="00CC5819">
              <w:rPr>
                <w:rFonts w:asciiTheme="minorHAnsi" w:eastAsiaTheme="minorEastAsia" w:hAnsiTheme="minorHAnsi" w:cstheme="minorHAnsi"/>
                <w:szCs w:val="22"/>
                <w:lang w:eastAsia="zh-CN"/>
              </w:rPr>
              <w:t>Addenda</w:t>
            </w:r>
            <w:proofErr w:type="spellEnd"/>
            <w:r w:rsidRPr="00CC5819">
              <w:rPr>
                <w:rFonts w:asciiTheme="minorHAnsi" w:eastAsiaTheme="minorEastAsia" w:hAnsiTheme="minorHAnsi" w:cstheme="minorHAnsi"/>
                <w:szCs w:val="22"/>
                <w:lang w:eastAsia="zh-CN"/>
              </w:rPr>
              <w:t>, y expresó su agradecimiento a la Oficina por la amplia y detallada información facilitada.</w:t>
            </w:r>
          </w:p>
        </w:tc>
        <w:tc>
          <w:tcPr>
            <w:tcW w:w="2413" w:type="dxa"/>
          </w:tcPr>
          <w:p w14:paraId="49AF9572" w14:textId="2610C964"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24105D1F" w14:textId="77777777" w:rsidTr="005C3B64">
        <w:trPr>
          <w:trHeight w:val="566"/>
        </w:trPr>
        <w:tc>
          <w:tcPr>
            <w:cnfStyle w:val="001000000000" w:firstRow="0" w:lastRow="0" w:firstColumn="1" w:lastColumn="0" w:oddVBand="0" w:evenVBand="0" w:oddHBand="0" w:evenHBand="0" w:firstRowFirstColumn="0" w:firstRowLastColumn="0" w:lastRowFirstColumn="0" w:lastRowLastColumn="0"/>
            <w:tcW w:w="805" w:type="dxa"/>
            <w:vMerge/>
          </w:tcPr>
          <w:p w14:paraId="0F474887" w14:textId="77777777" w:rsidR="00101A67" w:rsidRPr="00CC5819" w:rsidRDefault="00101A67" w:rsidP="00101A67">
            <w:pPr>
              <w:pStyle w:val="Tabletext"/>
              <w:rPr>
                <w:rFonts w:asciiTheme="minorHAnsi" w:hAnsiTheme="minorHAnsi" w:cstheme="minorHAnsi"/>
                <w:szCs w:val="22"/>
              </w:rPr>
            </w:pPr>
          </w:p>
        </w:tc>
        <w:tc>
          <w:tcPr>
            <w:tcW w:w="3865" w:type="dxa"/>
            <w:vMerge/>
          </w:tcPr>
          <w:p w14:paraId="3CB619D1"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3109384D" w14:textId="0CDA284A"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a)</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Junta tomó nota con agrado de la información proporcionada en el párrafo 2 del Informe del Director sobre la tramitación de las notificaciones. La Junta expresó además su reconocimiento por los esfuerzos de la Oficina y por el hecho de que se hubieran respetado todos los plazos reglamentarios, cuando procedía, y todos los indicadores de resultados en la tramitación de las notificaciones. Al tomar nota de algunos casos en los que se superaron ligeramente los plazos reglamentarios como consecuencia de la fecha de publicación de la BR IFIC, </w:t>
            </w:r>
            <w:r w:rsidR="00106BF6">
              <w:rPr>
                <w:rFonts w:asciiTheme="minorHAnsi" w:eastAsiaTheme="minorEastAsia" w:hAnsiTheme="minorHAnsi" w:cstheme="minorHAnsi"/>
                <w:sz w:val="22"/>
                <w:szCs w:val="22"/>
                <w:lang w:eastAsia="zh-CN"/>
              </w:rPr>
              <w:t>e</w:t>
            </w:r>
            <w:r w:rsidR="00FE7410">
              <w:rPr>
                <w:rFonts w:asciiTheme="minorHAnsi" w:eastAsiaTheme="minorEastAsia" w:hAnsiTheme="minorHAnsi" w:cstheme="minorHAnsi"/>
                <w:sz w:val="22"/>
                <w:szCs w:val="22"/>
                <w:lang w:eastAsia="zh-CN"/>
              </w:rPr>
              <w:t xml:space="preserve">l </w:t>
            </w:r>
            <w:r w:rsidR="00106BF6">
              <w:rPr>
                <w:rFonts w:asciiTheme="minorHAnsi" w:eastAsiaTheme="minorEastAsia" w:hAnsiTheme="minorHAnsi" w:cstheme="minorHAnsi"/>
                <w:sz w:val="22"/>
                <w:szCs w:val="22"/>
                <w:lang w:eastAsia="zh-CN"/>
              </w:rPr>
              <w:t>Consejo</w:t>
            </w:r>
            <w:r w:rsidR="00101A67" w:rsidRPr="00CC5819">
              <w:rPr>
                <w:rFonts w:asciiTheme="minorHAnsi" w:eastAsiaTheme="minorEastAsia" w:hAnsiTheme="minorHAnsi" w:cstheme="minorHAnsi"/>
                <w:sz w:val="22"/>
                <w:szCs w:val="22"/>
                <w:lang w:eastAsia="zh-CN"/>
              </w:rPr>
              <w:t xml:space="preserve"> encargó a la </w:t>
            </w:r>
            <w:r w:rsidR="00106BF6">
              <w:rPr>
                <w:rFonts w:asciiTheme="minorHAnsi" w:eastAsiaTheme="minorEastAsia" w:hAnsiTheme="minorHAnsi" w:cstheme="minorHAnsi"/>
                <w:sz w:val="22"/>
                <w:szCs w:val="22"/>
                <w:lang w:eastAsia="zh-CN"/>
              </w:rPr>
              <w:t>Mes</w:t>
            </w:r>
            <w:r w:rsidR="00FE7410">
              <w:rPr>
                <w:rFonts w:asciiTheme="minorHAnsi" w:eastAsiaTheme="minorEastAsia" w:hAnsiTheme="minorHAnsi" w:cstheme="minorHAnsi"/>
                <w:sz w:val="22"/>
                <w:szCs w:val="22"/>
                <w:lang w:eastAsia="zh-CN"/>
              </w:rPr>
              <w:t>a</w:t>
            </w:r>
            <w:r w:rsidR="00101A67" w:rsidRPr="00CC5819">
              <w:rPr>
                <w:rFonts w:asciiTheme="minorHAnsi" w:eastAsiaTheme="minorEastAsia" w:hAnsiTheme="minorHAnsi" w:cstheme="minorHAnsi"/>
                <w:sz w:val="22"/>
                <w:szCs w:val="22"/>
                <w:lang w:eastAsia="zh-CN"/>
              </w:rPr>
              <w:t xml:space="preserve"> que siguiera observando esos plazos </w:t>
            </w:r>
            <w:r w:rsidR="00101A67" w:rsidRPr="00CC5819">
              <w:rPr>
                <w:rFonts w:asciiTheme="minorHAnsi" w:eastAsiaTheme="minorEastAsia" w:hAnsiTheme="minorHAnsi" w:cstheme="minorHAnsi"/>
                <w:sz w:val="22"/>
                <w:szCs w:val="22"/>
                <w:lang w:eastAsia="zh-CN"/>
              </w:rPr>
              <w:lastRenderedPageBreak/>
              <w:t>reglamentarios e indicadores de resultados en la tramitación de las notificaciones y que adoptara las medidas necesarias para eliminar esos retrasos en la medida de lo posible.</w:t>
            </w:r>
          </w:p>
        </w:tc>
        <w:tc>
          <w:tcPr>
            <w:tcW w:w="2413" w:type="dxa"/>
          </w:tcPr>
          <w:p w14:paraId="49C19F7D"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lastRenderedPageBreak/>
              <w:t xml:space="preserve">La Oficina seguirá observando los plazos reglamentarios y los indicadores de resultados en la tramitación de las notificaciones y tomará las medidas necesarias para eliminar los </w:t>
            </w:r>
            <w:r w:rsidRPr="00CC5819">
              <w:rPr>
                <w:rFonts w:asciiTheme="minorHAnsi" w:hAnsiTheme="minorHAnsi" w:cstheme="minorHAnsi"/>
                <w:szCs w:val="22"/>
              </w:rPr>
              <w:lastRenderedPageBreak/>
              <w:t>retrasos en la medida de lo posible.</w:t>
            </w:r>
          </w:p>
        </w:tc>
      </w:tr>
      <w:tr w:rsidR="00101A67" w:rsidRPr="00CC5819" w14:paraId="5EC3A52C" w14:textId="77777777" w:rsidTr="005C3B64">
        <w:trPr>
          <w:trHeight w:val="437"/>
        </w:trPr>
        <w:tc>
          <w:tcPr>
            <w:cnfStyle w:val="001000000000" w:firstRow="0" w:lastRow="0" w:firstColumn="1" w:lastColumn="0" w:oddVBand="0" w:evenVBand="0" w:oddHBand="0" w:evenHBand="0" w:firstRowFirstColumn="0" w:firstRowLastColumn="0" w:lastRowFirstColumn="0" w:lastRowLastColumn="0"/>
            <w:tcW w:w="805" w:type="dxa"/>
            <w:vMerge/>
          </w:tcPr>
          <w:p w14:paraId="22D13885" w14:textId="77777777" w:rsidR="00101A67" w:rsidRPr="00CC5819" w:rsidRDefault="00101A67" w:rsidP="00101A67">
            <w:pPr>
              <w:pStyle w:val="Tabletext"/>
              <w:rPr>
                <w:rFonts w:asciiTheme="minorHAnsi" w:hAnsiTheme="minorHAnsi" w:cstheme="minorHAnsi"/>
                <w:szCs w:val="22"/>
              </w:rPr>
            </w:pPr>
          </w:p>
        </w:tc>
        <w:tc>
          <w:tcPr>
            <w:tcW w:w="3865" w:type="dxa"/>
            <w:vMerge/>
          </w:tcPr>
          <w:p w14:paraId="4F71FA04"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62915207" w14:textId="77777777"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b)</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La Junta toma nota del párrafo 3 del Informe del Director sobre la implementación de la recuperación de costes para las notificaciones de redes de satélites (pagos retrasados).</w:t>
            </w:r>
          </w:p>
        </w:tc>
        <w:tc>
          <w:tcPr>
            <w:tcW w:w="2413" w:type="dxa"/>
          </w:tcPr>
          <w:p w14:paraId="7C04C9EE" w14:textId="4F203080"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4BC6ADDB"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tcPr>
          <w:p w14:paraId="12A4709D" w14:textId="77777777" w:rsidR="00101A67" w:rsidRPr="00CC5819" w:rsidRDefault="00101A67" w:rsidP="00101A67">
            <w:pPr>
              <w:pStyle w:val="Tabletext"/>
              <w:rPr>
                <w:rFonts w:asciiTheme="minorHAnsi" w:hAnsiTheme="minorHAnsi" w:cstheme="minorHAnsi"/>
                <w:szCs w:val="22"/>
              </w:rPr>
            </w:pPr>
          </w:p>
        </w:tc>
        <w:tc>
          <w:tcPr>
            <w:tcW w:w="3865" w:type="dxa"/>
            <w:vMerge/>
          </w:tcPr>
          <w:p w14:paraId="4980F287"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72E5076C" w14:textId="77777777"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c)</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Junta toma nota con agrado de la información facilitada en el párrafo 4.1 del Informe del Director sobre casos de interferencia perjudicial e infracciones al Reglamento de Radiocomunicaciones (RR). La Junta también tomó nota con agrado de que el </w:t>
            </w:r>
            <w:r w:rsidR="001B3B9D" w:rsidRPr="00CC5819">
              <w:rPr>
                <w:rFonts w:asciiTheme="minorHAnsi" w:eastAsiaTheme="minorEastAsia" w:hAnsiTheme="minorHAnsi" w:cstheme="minorHAnsi"/>
                <w:sz w:val="22"/>
                <w:szCs w:val="22"/>
                <w:lang w:eastAsia="zh-CN"/>
              </w:rPr>
              <w:t>«</w:t>
            </w:r>
            <w:r w:rsidR="00101A67" w:rsidRPr="00CC5819">
              <w:rPr>
                <w:rFonts w:asciiTheme="minorHAnsi" w:eastAsiaTheme="minorEastAsia" w:hAnsiTheme="minorHAnsi" w:cstheme="minorHAnsi"/>
                <w:sz w:val="22"/>
                <w:szCs w:val="22"/>
                <w:lang w:eastAsia="zh-CN"/>
              </w:rPr>
              <w:t>Sistema de notificación y resolución de interferencia de satélites</w:t>
            </w:r>
            <w:r w:rsidR="001B3B9D" w:rsidRPr="00CC5819">
              <w:rPr>
                <w:rFonts w:asciiTheme="minorHAnsi" w:eastAsiaTheme="minorEastAsia" w:hAnsiTheme="minorHAnsi" w:cstheme="minorHAnsi"/>
                <w:sz w:val="22"/>
                <w:szCs w:val="22"/>
                <w:lang w:eastAsia="zh-CN"/>
              </w:rPr>
              <w:t>»</w:t>
            </w:r>
            <w:r w:rsidR="00101A67" w:rsidRPr="00CC5819">
              <w:rPr>
                <w:rFonts w:asciiTheme="minorHAnsi" w:eastAsiaTheme="minorEastAsia" w:hAnsiTheme="minorHAnsi" w:cstheme="minorHAnsi"/>
                <w:sz w:val="22"/>
                <w:szCs w:val="22"/>
                <w:lang w:eastAsia="zh-CN"/>
              </w:rPr>
              <w:t xml:space="preserve"> (SIRRS) en línea para informar de casos de interferencia perjudicial a los sistemas espaciales facilitaba el intercambio de información sobre interferencia perjudicial entre las administraciones, lo cual a facilitaba a su vez la rápida solución de los casos de interf</w:t>
            </w:r>
            <w:r w:rsidRPr="00CC5819">
              <w:rPr>
                <w:rFonts w:asciiTheme="minorHAnsi" w:eastAsiaTheme="minorEastAsia" w:hAnsiTheme="minorHAnsi" w:cstheme="minorHAnsi"/>
                <w:sz w:val="22"/>
                <w:szCs w:val="22"/>
                <w:lang w:eastAsia="zh-CN"/>
              </w:rPr>
              <w:t>erencia perjudicial.</w:t>
            </w:r>
          </w:p>
        </w:tc>
        <w:tc>
          <w:tcPr>
            <w:tcW w:w="2413" w:type="dxa"/>
          </w:tcPr>
          <w:p w14:paraId="575AA707" w14:textId="68AE49C7"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015BE0A6"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tcPr>
          <w:p w14:paraId="20087D22" w14:textId="77777777" w:rsidR="00101A67" w:rsidRPr="00CC5819" w:rsidRDefault="00101A67" w:rsidP="00101A67">
            <w:pPr>
              <w:pStyle w:val="Tabletext"/>
              <w:rPr>
                <w:rFonts w:asciiTheme="minorHAnsi" w:hAnsiTheme="minorHAnsi" w:cstheme="minorHAnsi"/>
                <w:szCs w:val="22"/>
              </w:rPr>
            </w:pPr>
          </w:p>
        </w:tc>
        <w:tc>
          <w:tcPr>
            <w:tcW w:w="3865" w:type="dxa"/>
            <w:vMerge/>
          </w:tcPr>
          <w:p w14:paraId="00B53B46"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43AFAF91" w14:textId="77777777"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d)</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En lo que atañe al párrafo 4.2 del Informe del Director y sus </w:t>
            </w:r>
            <w:proofErr w:type="spellStart"/>
            <w:r w:rsidR="00101A67" w:rsidRPr="00CC5819">
              <w:rPr>
                <w:rFonts w:asciiTheme="minorHAnsi" w:eastAsiaTheme="minorEastAsia" w:hAnsiTheme="minorHAnsi" w:cstheme="minorHAnsi"/>
                <w:sz w:val="22"/>
                <w:szCs w:val="22"/>
                <w:lang w:eastAsia="zh-CN"/>
              </w:rPr>
              <w:t>Addenda</w:t>
            </w:r>
            <w:proofErr w:type="spellEnd"/>
            <w:r w:rsidR="00101A67" w:rsidRPr="00CC5819">
              <w:rPr>
                <w:rFonts w:asciiTheme="minorHAnsi" w:eastAsiaTheme="minorEastAsia" w:hAnsiTheme="minorHAnsi" w:cstheme="minorHAnsi"/>
                <w:sz w:val="22"/>
                <w:szCs w:val="22"/>
                <w:lang w:eastAsia="zh-CN"/>
              </w:rPr>
              <w:t xml:space="preserve"> 1, 5 y 7 relativos a la interferencia perjudicial de los transmisores del servicio de radiodifusión de Italia a sus vecinos, la Junta tomó nota con satisfacción de los esfuerzos de las administraciones en sus reuniones de coordinación bilaterales. No obstante, la Junta señaló una vez más los lentos avances en la solución de los casos de interferencia perjudicial de las estaciones de radiodifusión de sonido de Italia a sus vecinos.</w:t>
            </w:r>
            <w:r w:rsidR="00843036"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sz w:val="22"/>
                <w:szCs w:val="22"/>
                <w:lang w:eastAsia="zh-CN"/>
              </w:rPr>
              <w:t>La Junta alentó a las administraciones a seguir realizando todos los esfuerzos posibles para resolver los casos de interferencia perjudicial y encargó a la Oficina que siguiera prestando asistencia a las administraciones interesadas en sus esfuerzos de coordinación y a que informara de los avances a las futuras reuniones de la Junta.</w:t>
            </w:r>
          </w:p>
        </w:tc>
        <w:tc>
          <w:tcPr>
            <w:tcW w:w="2413" w:type="dxa"/>
          </w:tcPr>
          <w:p w14:paraId="45EF1DED"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Oficina seguirá prestando asistencia a las administraciones en sus esfuerzos de coordinación e informará a la Junta de los progresos realizados.</w:t>
            </w:r>
          </w:p>
        </w:tc>
      </w:tr>
      <w:tr w:rsidR="00101A67" w:rsidRPr="00CC5819" w14:paraId="2AB05653"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tcPr>
          <w:p w14:paraId="3CC5E1B9" w14:textId="77777777" w:rsidR="00101A67" w:rsidRPr="00CC5819" w:rsidRDefault="00101A67" w:rsidP="00101A67">
            <w:pPr>
              <w:pStyle w:val="Tabletext"/>
              <w:rPr>
                <w:rFonts w:asciiTheme="minorHAnsi" w:hAnsiTheme="minorHAnsi" w:cstheme="minorHAnsi"/>
                <w:szCs w:val="22"/>
              </w:rPr>
            </w:pPr>
          </w:p>
        </w:tc>
        <w:tc>
          <w:tcPr>
            <w:tcW w:w="3865" w:type="dxa"/>
            <w:vMerge/>
          </w:tcPr>
          <w:p w14:paraId="0E715080"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2C29F8B9" w14:textId="77777777" w:rsidR="00101A67" w:rsidRPr="00CC5819" w:rsidRDefault="00AC6B21" w:rsidP="009174A7">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e</w:t>
            </w:r>
            <w:r w:rsidR="00101A67" w:rsidRPr="00CC5819">
              <w:rPr>
                <w:rFonts w:asciiTheme="minorHAnsi" w:eastAsiaTheme="minorEastAsia" w:hAnsiTheme="minorHAnsi" w:cstheme="minorHAnsi"/>
                <w:sz w:val="22"/>
                <w:szCs w:val="22"/>
                <w:lang w:eastAsia="zh-CN"/>
              </w:rPr>
              <w:t>)</w:t>
            </w:r>
            <w:r w:rsidR="00101A67" w:rsidRPr="00CC5819">
              <w:rPr>
                <w:rFonts w:asciiTheme="minorHAnsi" w:eastAsiaTheme="minorEastAsia" w:hAnsiTheme="minorHAnsi" w:cstheme="minorHAnsi"/>
                <w:sz w:val="22"/>
                <w:szCs w:val="22"/>
                <w:lang w:eastAsia="zh-CN"/>
              </w:rPr>
              <w:tab/>
              <w:t>La Junta toma nota del párrafo 5 del Informe del Director sobre la implementación de los números</w:t>
            </w:r>
            <w:r w:rsidR="00843036"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b/>
                <w:sz w:val="22"/>
                <w:szCs w:val="22"/>
                <w:lang w:eastAsia="zh-CN"/>
              </w:rPr>
              <w:t>11.44.1</w:t>
            </w:r>
            <w:r w:rsidR="00101A67"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b/>
                <w:sz w:val="22"/>
                <w:szCs w:val="22"/>
                <w:lang w:eastAsia="zh-CN"/>
              </w:rPr>
              <w:t>11.47</w:t>
            </w:r>
            <w:r w:rsidR="00101A67"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b/>
                <w:sz w:val="22"/>
                <w:szCs w:val="22"/>
                <w:lang w:eastAsia="zh-CN"/>
              </w:rPr>
              <w:t>11.48</w:t>
            </w:r>
            <w:r w:rsidR="00101A67"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b/>
                <w:sz w:val="22"/>
                <w:szCs w:val="22"/>
                <w:lang w:eastAsia="zh-CN"/>
              </w:rPr>
              <w:t>11.49</w:t>
            </w:r>
            <w:r w:rsidR="00101A67" w:rsidRPr="00CC5819">
              <w:rPr>
                <w:rFonts w:asciiTheme="minorHAnsi" w:eastAsiaTheme="minorEastAsia" w:hAnsiTheme="minorHAnsi" w:cstheme="minorHAnsi"/>
                <w:sz w:val="22"/>
                <w:szCs w:val="22"/>
                <w:lang w:eastAsia="zh-CN"/>
              </w:rPr>
              <w:t xml:space="preserve"> y </w:t>
            </w:r>
            <w:r w:rsidR="00101A67" w:rsidRPr="00CC5819">
              <w:rPr>
                <w:rFonts w:asciiTheme="minorHAnsi" w:eastAsiaTheme="minorEastAsia" w:hAnsiTheme="minorHAnsi" w:cstheme="minorHAnsi"/>
                <w:b/>
                <w:sz w:val="22"/>
                <w:szCs w:val="22"/>
                <w:lang w:eastAsia="zh-CN"/>
              </w:rPr>
              <w:lastRenderedPageBreak/>
              <w:t>9.38.1</w:t>
            </w:r>
            <w:r w:rsidR="00101A67" w:rsidRPr="00CC5819">
              <w:rPr>
                <w:rFonts w:asciiTheme="minorHAnsi" w:eastAsiaTheme="minorEastAsia" w:hAnsiTheme="minorHAnsi" w:cstheme="minorHAnsi"/>
                <w:sz w:val="22"/>
                <w:szCs w:val="22"/>
                <w:lang w:eastAsia="zh-CN"/>
              </w:rPr>
              <w:t xml:space="preserve"> del RR, la Res. </w:t>
            </w:r>
            <w:r w:rsidR="00101A67" w:rsidRPr="00CC5819">
              <w:rPr>
                <w:rFonts w:asciiTheme="minorHAnsi" w:eastAsiaTheme="minorEastAsia" w:hAnsiTheme="minorHAnsi" w:cstheme="minorHAnsi"/>
                <w:b/>
                <w:sz w:val="22"/>
                <w:szCs w:val="22"/>
                <w:lang w:eastAsia="zh-CN"/>
              </w:rPr>
              <w:t>49</w:t>
            </w:r>
            <w:r w:rsidR="00101A67" w:rsidRPr="00CC5819">
              <w:rPr>
                <w:rFonts w:asciiTheme="minorHAnsi" w:eastAsiaTheme="minorEastAsia" w:hAnsiTheme="minorHAnsi" w:cstheme="minorHAnsi"/>
                <w:sz w:val="22"/>
                <w:szCs w:val="22"/>
                <w:lang w:eastAsia="zh-CN"/>
              </w:rPr>
              <w:t xml:space="preserve"> y el número </w:t>
            </w:r>
            <w:r w:rsidR="00101A67" w:rsidRPr="00CC5819">
              <w:rPr>
                <w:rFonts w:asciiTheme="minorHAnsi" w:eastAsiaTheme="minorEastAsia" w:hAnsiTheme="minorHAnsi" w:cstheme="minorHAnsi"/>
                <w:b/>
                <w:sz w:val="22"/>
                <w:szCs w:val="22"/>
                <w:lang w:eastAsia="zh-CN"/>
              </w:rPr>
              <w:t>13.6</w:t>
            </w:r>
            <w:r w:rsidR="00101A67" w:rsidRPr="00CC5819">
              <w:rPr>
                <w:rFonts w:asciiTheme="minorHAnsi" w:eastAsiaTheme="minorEastAsia" w:hAnsiTheme="minorHAnsi" w:cstheme="minorHAnsi"/>
                <w:sz w:val="22"/>
                <w:szCs w:val="22"/>
                <w:lang w:eastAsia="zh-CN"/>
              </w:rPr>
              <w:t xml:space="preserve"> y expresó su satisfacción por la información facilitada en esta sección.</w:t>
            </w:r>
          </w:p>
        </w:tc>
        <w:tc>
          <w:tcPr>
            <w:tcW w:w="2413" w:type="dxa"/>
          </w:tcPr>
          <w:p w14:paraId="613789DA" w14:textId="26BF0A05"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lastRenderedPageBreak/>
              <w:t>–</w:t>
            </w:r>
          </w:p>
        </w:tc>
      </w:tr>
      <w:tr w:rsidR="00101A67" w:rsidRPr="00CC5819" w14:paraId="558FF811"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tcPr>
          <w:p w14:paraId="49EC77BB" w14:textId="77777777" w:rsidR="00101A67" w:rsidRPr="00CC5819" w:rsidRDefault="00101A67" w:rsidP="00101A67">
            <w:pPr>
              <w:pStyle w:val="Tabletext"/>
              <w:rPr>
                <w:rFonts w:asciiTheme="minorHAnsi" w:hAnsiTheme="minorHAnsi" w:cstheme="minorHAnsi"/>
                <w:szCs w:val="22"/>
              </w:rPr>
            </w:pPr>
          </w:p>
        </w:tc>
        <w:tc>
          <w:tcPr>
            <w:tcW w:w="3865" w:type="dxa"/>
            <w:vMerge/>
          </w:tcPr>
          <w:p w14:paraId="0FBA2903"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73C41707" w14:textId="77777777"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f)</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La Junta toma nota del párrafo 6 del Informe del Director sobre el trabajo del Consejo en relación con la recuperación de costes para las notificaciones de redes de satélites.</w:t>
            </w:r>
          </w:p>
        </w:tc>
        <w:tc>
          <w:tcPr>
            <w:tcW w:w="2413" w:type="dxa"/>
          </w:tcPr>
          <w:p w14:paraId="44B45790" w14:textId="5DE8D354"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62D2AED1"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tcPr>
          <w:p w14:paraId="0F2C8C54" w14:textId="77777777" w:rsidR="00101A67" w:rsidRPr="00CC5819" w:rsidRDefault="00101A67" w:rsidP="00101A67">
            <w:pPr>
              <w:pStyle w:val="Tabletext"/>
              <w:rPr>
                <w:rFonts w:asciiTheme="minorHAnsi" w:hAnsiTheme="minorHAnsi" w:cstheme="minorHAnsi"/>
                <w:szCs w:val="22"/>
              </w:rPr>
            </w:pPr>
          </w:p>
        </w:tc>
        <w:tc>
          <w:tcPr>
            <w:tcW w:w="3865" w:type="dxa"/>
            <w:vMerge/>
          </w:tcPr>
          <w:p w14:paraId="3B10386D"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78517321" w14:textId="77777777"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g)</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Al examinar el párrafo 7 del Informe del Director sobre el examen de las conclusiones relativas a asignaciones de frecuencias de sistemas de satélites no OSG del SFS a tenor de la Resolución </w:t>
            </w:r>
            <w:r w:rsidR="00101A67" w:rsidRPr="00CC5819">
              <w:rPr>
                <w:rFonts w:asciiTheme="minorHAnsi" w:eastAsiaTheme="minorEastAsia" w:hAnsiTheme="minorHAnsi" w:cstheme="minorHAnsi"/>
                <w:b/>
                <w:sz w:val="22"/>
                <w:szCs w:val="22"/>
                <w:lang w:eastAsia="zh-CN"/>
              </w:rPr>
              <w:t>85 (CMR-03)</w:t>
            </w:r>
            <w:r w:rsidR="00101A67" w:rsidRPr="00CC5819">
              <w:rPr>
                <w:rFonts w:asciiTheme="minorHAnsi" w:eastAsiaTheme="minorEastAsia" w:hAnsiTheme="minorHAnsi" w:cstheme="minorHAnsi"/>
                <w:sz w:val="22"/>
                <w:szCs w:val="22"/>
                <w:lang w:eastAsia="zh-CN"/>
              </w:rPr>
              <w:t>, la Junta observó el importante retraso en el examen de algunos casos. La Junta encargó a la Oficina</w:t>
            </w:r>
            <w:r w:rsidR="00843036"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sz w:val="22"/>
                <w:szCs w:val="22"/>
                <w:lang w:eastAsia="zh-CN"/>
              </w:rPr>
              <w:t>que prosiguiere sus esfuerzos para reducir estos retrasos en el examen de</w:t>
            </w:r>
            <w:r w:rsidRPr="00CC5819">
              <w:rPr>
                <w:rFonts w:asciiTheme="minorHAnsi" w:eastAsiaTheme="minorEastAsia" w:hAnsiTheme="minorHAnsi" w:cstheme="minorHAnsi"/>
                <w:sz w:val="22"/>
                <w:szCs w:val="22"/>
                <w:lang w:eastAsia="zh-CN"/>
              </w:rPr>
              <w:t xml:space="preserve"> las conclusiones por medio de:</w:t>
            </w:r>
          </w:p>
          <w:p w14:paraId="67BAA868" w14:textId="77777777" w:rsidR="00101A67" w:rsidRPr="00CC5819" w:rsidRDefault="00AC6B21" w:rsidP="00AC6B21">
            <w:pPr>
              <w:pStyle w:val="enumlev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El incremento de los recursos humanos disponibles para examinar los límites de </w:t>
            </w:r>
            <w:proofErr w:type="spellStart"/>
            <w:r w:rsidR="00101A67" w:rsidRPr="00CC5819">
              <w:rPr>
                <w:rFonts w:asciiTheme="minorHAnsi" w:eastAsiaTheme="minorEastAsia" w:hAnsiTheme="minorHAnsi" w:cstheme="minorHAnsi"/>
                <w:sz w:val="22"/>
                <w:szCs w:val="22"/>
                <w:lang w:eastAsia="zh-CN"/>
              </w:rPr>
              <w:t>dfpe</w:t>
            </w:r>
            <w:proofErr w:type="spellEnd"/>
            <w:r w:rsidR="00101A67" w:rsidRPr="00CC5819">
              <w:rPr>
                <w:rFonts w:asciiTheme="minorHAnsi" w:eastAsiaTheme="minorEastAsia" w:hAnsiTheme="minorHAnsi" w:cstheme="minorHAnsi"/>
                <w:sz w:val="22"/>
                <w:szCs w:val="22"/>
                <w:lang w:eastAsia="zh-CN"/>
              </w:rPr>
              <w:t xml:space="preserve"> con arreglo al Artículo </w:t>
            </w:r>
            <w:r w:rsidR="00101A67" w:rsidRPr="00CC5819">
              <w:rPr>
                <w:rFonts w:asciiTheme="minorHAnsi" w:eastAsiaTheme="minorEastAsia" w:hAnsiTheme="minorHAnsi" w:cstheme="minorHAnsi"/>
                <w:b/>
                <w:sz w:val="22"/>
                <w:szCs w:val="22"/>
                <w:lang w:eastAsia="zh-CN"/>
              </w:rPr>
              <w:t>22</w:t>
            </w:r>
            <w:r w:rsidRPr="00CC5819">
              <w:rPr>
                <w:rFonts w:asciiTheme="minorHAnsi" w:eastAsiaTheme="minorEastAsia" w:hAnsiTheme="minorHAnsi" w:cstheme="minorHAnsi"/>
                <w:sz w:val="22"/>
                <w:szCs w:val="22"/>
                <w:lang w:eastAsia="zh-CN"/>
              </w:rPr>
              <w:t xml:space="preserve"> del RR;</w:t>
            </w:r>
          </w:p>
          <w:p w14:paraId="7EDB7B83" w14:textId="77777777" w:rsidR="00101A67" w:rsidRPr="00CC5819" w:rsidRDefault="00AC6B21" w:rsidP="00AC6B21">
            <w:pPr>
              <w:pStyle w:val="enumlev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mejora del algoritmo para el examen con arreglo al número </w:t>
            </w:r>
            <w:r w:rsidR="00101A67" w:rsidRPr="00CC5819">
              <w:rPr>
                <w:rFonts w:asciiTheme="minorHAnsi" w:eastAsiaTheme="minorEastAsia" w:hAnsiTheme="minorHAnsi" w:cstheme="minorHAnsi"/>
                <w:b/>
                <w:sz w:val="22"/>
                <w:szCs w:val="22"/>
                <w:lang w:eastAsia="zh-CN"/>
              </w:rPr>
              <w:t>9.7B</w:t>
            </w:r>
            <w:r w:rsidR="00101A67" w:rsidRPr="00CC5819">
              <w:rPr>
                <w:rFonts w:asciiTheme="minorHAnsi" w:eastAsiaTheme="minorEastAsia" w:hAnsiTheme="minorHAnsi" w:cstheme="minorHAnsi"/>
                <w:sz w:val="22"/>
                <w:szCs w:val="22"/>
                <w:lang w:eastAsia="zh-CN"/>
              </w:rPr>
              <w:t xml:space="preserve"> del RR;</w:t>
            </w:r>
          </w:p>
          <w:p w14:paraId="451E59B5" w14:textId="77777777" w:rsidR="00101A67" w:rsidRPr="00CC5819" w:rsidRDefault="00AC6B21" w:rsidP="00AC6B21">
            <w:pPr>
              <w:pStyle w:val="enumlev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mejora del software mediante la implementación de las decisiones de la CMR-19 relativas a los sistemas de satélites no geoestacionarios con arreglo al Artículo </w:t>
            </w:r>
            <w:r w:rsidR="00101A67" w:rsidRPr="00CC5819">
              <w:rPr>
                <w:rFonts w:asciiTheme="minorHAnsi" w:eastAsiaTheme="minorEastAsia" w:hAnsiTheme="minorHAnsi" w:cstheme="minorHAnsi"/>
                <w:b/>
                <w:sz w:val="22"/>
                <w:szCs w:val="22"/>
                <w:lang w:eastAsia="zh-CN"/>
              </w:rPr>
              <w:t>22</w:t>
            </w:r>
            <w:r w:rsidR="00101A67" w:rsidRPr="00CC5819">
              <w:rPr>
                <w:rFonts w:asciiTheme="minorHAnsi" w:eastAsiaTheme="minorEastAsia" w:hAnsiTheme="minorHAnsi" w:cstheme="minorHAnsi"/>
                <w:sz w:val="22"/>
                <w:szCs w:val="22"/>
                <w:lang w:eastAsia="zh-CN"/>
              </w:rPr>
              <w:t xml:space="preserve"> del RR y al número </w:t>
            </w:r>
            <w:r w:rsidR="00101A67" w:rsidRPr="00CC5819">
              <w:rPr>
                <w:rFonts w:asciiTheme="minorHAnsi" w:eastAsiaTheme="minorEastAsia" w:hAnsiTheme="minorHAnsi" w:cstheme="minorHAnsi"/>
                <w:b/>
                <w:sz w:val="22"/>
                <w:szCs w:val="22"/>
                <w:lang w:eastAsia="zh-CN"/>
              </w:rPr>
              <w:t>9.7B</w:t>
            </w:r>
            <w:r w:rsidR="00101A67" w:rsidRPr="00CC5819">
              <w:rPr>
                <w:rFonts w:asciiTheme="minorHAnsi" w:eastAsiaTheme="minorEastAsia" w:hAnsiTheme="minorHAnsi" w:cstheme="minorHAnsi"/>
                <w:sz w:val="22"/>
                <w:szCs w:val="22"/>
                <w:lang w:eastAsia="zh-CN"/>
              </w:rPr>
              <w:t xml:space="preserve">, especialmente en lo que respecta a los parámetros de ingreso comunes recogidos en el Apéndice </w:t>
            </w:r>
            <w:r w:rsidR="00101A67" w:rsidRPr="00CC5819">
              <w:rPr>
                <w:rFonts w:asciiTheme="minorHAnsi" w:eastAsiaTheme="minorEastAsia" w:hAnsiTheme="minorHAnsi" w:cstheme="minorHAnsi"/>
                <w:b/>
                <w:sz w:val="22"/>
                <w:szCs w:val="22"/>
                <w:lang w:eastAsia="zh-CN"/>
              </w:rPr>
              <w:t>4</w:t>
            </w:r>
            <w:r w:rsidR="00101A67" w:rsidRPr="00CC5819">
              <w:rPr>
                <w:rFonts w:asciiTheme="minorHAnsi" w:eastAsiaTheme="minorEastAsia" w:hAnsiTheme="minorHAnsi" w:cstheme="minorHAnsi"/>
                <w:sz w:val="22"/>
                <w:szCs w:val="22"/>
                <w:lang w:eastAsia="zh-CN"/>
              </w:rPr>
              <w:t xml:space="preserve"> del RR;</w:t>
            </w:r>
          </w:p>
          <w:p w14:paraId="38645E2E" w14:textId="0B353C7E" w:rsidR="00101A67" w:rsidRPr="00CC5819" w:rsidRDefault="00AC6B21" w:rsidP="00AC6B21">
            <w:pPr>
              <w:pStyle w:val="enumlev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La implementación de las revisiones a la Rec. UIT-R S.1503, tal y como fueron elaboradas por el Grupo de Trabajo 4</w:t>
            </w:r>
            <w:r w:rsidR="00476E4F">
              <w:rPr>
                <w:rFonts w:asciiTheme="minorHAnsi" w:eastAsiaTheme="minorEastAsia" w:hAnsiTheme="minorHAnsi" w:cstheme="minorHAnsi"/>
                <w:sz w:val="22"/>
                <w:szCs w:val="22"/>
                <w:lang w:eastAsia="zh-CN"/>
              </w:rPr>
              <w:t>A</w:t>
            </w:r>
            <w:r w:rsidR="00101A67" w:rsidRPr="00CC5819">
              <w:rPr>
                <w:rFonts w:asciiTheme="minorHAnsi" w:eastAsiaTheme="minorEastAsia" w:hAnsiTheme="minorHAnsi" w:cstheme="minorHAnsi"/>
                <w:sz w:val="22"/>
                <w:szCs w:val="22"/>
                <w:lang w:eastAsia="zh-CN"/>
              </w:rPr>
              <w:t xml:space="preserve"> del</w:t>
            </w:r>
            <w:r w:rsidR="00CC5819">
              <w:rPr>
                <w:rFonts w:asciiTheme="minorHAnsi" w:eastAsiaTheme="minorEastAsia" w:hAnsiTheme="minorHAnsi" w:cstheme="minorHAnsi"/>
                <w:sz w:val="22"/>
                <w:szCs w:val="22"/>
                <w:lang w:eastAsia="zh-CN"/>
              </w:rPr>
              <w:t> </w:t>
            </w:r>
            <w:r w:rsidR="00101A67" w:rsidRPr="00CC5819">
              <w:rPr>
                <w:rFonts w:asciiTheme="minorHAnsi" w:eastAsiaTheme="minorEastAsia" w:hAnsiTheme="minorHAnsi" w:cstheme="minorHAnsi"/>
                <w:sz w:val="22"/>
                <w:szCs w:val="22"/>
                <w:lang w:eastAsia="zh-CN"/>
              </w:rPr>
              <w:t>UIT</w:t>
            </w:r>
            <w:r w:rsidR="00CC5819">
              <w:rPr>
                <w:rFonts w:asciiTheme="minorHAnsi" w:eastAsiaTheme="minorEastAsia" w:hAnsiTheme="minorHAnsi" w:cstheme="minorHAnsi"/>
                <w:sz w:val="22"/>
                <w:szCs w:val="22"/>
                <w:lang w:eastAsia="zh-CN"/>
              </w:rPr>
              <w:noBreakHyphen/>
            </w:r>
            <w:r w:rsidR="00101A67" w:rsidRPr="00CC5819">
              <w:rPr>
                <w:rFonts w:asciiTheme="minorHAnsi" w:eastAsiaTheme="minorEastAsia" w:hAnsiTheme="minorHAnsi" w:cstheme="minorHAnsi"/>
                <w:sz w:val="22"/>
                <w:szCs w:val="22"/>
                <w:lang w:eastAsia="zh-CN"/>
              </w:rPr>
              <w:t>R.</w:t>
            </w:r>
          </w:p>
          <w:p w14:paraId="7D7DD3FD" w14:textId="77777777" w:rsidR="00101A67" w:rsidRPr="00CC5819" w:rsidRDefault="00101A67" w:rsidP="00890A5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eastAsiaTheme="minorEastAsia" w:hAnsiTheme="minorHAnsi" w:cstheme="minorHAnsi"/>
                <w:szCs w:val="22"/>
                <w:lang w:eastAsia="zh-CN"/>
              </w:rPr>
              <w:t>La Junta encargó además a la Oficina que informara a la 83ª reunión de la Junta acerca de los avances logrados en las medidas antes citadas.</w:t>
            </w:r>
          </w:p>
        </w:tc>
        <w:tc>
          <w:tcPr>
            <w:tcW w:w="2413" w:type="dxa"/>
          </w:tcPr>
          <w:p w14:paraId="5F3A8379"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Mesa proseguirá sus esfuerzos para reducir los retrasos en el examen de las conclusiones e informará a la 83ª reunión de la Junta sobre los progresos realizados en relación con las medidas concretas.</w:t>
            </w:r>
          </w:p>
        </w:tc>
      </w:tr>
      <w:tr w:rsidR="00101A67" w:rsidRPr="00CC5819" w14:paraId="56297660"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tcPr>
          <w:p w14:paraId="47897D6A" w14:textId="77777777" w:rsidR="00101A67" w:rsidRPr="00CC5819" w:rsidRDefault="00101A67" w:rsidP="00101A67">
            <w:pPr>
              <w:pStyle w:val="Tabletext"/>
              <w:rPr>
                <w:rFonts w:asciiTheme="minorHAnsi" w:hAnsiTheme="minorHAnsi" w:cstheme="minorHAnsi"/>
                <w:szCs w:val="22"/>
              </w:rPr>
            </w:pPr>
          </w:p>
        </w:tc>
        <w:tc>
          <w:tcPr>
            <w:tcW w:w="3865" w:type="dxa"/>
            <w:vMerge/>
          </w:tcPr>
          <w:p w14:paraId="009D1E28"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269AA56C" w14:textId="50210692"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h)</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Durante una reunión del Grupo de Trabajo sobre las Reglas de Procedimiento, bajo la presidencia del Sr. Y. HENRI, el grupo examinó detalladamente el anteproyecto de regla de procedimiento recogido en el </w:t>
            </w:r>
            <w:proofErr w:type="spellStart"/>
            <w:r w:rsidR="00101A67" w:rsidRPr="00CC5819">
              <w:rPr>
                <w:rFonts w:asciiTheme="minorHAnsi" w:eastAsiaTheme="minorEastAsia" w:hAnsiTheme="minorHAnsi" w:cstheme="minorHAnsi"/>
                <w:sz w:val="22"/>
                <w:szCs w:val="22"/>
                <w:lang w:eastAsia="zh-CN"/>
              </w:rPr>
              <w:t>Addéndum</w:t>
            </w:r>
            <w:proofErr w:type="spellEnd"/>
            <w:r w:rsidR="00101A67" w:rsidRPr="00CC5819">
              <w:rPr>
                <w:rFonts w:asciiTheme="minorHAnsi" w:eastAsiaTheme="minorEastAsia" w:hAnsiTheme="minorHAnsi" w:cstheme="minorHAnsi"/>
                <w:sz w:val="22"/>
                <w:szCs w:val="22"/>
                <w:lang w:eastAsia="zh-CN"/>
              </w:rPr>
              <w:t xml:space="preserve"> 2 al Informe del Director (véase también el párrafo 4.4 del Informe sobre la Res. </w:t>
            </w:r>
            <w:r w:rsidR="00101A67" w:rsidRPr="00CC5819">
              <w:rPr>
                <w:rFonts w:asciiTheme="minorHAnsi" w:eastAsiaTheme="minorEastAsia" w:hAnsiTheme="minorHAnsi" w:cstheme="minorHAnsi"/>
                <w:b/>
                <w:sz w:val="22"/>
                <w:szCs w:val="22"/>
                <w:lang w:eastAsia="zh-CN"/>
              </w:rPr>
              <w:t>80 (Rev.CMR</w:t>
            </w:r>
            <w:r w:rsidR="00101A67" w:rsidRPr="00CC5819">
              <w:rPr>
                <w:rFonts w:asciiTheme="minorHAnsi" w:eastAsiaTheme="minorEastAsia" w:hAnsiTheme="minorHAnsi" w:cstheme="minorHAnsi"/>
                <w:b/>
                <w:sz w:val="22"/>
                <w:szCs w:val="22"/>
                <w:lang w:eastAsia="zh-CN"/>
              </w:rPr>
              <w:noBreakHyphen/>
              <w:t>07)</w:t>
            </w:r>
            <w:r w:rsidR="00101A67" w:rsidRPr="00CC5819">
              <w:rPr>
                <w:rFonts w:asciiTheme="minorHAnsi" w:eastAsiaTheme="minorEastAsia" w:hAnsiTheme="minorHAnsi" w:cstheme="minorHAnsi"/>
                <w:sz w:val="22"/>
                <w:szCs w:val="22"/>
                <w:lang w:eastAsia="zh-CN"/>
              </w:rPr>
              <w:t xml:space="preserve"> a la CMR-19 en el Documento </w:t>
            </w:r>
            <w:hyperlink r:id="rId21" w:history="1">
              <w:r w:rsidR="00101A67" w:rsidRPr="00CC5819">
                <w:rPr>
                  <w:rFonts w:asciiTheme="minorHAnsi" w:eastAsiaTheme="minorEastAsia" w:hAnsiTheme="minorHAnsi" w:cstheme="minorHAnsi"/>
                  <w:color w:val="0000FF" w:themeColor="hyperlink"/>
                  <w:sz w:val="22"/>
                  <w:szCs w:val="22"/>
                  <w:u w:val="single"/>
                  <w:lang w:eastAsia="zh-CN"/>
                </w:rPr>
                <w:t>CMR19/15</w:t>
              </w:r>
            </w:hyperlink>
            <w:r w:rsidR="00101A67" w:rsidRPr="00CC5819">
              <w:rPr>
                <w:rFonts w:asciiTheme="minorHAnsi" w:eastAsiaTheme="minorEastAsia" w:hAnsiTheme="minorHAnsi" w:cstheme="minorHAnsi"/>
                <w:sz w:val="22"/>
                <w:szCs w:val="22"/>
                <w:lang w:eastAsia="zh-CN"/>
              </w:rPr>
              <w:t xml:space="preserve">). La Junta decidió que sólo podría estudiarse el camino apropiado a seguir respecto de este proyecto de regla de procedimiento cuando se conozcan los resultados del examen por la CMR-19 de la definición del punto A.1.f.2 (véase el párrafo 1 del Anexo 2 al Documento </w:t>
            </w:r>
            <w:hyperlink r:id="rId22" w:history="1">
              <w:r w:rsidR="00101A67" w:rsidRPr="00CC5819">
                <w:rPr>
                  <w:rFonts w:asciiTheme="minorHAnsi" w:eastAsiaTheme="minorEastAsia" w:hAnsiTheme="minorHAnsi" w:cstheme="minorHAnsi"/>
                  <w:color w:val="0000FF" w:themeColor="hyperlink"/>
                  <w:sz w:val="22"/>
                  <w:szCs w:val="22"/>
                  <w:u w:val="single"/>
                  <w:lang w:eastAsia="zh-CN"/>
                </w:rPr>
                <w:t>CMR19/4(Add.2)</w:t>
              </w:r>
            </w:hyperlink>
            <w:r w:rsidR="00101A67" w:rsidRPr="00CC5819">
              <w:rPr>
                <w:rFonts w:asciiTheme="minorHAnsi" w:eastAsiaTheme="minorEastAsia" w:hAnsiTheme="minorHAnsi" w:cstheme="minorHAnsi"/>
                <w:sz w:val="22"/>
                <w:szCs w:val="22"/>
                <w:lang w:eastAsia="zh-CN"/>
              </w:rPr>
              <w:t>).</w:t>
            </w:r>
          </w:p>
        </w:tc>
        <w:tc>
          <w:tcPr>
            <w:tcW w:w="2413" w:type="dxa"/>
          </w:tcPr>
          <w:p w14:paraId="15C8DF41" w14:textId="46F2DB2D"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3374730C"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tcPr>
          <w:p w14:paraId="0FAF1416" w14:textId="77777777" w:rsidR="00101A67" w:rsidRPr="00CC5819" w:rsidRDefault="00101A67" w:rsidP="00101A67">
            <w:pPr>
              <w:pStyle w:val="Tabletext"/>
              <w:rPr>
                <w:rFonts w:asciiTheme="minorHAnsi" w:hAnsiTheme="minorHAnsi" w:cstheme="minorHAnsi"/>
                <w:szCs w:val="22"/>
              </w:rPr>
            </w:pPr>
          </w:p>
        </w:tc>
        <w:tc>
          <w:tcPr>
            <w:tcW w:w="3865" w:type="dxa"/>
            <w:vMerge/>
          </w:tcPr>
          <w:p w14:paraId="4AA24BA3"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4F3C762B" w14:textId="1FFB78DE"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i)</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Junta tomó nota con agrado de la información facilitada en el </w:t>
            </w:r>
            <w:proofErr w:type="spellStart"/>
            <w:r w:rsidR="00101A67" w:rsidRPr="00CC5819">
              <w:rPr>
                <w:rFonts w:asciiTheme="minorHAnsi" w:eastAsiaTheme="minorEastAsia" w:hAnsiTheme="minorHAnsi" w:cstheme="minorHAnsi"/>
                <w:sz w:val="22"/>
                <w:szCs w:val="22"/>
                <w:lang w:eastAsia="zh-CN"/>
              </w:rPr>
              <w:t>Addéndum</w:t>
            </w:r>
            <w:proofErr w:type="spellEnd"/>
            <w:r w:rsidR="00101A67" w:rsidRPr="00CC5819">
              <w:rPr>
                <w:rFonts w:asciiTheme="minorHAnsi" w:eastAsiaTheme="minorEastAsia" w:hAnsiTheme="minorHAnsi" w:cstheme="minorHAnsi"/>
                <w:sz w:val="22"/>
                <w:szCs w:val="22"/>
                <w:lang w:eastAsia="zh-CN"/>
              </w:rPr>
              <w:t xml:space="preserve"> 3 al Informe del Director relativo a la información histórica acerca de las atribuciones al servicio de operaciones espaciales</w:t>
            </w:r>
            <w:r w:rsidR="00843036"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sz w:val="22"/>
                <w:szCs w:val="22"/>
                <w:lang w:eastAsia="zh-CN"/>
              </w:rPr>
              <w:t>y observó también que la cuestión se había sometido a la consideración de la CMR-19.</w:t>
            </w:r>
            <w:r w:rsidR="00843036" w:rsidRPr="00CC5819">
              <w:rPr>
                <w:rFonts w:asciiTheme="minorHAnsi" w:eastAsiaTheme="minorEastAsia" w:hAnsiTheme="minorHAnsi" w:cstheme="minorHAnsi"/>
                <w:sz w:val="22"/>
                <w:szCs w:val="22"/>
                <w:lang w:eastAsia="zh-CN"/>
              </w:rPr>
              <w:t xml:space="preserve"> </w:t>
            </w:r>
            <w:r w:rsidR="00101A67" w:rsidRPr="00CC5819">
              <w:rPr>
                <w:rFonts w:asciiTheme="minorHAnsi" w:eastAsiaTheme="minorEastAsia" w:hAnsiTheme="minorHAnsi" w:cstheme="minorHAnsi"/>
                <w:sz w:val="22"/>
                <w:szCs w:val="22"/>
                <w:lang w:eastAsia="zh-CN"/>
              </w:rPr>
              <w:t>La Junta concluyó que, de ser necesario, la cuestión debería volver a tratarse una vez que la</w:t>
            </w:r>
            <w:r w:rsidR="00652722">
              <w:rPr>
                <w:rFonts w:asciiTheme="minorHAnsi" w:eastAsiaTheme="minorEastAsia" w:hAnsiTheme="minorHAnsi" w:cstheme="minorHAnsi"/>
                <w:sz w:val="22"/>
                <w:szCs w:val="22"/>
                <w:lang w:eastAsia="zh-CN"/>
              </w:rPr>
              <w:t> </w:t>
            </w:r>
            <w:r w:rsidR="00101A67" w:rsidRPr="00CC5819">
              <w:rPr>
                <w:rFonts w:asciiTheme="minorHAnsi" w:eastAsiaTheme="minorEastAsia" w:hAnsiTheme="minorHAnsi" w:cstheme="minorHAnsi"/>
                <w:sz w:val="22"/>
                <w:szCs w:val="22"/>
                <w:lang w:eastAsia="zh-CN"/>
              </w:rPr>
              <w:t>CMR-19 decidiera acerca de las medidas apropiadas.</w:t>
            </w:r>
          </w:p>
        </w:tc>
        <w:tc>
          <w:tcPr>
            <w:tcW w:w="2413" w:type="dxa"/>
          </w:tcPr>
          <w:p w14:paraId="5D8E342C" w14:textId="40A61C85"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234A4ADC" w14:textId="77777777" w:rsidTr="005C3B64">
        <w:trPr>
          <w:trHeight w:val="625"/>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156E5EE4" w14:textId="77777777" w:rsidR="00101A67" w:rsidRPr="00CC5819" w:rsidRDefault="00101A67" w:rsidP="00101A67">
            <w:pPr>
              <w:pStyle w:val="Tabletext"/>
              <w:rPr>
                <w:rFonts w:asciiTheme="minorHAnsi" w:hAnsiTheme="minorHAnsi" w:cstheme="minorHAnsi"/>
                <w:szCs w:val="22"/>
              </w:rPr>
            </w:pPr>
          </w:p>
        </w:tc>
        <w:tc>
          <w:tcPr>
            <w:tcW w:w="3865" w:type="dxa"/>
            <w:vMerge w:val="restart"/>
          </w:tcPr>
          <w:p w14:paraId="463B07E6"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61AAEFCC" w14:textId="77777777"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j)</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Junta tomó nota con satisfacción del informe sobre los esfuerzos de coordinación de las Administraciones de Francia y Grecia y de las Administraciones de Arabia Saudita, que actuaba en calidad de administración notificante de la organización intergubernamental ARABSAT, y del Reino Unido, tal y como figura en el </w:t>
            </w:r>
            <w:proofErr w:type="spellStart"/>
            <w:r w:rsidR="00101A67" w:rsidRPr="00CC5819">
              <w:rPr>
                <w:rFonts w:asciiTheme="minorHAnsi" w:eastAsiaTheme="minorEastAsia" w:hAnsiTheme="minorHAnsi" w:cstheme="minorHAnsi"/>
                <w:sz w:val="22"/>
                <w:szCs w:val="22"/>
                <w:lang w:eastAsia="zh-CN"/>
              </w:rPr>
              <w:t>Addéndum</w:t>
            </w:r>
            <w:proofErr w:type="spellEnd"/>
            <w:r w:rsidR="00101A67" w:rsidRPr="00CC5819">
              <w:rPr>
                <w:rFonts w:asciiTheme="minorHAnsi" w:eastAsiaTheme="minorEastAsia" w:hAnsiTheme="minorHAnsi" w:cstheme="minorHAnsi"/>
                <w:sz w:val="22"/>
                <w:szCs w:val="22"/>
                <w:lang w:eastAsia="zh-CN"/>
              </w:rPr>
              <w:t xml:space="preserve"> 4 al Informe del Director y su </w:t>
            </w:r>
            <w:proofErr w:type="spellStart"/>
            <w:r w:rsidR="00101A67" w:rsidRPr="00CC5819">
              <w:rPr>
                <w:rFonts w:asciiTheme="minorHAnsi" w:eastAsiaTheme="minorEastAsia" w:hAnsiTheme="minorHAnsi" w:cstheme="minorHAnsi"/>
                <w:sz w:val="22"/>
                <w:szCs w:val="22"/>
                <w:lang w:eastAsia="zh-CN"/>
              </w:rPr>
              <w:t>corrigéndum</w:t>
            </w:r>
            <w:proofErr w:type="spellEnd"/>
            <w:r w:rsidR="00101A67" w:rsidRPr="00CC5819">
              <w:rPr>
                <w:rFonts w:asciiTheme="minorHAnsi" w:eastAsiaTheme="minorEastAsia" w:hAnsiTheme="minorHAnsi" w:cstheme="minorHAnsi"/>
                <w:sz w:val="22"/>
                <w:szCs w:val="22"/>
                <w:lang w:eastAsia="zh-CN"/>
              </w:rPr>
              <w:t>. La Junta felicitó a las Administraciones de Arabia Saudita y del Reino Unido por el resultado favorable de sus esfuerzos de coordinación, y expresó su reconocimiento al apoyo prestado por la Oficina en este asunto. La Junta alentó a las Administraciones de Francia y Grecia a que prosiguieran sus esfuerzos de coordinación a fin de alcanzar un resultado satisfactorio similar, y encargó a la Oficina que siguiera prestando el apoyo necesario a ambas administraciones y que informara sobre los progresos realizados a la 83ª reunión de la Junta.</w:t>
            </w:r>
          </w:p>
        </w:tc>
        <w:tc>
          <w:tcPr>
            <w:tcW w:w="2413" w:type="dxa"/>
          </w:tcPr>
          <w:p w14:paraId="75BE5EDD"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Mesa prestará el apoyo necesario a las Administraciones de Francia y Grecia y presentará un informe sobre los progresos realizados a la 83</w:t>
            </w:r>
            <w:r w:rsidRPr="00CC5819">
              <w:rPr>
                <w:rFonts w:asciiTheme="minorHAnsi" w:hAnsiTheme="minorHAnsi" w:cstheme="minorHAnsi"/>
                <w:szCs w:val="22"/>
                <w:vertAlign w:val="superscript"/>
              </w:rPr>
              <w:t>a</w:t>
            </w:r>
            <w:r w:rsidRPr="00CC5819">
              <w:rPr>
                <w:rFonts w:asciiTheme="minorHAnsi" w:hAnsiTheme="minorHAnsi" w:cstheme="minorHAnsi"/>
                <w:szCs w:val="22"/>
              </w:rPr>
              <w:t xml:space="preserve"> reunión de la Junta.</w:t>
            </w:r>
          </w:p>
        </w:tc>
      </w:tr>
      <w:tr w:rsidR="00101A67" w:rsidRPr="00CC5819" w14:paraId="6A3BC212" w14:textId="77777777" w:rsidTr="005C3B64">
        <w:trPr>
          <w:trHeight w:val="4172"/>
        </w:trPr>
        <w:tc>
          <w:tcPr>
            <w:cnfStyle w:val="001000000000" w:firstRow="0" w:lastRow="0" w:firstColumn="1" w:lastColumn="0" w:oddVBand="0" w:evenVBand="0" w:oddHBand="0" w:evenHBand="0" w:firstRowFirstColumn="0" w:firstRowLastColumn="0" w:lastRowFirstColumn="0" w:lastRowLastColumn="0"/>
            <w:tcW w:w="805" w:type="dxa"/>
            <w:vMerge/>
          </w:tcPr>
          <w:p w14:paraId="74269616" w14:textId="77777777" w:rsidR="00101A67" w:rsidRPr="00CC5819" w:rsidRDefault="00101A67" w:rsidP="00101A67">
            <w:pPr>
              <w:pStyle w:val="Tabletext"/>
              <w:rPr>
                <w:rFonts w:asciiTheme="minorHAnsi" w:hAnsiTheme="minorHAnsi" w:cstheme="minorHAnsi"/>
                <w:szCs w:val="22"/>
              </w:rPr>
            </w:pPr>
          </w:p>
        </w:tc>
        <w:tc>
          <w:tcPr>
            <w:tcW w:w="3865" w:type="dxa"/>
            <w:vMerge/>
          </w:tcPr>
          <w:p w14:paraId="0758C4BB"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6946" w:type="dxa"/>
          </w:tcPr>
          <w:p w14:paraId="737FDB6C" w14:textId="77777777" w:rsidR="00101A67" w:rsidRPr="00CC5819" w:rsidRDefault="00AC6B21" w:rsidP="00AC6B21">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k)</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El Consejo examinó en detalle el informe de la Oficina sobre la marcha de las actividades relativas a territorios en disputa que figura en el </w:t>
            </w:r>
            <w:proofErr w:type="spellStart"/>
            <w:r w:rsidR="00101A67" w:rsidRPr="00CC5819">
              <w:rPr>
                <w:rFonts w:asciiTheme="minorHAnsi" w:eastAsiaTheme="minorEastAsia" w:hAnsiTheme="minorHAnsi" w:cstheme="minorHAnsi"/>
                <w:sz w:val="22"/>
                <w:szCs w:val="22"/>
                <w:lang w:eastAsia="zh-CN"/>
              </w:rPr>
              <w:t>Addéndum</w:t>
            </w:r>
            <w:proofErr w:type="spellEnd"/>
            <w:r w:rsidR="00101A67" w:rsidRPr="00CC5819">
              <w:rPr>
                <w:rFonts w:asciiTheme="minorHAnsi" w:eastAsiaTheme="minorEastAsia" w:hAnsiTheme="minorHAnsi" w:cstheme="minorHAnsi"/>
                <w:sz w:val="22"/>
                <w:szCs w:val="22"/>
                <w:lang w:eastAsia="zh-CN"/>
              </w:rPr>
              <w:t xml:space="preserve"> 6 al Informe del Director y expresó su agradecimiento por los esfuerzos realizados por la Oficina. La Junta encargó a la Oficina que prosiguiera sus esfuerzos para encontrar soluciones a esta cuestión y para una posible armonización del IDWM y del mapa de las Naciones Unidas. Al hacerlo, la Mesa debería: </w:t>
            </w:r>
          </w:p>
          <w:p w14:paraId="0B11C5DC" w14:textId="77777777" w:rsidR="00101A67" w:rsidRPr="00CC5819" w:rsidRDefault="00AC6B21" w:rsidP="00161C57">
            <w:pPr>
              <w:pStyle w:val="enumlev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Aplicar un enfoque caso por caso a fin de encontrar soluciones para la inscripción en el Registro Internacional de Frecuencias de las asignaciones notificadas situadas en territorios en disputa, con miras a proponer, de ser posible, un enfoque más general, incluida la posible revisión de la Regla de Procedimiento sobre la Res. </w:t>
            </w:r>
            <w:r w:rsidR="00101A67" w:rsidRPr="00CC5819">
              <w:rPr>
                <w:rFonts w:asciiTheme="minorHAnsi" w:eastAsiaTheme="minorEastAsia" w:hAnsiTheme="minorHAnsi" w:cstheme="minorHAnsi"/>
                <w:b/>
                <w:sz w:val="22"/>
                <w:szCs w:val="22"/>
                <w:lang w:eastAsia="zh-CN"/>
              </w:rPr>
              <w:t>1 (Rev.CMR-97)</w:t>
            </w:r>
            <w:r w:rsidR="00101A67" w:rsidRPr="00CC5819">
              <w:rPr>
                <w:rFonts w:asciiTheme="minorHAnsi" w:eastAsiaTheme="minorEastAsia" w:hAnsiTheme="minorHAnsi" w:cstheme="minorHAnsi"/>
                <w:sz w:val="22"/>
                <w:szCs w:val="22"/>
                <w:lang w:eastAsia="zh-CN"/>
              </w:rPr>
              <w:t>;</w:t>
            </w:r>
          </w:p>
          <w:p w14:paraId="43E033B5" w14:textId="77777777" w:rsidR="00101A67" w:rsidRPr="00CC5819" w:rsidRDefault="00AC6B21" w:rsidP="00161C57">
            <w:pPr>
              <w:pStyle w:val="enumlev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Evaluar las discrepancias entre el IDWM y el mapa de las Naciones Unidas, que podrían incluir territorios tanto en disputa como sin disputa, y elaborar propuestas para armonizarlos.</w:t>
            </w:r>
          </w:p>
          <w:p w14:paraId="0B2C75BB" w14:textId="77777777" w:rsidR="00101A67" w:rsidRPr="00CC5819" w:rsidRDefault="00101A67" w:rsidP="009F770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encargó además a la Ofici</w:t>
            </w:r>
            <w:r w:rsidR="00161C57" w:rsidRPr="00CC5819">
              <w:rPr>
                <w:rFonts w:asciiTheme="minorHAnsi" w:hAnsiTheme="minorHAnsi" w:cstheme="minorHAnsi"/>
                <w:szCs w:val="22"/>
              </w:rPr>
              <w:t xml:space="preserve">na que informara de los avances </w:t>
            </w:r>
            <w:r w:rsidRPr="00CC5819">
              <w:rPr>
                <w:rFonts w:asciiTheme="minorHAnsi" w:hAnsiTheme="minorHAnsi" w:cstheme="minorHAnsi"/>
                <w:szCs w:val="22"/>
              </w:rPr>
              <w:t>relativos a estos esfuerzos a la 83ª reunión de la Junta.</w:t>
            </w:r>
          </w:p>
        </w:tc>
        <w:tc>
          <w:tcPr>
            <w:tcW w:w="2413" w:type="dxa"/>
          </w:tcPr>
          <w:p w14:paraId="43AD4BA5" w14:textId="23B8C370"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gramStart"/>
            <w:r w:rsidRPr="00CC5819">
              <w:rPr>
                <w:rFonts w:asciiTheme="minorHAnsi" w:hAnsiTheme="minorHAnsi" w:cstheme="minorHAnsi"/>
                <w:szCs w:val="22"/>
              </w:rPr>
              <w:t>la</w:t>
            </w:r>
            <w:proofErr w:type="gramEnd"/>
            <w:r w:rsidRPr="00CC5819">
              <w:rPr>
                <w:rFonts w:asciiTheme="minorHAnsi" w:hAnsiTheme="minorHAnsi" w:cstheme="minorHAnsi"/>
                <w:szCs w:val="22"/>
              </w:rPr>
              <w:t xml:space="preserve"> Oficina proseguirá sus esfuerzos para encontrar soluciones para la inscripción en el Registro Internacional de Frecuencias de las asignaciones notificadas situadas en territorios en disputa e informará sobre los avances a la</w:t>
            </w:r>
            <w:r w:rsidR="00CC5819">
              <w:rPr>
                <w:rFonts w:asciiTheme="minorHAnsi" w:hAnsiTheme="minorHAnsi" w:cstheme="minorHAnsi"/>
                <w:szCs w:val="22"/>
              </w:rPr>
              <w:t> </w:t>
            </w:r>
            <w:r w:rsidRPr="00CC5819">
              <w:rPr>
                <w:rFonts w:asciiTheme="minorHAnsi" w:hAnsiTheme="minorHAnsi" w:cstheme="minorHAnsi"/>
                <w:szCs w:val="22"/>
              </w:rPr>
              <w:t>83ª reunión de la Junta.</w:t>
            </w:r>
          </w:p>
        </w:tc>
      </w:tr>
      <w:tr w:rsidR="00101A67" w:rsidRPr="00CC5819" w14:paraId="6162BC4A" w14:textId="77777777" w:rsidTr="005C3B64">
        <w:trPr>
          <w:trHeight w:val="499"/>
        </w:trPr>
        <w:tc>
          <w:tcPr>
            <w:cnfStyle w:val="001000000000" w:firstRow="0" w:lastRow="0" w:firstColumn="1" w:lastColumn="0" w:oddVBand="0" w:evenVBand="0" w:oddHBand="0" w:evenHBand="0" w:firstRowFirstColumn="0" w:firstRowLastColumn="0" w:lastRowFirstColumn="0" w:lastRowLastColumn="0"/>
            <w:tcW w:w="805" w:type="dxa"/>
          </w:tcPr>
          <w:p w14:paraId="1191112C"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4</w:t>
            </w:r>
          </w:p>
        </w:tc>
        <w:tc>
          <w:tcPr>
            <w:tcW w:w="13224" w:type="dxa"/>
            <w:gridSpan w:val="3"/>
          </w:tcPr>
          <w:p w14:paraId="054C764B"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CC5819">
              <w:rPr>
                <w:rFonts w:asciiTheme="minorHAnsi" w:hAnsiTheme="minorHAnsi" w:cstheme="minorHAnsi"/>
                <w:b/>
                <w:szCs w:val="22"/>
              </w:rPr>
              <w:t>Reglas de Procedimiento</w:t>
            </w:r>
          </w:p>
        </w:tc>
      </w:tr>
      <w:tr w:rsidR="00101A67" w:rsidRPr="00CC5819" w14:paraId="7E1EE749" w14:textId="77777777" w:rsidTr="005C3B64">
        <w:trPr>
          <w:trHeight w:val="732"/>
        </w:trPr>
        <w:tc>
          <w:tcPr>
            <w:cnfStyle w:val="001000000000" w:firstRow="0" w:lastRow="0" w:firstColumn="1" w:lastColumn="0" w:oddVBand="0" w:evenVBand="0" w:oddHBand="0" w:evenHBand="0" w:firstRowFirstColumn="0" w:firstRowLastColumn="0" w:lastRowFirstColumn="0" w:lastRowLastColumn="0"/>
            <w:tcW w:w="805" w:type="dxa"/>
          </w:tcPr>
          <w:p w14:paraId="23DE40B2"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4.1</w:t>
            </w:r>
          </w:p>
        </w:tc>
        <w:tc>
          <w:tcPr>
            <w:tcW w:w="3865" w:type="dxa"/>
          </w:tcPr>
          <w:p w14:paraId="2064B007" w14:textId="216E4AA3"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Lista de Reglas de Procedimiento propuestas</w:t>
            </w:r>
            <w:r w:rsidRPr="00CC5819">
              <w:rPr>
                <w:rFonts w:asciiTheme="minorHAnsi" w:hAnsiTheme="minorHAnsi" w:cstheme="minorHAnsi"/>
                <w:szCs w:val="22"/>
              </w:rPr>
              <w:br/>
            </w:r>
            <w:hyperlink r:id="rId23" w:history="1">
              <w:r w:rsidRPr="00CC5819">
                <w:rPr>
                  <w:rFonts w:asciiTheme="minorHAnsi" w:hAnsiTheme="minorHAnsi" w:cstheme="minorHAnsi"/>
                  <w:color w:val="0000FF" w:themeColor="hyperlink"/>
                  <w:szCs w:val="22"/>
                  <w:u w:val="single"/>
                  <w:lang w:eastAsia="zh-CN"/>
                </w:rPr>
                <w:t>RRB19-3/1</w:t>
              </w:r>
            </w:hyperlink>
            <w:r w:rsidRPr="00CC5819">
              <w:rPr>
                <w:rFonts w:asciiTheme="minorHAnsi" w:hAnsiTheme="minorHAnsi" w:cstheme="minorHAnsi"/>
                <w:color w:val="0000FF" w:themeColor="hyperlink"/>
                <w:szCs w:val="22"/>
                <w:u w:val="single"/>
                <w:lang w:eastAsia="zh-CN"/>
              </w:rPr>
              <w:t xml:space="preserve"> (</w:t>
            </w:r>
            <w:hyperlink r:id="rId24" w:history="1">
              <w:r w:rsidRPr="00CC5819">
                <w:rPr>
                  <w:rFonts w:asciiTheme="minorHAnsi" w:hAnsiTheme="minorHAnsi" w:cstheme="minorHAnsi"/>
                  <w:color w:val="0000FF" w:themeColor="hyperlink"/>
                  <w:szCs w:val="22"/>
                  <w:u w:val="single"/>
                  <w:lang w:eastAsia="zh-CN"/>
                </w:rPr>
                <w:t>RRB16-2/3(Rev.12))</w:t>
              </w:r>
            </w:hyperlink>
          </w:p>
        </w:tc>
        <w:tc>
          <w:tcPr>
            <w:tcW w:w="6946" w:type="dxa"/>
          </w:tcPr>
          <w:p w14:paraId="51C1BB55"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tomó nota de la Lista de Reglas de Procedimiento propuestas en el Documento RRB19-3/1 y encargó a la Oficina que preparara para la 83ª</w:t>
            </w:r>
            <w:r w:rsidR="00843036" w:rsidRPr="00CC5819">
              <w:rPr>
                <w:rFonts w:asciiTheme="minorHAnsi" w:hAnsiTheme="minorHAnsi" w:cstheme="minorHAnsi"/>
                <w:szCs w:val="22"/>
              </w:rPr>
              <w:t xml:space="preserve"> </w:t>
            </w:r>
            <w:r w:rsidRPr="00CC5819">
              <w:rPr>
                <w:rFonts w:asciiTheme="minorHAnsi" w:hAnsiTheme="minorHAnsi" w:cstheme="minorHAnsi"/>
                <w:szCs w:val="22"/>
              </w:rPr>
              <w:t xml:space="preserve">reunión de la Junta un documento sobre una nueva lista de Reglas de Procedimiento propuestas para el periodo 2020-2023 y que transfiriera a la nueva lista el punto incompleto relativo al anteproyecto de Regla de Procedimiento sobre el Anexo 2 del Apéndice </w:t>
            </w:r>
            <w:r w:rsidRPr="00AE4144">
              <w:rPr>
                <w:rFonts w:asciiTheme="minorHAnsi" w:hAnsiTheme="minorHAnsi" w:cstheme="minorHAnsi"/>
                <w:b/>
                <w:bCs/>
                <w:szCs w:val="22"/>
              </w:rPr>
              <w:t>4</w:t>
            </w:r>
            <w:r w:rsidR="00843036" w:rsidRPr="00CC5819">
              <w:rPr>
                <w:rFonts w:asciiTheme="minorHAnsi" w:hAnsiTheme="minorHAnsi" w:cstheme="minorHAnsi"/>
                <w:szCs w:val="22"/>
              </w:rPr>
              <w:t xml:space="preserve"> del RR.</w:t>
            </w:r>
          </w:p>
        </w:tc>
        <w:tc>
          <w:tcPr>
            <w:tcW w:w="2413" w:type="dxa"/>
          </w:tcPr>
          <w:p w14:paraId="103C8DF7"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roofErr w:type="gramStart"/>
            <w:r w:rsidRPr="00CC5819">
              <w:rPr>
                <w:rFonts w:asciiTheme="minorHAnsi" w:hAnsiTheme="minorHAnsi" w:cstheme="minorHAnsi"/>
                <w:szCs w:val="22"/>
              </w:rPr>
              <w:t>la</w:t>
            </w:r>
            <w:proofErr w:type="gramEnd"/>
            <w:r w:rsidRPr="00CC5819">
              <w:rPr>
                <w:rFonts w:asciiTheme="minorHAnsi" w:hAnsiTheme="minorHAnsi" w:cstheme="minorHAnsi"/>
                <w:szCs w:val="22"/>
              </w:rPr>
              <w:t xml:space="preserve"> Oficina preparará un documento sobre una nueva lista de Reglas de Procedimiento propuestas para el</w:t>
            </w:r>
            <w:r w:rsidR="00161C57" w:rsidRPr="00CC5819">
              <w:rPr>
                <w:rFonts w:asciiTheme="minorHAnsi" w:hAnsiTheme="minorHAnsi" w:cstheme="minorHAnsi"/>
                <w:szCs w:val="22"/>
              </w:rPr>
              <w:t xml:space="preserve"> periodo 2020-2023 para la 83ª </w:t>
            </w:r>
            <w:r w:rsidRPr="00CC5819">
              <w:rPr>
                <w:rFonts w:asciiTheme="minorHAnsi" w:hAnsiTheme="minorHAnsi" w:cstheme="minorHAnsi"/>
                <w:szCs w:val="22"/>
              </w:rPr>
              <w:t>reunión de la Junta e incluirá en la nueva lista el anteproyecto de Regla de Procedimient</w:t>
            </w:r>
            <w:r w:rsidR="00207845" w:rsidRPr="00CC5819">
              <w:rPr>
                <w:rFonts w:asciiTheme="minorHAnsi" w:hAnsiTheme="minorHAnsi" w:cstheme="minorHAnsi"/>
                <w:szCs w:val="22"/>
              </w:rPr>
              <w:t>o sobre el Anexo 2 del Apéndice </w:t>
            </w:r>
            <w:r w:rsidRPr="00CC5819">
              <w:rPr>
                <w:rFonts w:asciiTheme="minorHAnsi" w:hAnsiTheme="minorHAnsi" w:cstheme="minorHAnsi"/>
                <w:b/>
                <w:szCs w:val="22"/>
              </w:rPr>
              <w:t>4</w:t>
            </w:r>
            <w:r w:rsidRPr="00CC5819">
              <w:rPr>
                <w:rFonts w:asciiTheme="minorHAnsi" w:hAnsiTheme="minorHAnsi" w:cstheme="minorHAnsi"/>
                <w:szCs w:val="22"/>
              </w:rPr>
              <w:t xml:space="preserve"> del RR.</w:t>
            </w:r>
          </w:p>
        </w:tc>
      </w:tr>
      <w:tr w:rsidR="00101A67" w:rsidRPr="00CC5819" w14:paraId="70A2F0B4" w14:textId="77777777" w:rsidTr="005C3B64">
        <w:trPr>
          <w:trHeight w:val="552"/>
        </w:trPr>
        <w:tc>
          <w:tcPr>
            <w:cnfStyle w:val="001000000000" w:firstRow="0" w:lastRow="0" w:firstColumn="1" w:lastColumn="0" w:oddVBand="0" w:evenVBand="0" w:oddHBand="0" w:evenHBand="0" w:firstRowFirstColumn="0" w:firstRowLastColumn="0" w:lastRowFirstColumn="0" w:lastRowLastColumn="0"/>
            <w:tcW w:w="805" w:type="dxa"/>
          </w:tcPr>
          <w:p w14:paraId="029BE252"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4.2</w:t>
            </w:r>
          </w:p>
        </w:tc>
        <w:tc>
          <w:tcPr>
            <w:tcW w:w="3865" w:type="dxa"/>
          </w:tcPr>
          <w:p w14:paraId="31460E93" w14:textId="7DAFB214"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 xml:space="preserve">Proyecto de Regla de Procedimiento </w:t>
            </w:r>
            <w:r w:rsidRPr="00CC5819">
              <w:rPr>
                <w:rFonts w:asciiTheme="minorHAnsi" w:hAnsiTheme="minorHAnsi" w:cstheme="minorHAnsi"/>
                <w:szCs w:val="22"/>
              </w:rPr>
              <w:br/>
            </w:r>
            <w:hyperlink r:id="rId25" w:history="1">
              <w:r w:rsidRPr="00CC5819">
                <w:rPr>
                  <w:rFonts w:asciiTheme="minorHAnsi" w:hAnsiTheme="minorHAnsi" w:cstheme="minorHAnsi"/>
                  <w:color w:val="0000FF" w:themeColor="hyperlink"/>
                  <w:szCs w:val="22"/>
                  <w:u w:val="single"/>
                  <w:lang w:eastAsia="zh-CN"/>
                </w:rPr>
                <w:t>CCRR/63</w:t>
              </w:r>
            </w:hyperlink>
          </w:p>
        </w:tc>
        <w:tc>
          <w:tcPr>
            <w:tcW w:w="6946" w:type="dxa"/>
          </w:tcPr>
          <w:p w14:paraId="67A9EC61"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 xml:space="preserve">La Junta debatió el proyecto de Regla de Procedimiento distribuida a las administraciones mediante la Carta Circular CCRR/63 y observó que no se habían recibido comentarios de las administraciones. La Junta aprobó la Regla de Procedimiento sin modificaciones, tal y como figura en el Anexo 1 al presente resumen de decisiones. </w:t>
            </w:r>
          </w:p>
        </w:tc>
        <w:tc>
          <w:tcPr>
            <w:tcW w:w="2413" w:type="dxa"/>
          </w:tcPr>
          <w:p w14:paraId="7CDE20F2" w14:textId="642C84D6"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 Secretario Ejecutivo actualizará y publicará las Reglas de Procedimiento en consecuencia.</w:t>
            </w:r>
          </w:p>
        </w:tc>
      </w:tr>
      <w:tr w:rsidR="00101A67" w:rsidRPr="00CC5819" w14:paraId="50AB0C03" w14:textId="77777777" w:rsidTr="005C3B64">
        <w:trPr>
          <w:trHeight w:val="483"/>
        </w:trPr>
        <w:tc>
          <w:tcPr>
            <w:cnfStyle w:val="001000000000" w:firstRow="0" w:lastRow="0" w:firstColumn="1" w:lastColumn="0" w:oddVBand="0" w:evenVBand="0" w:oddHBand="0" w:evenHBand="0" w:firstRowFirstColumn="0" w:firstRowLastColumn="0" w:lastRowFirstColumn="0" w:lastRowLastColumn="0"/>
            <w:tcW w:w="805" w:type="dxa"/>
          </w:tcPr>
          <w:p w14:paraId="35F90EEB"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5</w:t>
            </w:r>
          </w:p>
        </w:tc>
        <w:tc>
          <w:tcPr>
            <w:tcW w:w="13224" w:type="dxa"/>
            <w:gridSpan w:val="3"/>
          </w:tcPr>
          <w:p w14:paraId="2EBE2C02" w14:textId="432F166E"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CC5819">
              <w:rPr>
                <w:rFonts w:asciiTheme="minorHAnsi" w:hAnsiTheme="minorHAnsi" w:cstheme="minorHAnsi"/>
                <w:b/>
                <w:szCs w:val="22"/>
              </w:rPr>
              <w:t xml:space="preserve">Solicitudes de prórroga del plazo reglamentario para </w:t>
            </w:r>
            <w:r w:rsidR="00C0736D">
              <w:rPr>
                <w:rFonts w:asciiTheme="minorHAnsi" w:hAnsiTheme="minorHAnsi" w:cstheme="minorHAnsi"/>
                <w:b/>
                <w:szCs w:val="22"/>
              </w:rPr>
              <w:t>poner o volver a poner</w:t>
            </w:r>
            <w:r w:rsidRPr="00CC5819">
              <w:rPr>
                <w:rFonts w:asciiTheme="minorHAnsi" w:hAnsiTheme="minorHAnsi" w:cstheme="minorHAnsi"/>
                <w:b/>
                <w:szCs w:val="22"/>
              </w:rPr>
              <w:t xml:space="preserve"> en servicio de asignaciones de frecuencias a redes de satélites</w:t>
            </w:r>
          </w:p>
        </w:tc>
      </w:tr>
      <w:tr w:rsidR="00101A67" w:rsidRPr="00CC5819" w14:paraId="12FC55D0" w14:textId="77777777" w:rsidTr="005C3B64">
        <w:trPr>
          <w:trHeight w:val="1207"/>
        </w:trPr>
        <w:tc>
          <w:tcPr>
            <w:cnfStyle w:val="001000000000" w:firstRow="0" w:lastRow="0" w:firstColumn="1" w:lastColumn="0" w:oddVBand="0" w:evenVBand="0" w:oddHBand="0" w:evenHBand="0" w:firstRowFirstColumn="0" w:firstRowLastColumn="0" w:lastRowFirstColumn="0" w:lastRowLastColumn="0"/>
            <w:tcW w:w="805" w:type="dxa"/>
          </w:tcPr>
          <w:p w14:paraId="4CF8AD46"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5.1</w:t>
            </w:r>
          </w:p>
        </w:tc>
        <w:tc>
          <w:tcPr>
            <w:tcW w:w="3865" w:type="dxa"/>
          </w:tcPr>
          <w:p w14:paraId="7B1C3CA1" w14:textId="69EE391A"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Comunicación de la Administración de Indonesia en virtud de la cual se solicita una prórroga del plazo reglamentario para volver a poner en servicio las asignaciones de frecuencia a la red de satélites GARUDA-2 (123°E)</w:t>
            </w:r>
            <w:r w:rsidRPr="00CC5819">
              <w:rPr>
                <w:rFonts w:asciiTheme="minorHAnsi" w:hAnsiTheme="minorHAnsi" w:cstheme="minorHAnsi"/>
                <w:szCs w:val="22"/>
              </w:rPr>
              <w:br/>
            </w:r>
            <w:hyperlink r:id="rId26" w:history="1">
              <w:r w:rsidRPr="00CC5819">
                <w:rPr>
                  <w:rFonts w:asciiTheme="minorHAnsi" w:hAnsiTheme="minorHAnsi" w:cstheme="minorHAnsi"/>
                  <w:color w:val="0000FF" w:themeColor="hyperlink"/>
                  <w:szCs w:val="22"/>
                  <w:u w:val="single"/>
                </w:rPr>
                <w:t>RRB19-3/3</w:t>
              </w:r>
            </w:hyperlink>
            <w:r w:rsidRPr="00CC5819">
              <w:rPr>
                <w:rFonts w:asciiTheme="minorHAnsi" w:hAnsiTheme="minorHAnsi" w:cstheme="minorHAnsi"/>
                <w:color w:val="0000FF" w:themeColor="hyperlink"/>
                <w:szCs w:val="22"/>
                <w:u w:val="single"/>
              </w:rPr>
              <w:t xml:space="preserve">; </w:t>
            </w:r>
            <w:hyperlink r:id="rId27" w:history="1">
              <w:r w:rsidRPr="00CC5819">
                <w:rPr>
                  <w:rFonts w:asciiTheme="minorHAnsi" w:hAnsiTheme="minorHAnsi" w:cstheme="minorHAnsi"/>
                  <w:color w:val="0000FF" w:themeColor="hyperlink"/>
                  <w:szCs w:val="22"/>
                  <w:u w:val="single"/>
                </w:rPr>
                <w:t>RRB19-3/DELAYED/1</w:t>
              </w:r>
            </w:hyperlink>
          </w:p>
        </w:tc>
        <w:tc>
          <w:tcPr>
            <w:tcW w:w="6946" w:type="dxa"/>
          </w:tcPr>
          <w:p w14:paraId="054EE367"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examinó el Documento RRB19-3/3 de la Administración de Indonesia y el Documento RRB19-3/DELAYED/1 de la Administración de los Emiratos Árabes Unidos a título informativo.</w:t>
            </w:r>
          </w:p>
          <w:p w14:paraId="3E76A416"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expresó su solidaridad con la Administración de Indonesia por las dificultades encontradas y observó que:</w:t>
            </w:r>
          </w:p>
          <w:p w14:paraId="6881A646" w14:textId="2A647034" w:rsidR="00101A67" w:rsidRPr="00776F46" w:rsidRDefault="00776F46" w:rsidP="00776F46">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sidRPr="00776F46">
              <w:rPr>
                <w:rFonts w:asciiTheme="minorHAnsi" w:eastAsiaTheme="minorEastAsia" w:hAnsiTheme="minorHAnsi" w:cstheme="minorHAnsi"/>
                <w:sz w:val="22"/>
                <w:szCs w:val="18"/>
                <w:lang w:eastAsia="zh-CN"/>
              </w:rPr>
              <w:t>•</w:t>
            </w:r>
            <w:r w:rsidRPr="00776F46">
              <w:rPr>
                <w:rFonts w:asciiTheme="minorHAnsi" w:eastAsiaTheme="minorEastAsia" w:hAnsiTheme="minorHAnsi" w:cstheme="minorHAnsi"/>
                <w:sz w:val="22"/>
                <w:szCs w:val="18"/>
                <w:lang w:eastAsia="zh-CN"/>
              </w:rPr>
              <w:tab/>
            </w:r>
            <w:r w:rsidR="00101A67" w:rsidRPr="00776F46">
              <w:rPr>
                <w:rFonts w:asciiTheme="minorHAnsi" w:eastAsiaTheme="minorEastAsia" w:hAnsiTheme="minorHAnsi" w:cstheme="minorHAnsi"/>
                <w:sz w:val="22"/>
                <w:szCs w:val="18"/>
                <w:lang w:eastAsia="zh-CN"/>
              </w:rPr>
              <w:t>Es difícil encontrar satélites de sustitución en la banda L;</w:t>
            </w:r>
          </w:p>
          <w:p w14:paraId="50D4B3CE" w14:textId="6E0C7460" w:rsidR="00101A67" w:rsidRPr="00CC5819" w:rsidRDefault="00207845" w:rsidP="00207845">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La Administración de Indonesia había invocado el Artículo 44 de la</w:t>
            </w:r>
            <w:r w:rsidR="00F355D5">
              <w:rPr>
                <w:rFonts w:asciiTheme="minorHAnsi" w:eastAsiaTheme="minorEastAsia" w:hAnsiTheme="minorHAnsi" w:cstheme="minorHAnsi"/>
                <w:sz w:val="22"/>
                <w:szCs w:val="22"/>
                <w:lang w:eastAsia="zh-CN"/>
              </w:rPr>
              <w:t> </w:t>
            </w:r>
            <w:r w:rsidR="00101A67" w:rsidRPr="00CC5819">
              <w:rPr>
                <w:rFonts w:asciiTheme="minorHAnsi" w:eastAsiaTheme="minorEastAsia" w:hAnsiTheme="minorHAnsi" w:cstheme="minorHAnsi"/>
                <w:sz w:val="22"/>
                <w:szCs w:val="22"/>
                <w:lang w:eastAsia="zh-CN"/>
              </w:rPr>
              <w:t>CS y el 196 de la CS en su solicitud de prórroga del plazo reglamentario para volver a poner en servicio las asignaciones de frecuencia a la red de satélites GARUDA-2 (123°</w:t>
            </w:r>
            <w:r w:rsidR="00704BAA">
              <w:rPr>
                <w:rFonts w:asciiTheme="minorHAnsi" w:eastAsiaTheme="minorEastAsia" w:hAnsiTheme="minorHAnsi" w:cstheme="minorHAnsi"/>
                <w:sz w:val="22"/>
                <w:szCs w:val="22"/>
                <w:lang w:eastAsia="zh-CN"/>
              </w:rPr>
              <w:t> </w:t>
            </w:r>
            <w:r w:rsidR="00101A67" w:rsidRPr="00CC5819">
              <w:rPr>
                <w:rFonts w:asciiTheme="minorHAnsi" w:eastAsiaTheme="minorEastAsia" w:hAnsiTheme="minorHAnsi" w:cstheme="minorHAnsi"/>
                <w:sz w:val="22"/>
                <w:szCs w:val="22"/>
                <w:lang w:eastAsia="zh-CN"/>
              </w:rPr>
              <w:t>E), en relación con las necesidades especiales de los países en desarrollo y la situación geográfica de países concretos;</w:t>
            </w:r>
          </w:p>
          <w:p w14:paraId="0B02C0A7" w14:textId="4DAA0231" w:rsidR="00101A67" w:rsidRPr="00CC5819" w:rsidRDefault="00207845" w:rsidP="00207845">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Administración de Indonesia ya había presentado esta solicitud también a la CMR-19 (véase el Documento </w:t>
            </w:r>
            <w:hyperlink r:id="rId28" w:history="1">
              <w:r w:rsidR="00101A67" w:rsidRPr="00CC5819">
                <w:rPr>
                  <w:rFonts w:asciiTheme="minorHAnsi" w:eastAsiaTheme="minorEastAsia" w:hAnsiTheme="minorHAnsi" w:cstheme="minorHAnsi"/>
                  <w:color w:val="0000FF" w:themeColor="hyperlink"/>
                  <w:sz w:val="22"/>
                  <w:szCs w:val="22"/>
                  <w:u w:val="single"/>
                  <w:lang w:eastAsia="zh-CN"/>
                </w:rPr>
                <w:t>CMR19/35(Add.25)</w:t>
              </w:r>
            </w:hyperlink>
            <w:r w:rsidR="00101A67" w:rsidRPr="00CC5819">
              <w:rPr>
                <w:rFonts w:asciiTheme="minorHAnsi" w:eastAsiaTheme="minorEastAsia" w:hAnsiTheme="minorHAnsi" w:cstheme="minorHAnsi"/>
                <w:sz w:val="22"/>
                <w:szCs w:val="22"/>
                <w:lang w:eastAsia="zh-CN"/>
              </w:rPr>
              <w:t>);</w:t>
            </w:r>
          </w:p>
          <w:p w14:paraId="03A57FD8" w14:textId="77777777" w:rsidR="00101A67" w:rsidRPr="00CC5819" w:rsidRDefault="00207845" w:rsidP="00207845">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En la actualidad, la autoridad de la Junta estaba limitada a la concesión de prórrogas del plazo reglamentario para poner en servicio o volver a poner en servicio asignaciones de frecuencias a una red de satélites en casos de fuerza mayor o de retraso por lanzamiento colectivo.</w:t>
            </w:r>
          </w:p>
          <w:p w14:paraId="7F262548"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concluyó que no estaba dentro de las atribuciones de la Junta acceder a la solicitud de la Administración de Indonesia.</w:t>
            </w:r>
          </w:p>
        </w:tc>
        <w:tc>
          <w:tcPr>
            <w:tcW w:w="2413" w:type="dxa"/>
          </w:tcPr>
          <w:p w14:paraId="7571349D" w14:textId="1AF0F11E"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 Secretario Ejecutivo comunicará estas decisiones a las administraciones concernidas.</w:t>
            </w:r>
          </w:p>
        </w:tc>
      </w:tr>
      <w:tr w:rsidR="00101A67" w:rsidRPr="00CC5819" w14:paraId="5FAC8A93" w14:textId="77777777" w:rsidTr="005C3B64">
        <w:trPr>
          <w:trHeight w:val="498"/>
        </w:trPr>
        <w:tc>
          <w:tcPr>
            <w:cnfStyle w:val="001000000000" w:firstRow="0" w:lastRow="0" w:firstColumn="1" w:lastColumn="0" w:oddVBand="0" w:evenVBand="0" w:oddHBand="0" w:evenHBand="0" w:firstRowFirstColumn="0" w:firstRowLastColumn="0" w:lastRowFirstColumn="0" w:lastRowLastColumn="0"/>
            <w:tcW w:w="805" w:type="dxa"/>
          </w:tcPr>
          <w:p w14:paraId="7574B9E4"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5.2</w:t>
            </w:r>
          </w:p>
        </w:tc>
        <w:tc>
          <w:tcPr>
            <w:tcW w:w="3865" w:type="dxa"/>
          </w:tcPr>
          <w:p w14:paraId="1A0C5BE9" w14:textId="294A96D0"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CC5819">
              <w:rPr>
                <w:rFonts w:asciiTheme="minorHAnsi" w:eastAsiaTheme="minorEastAsia" w:hAnsiTheme="minorHAnsi" w:cstheme="minorHAnsi"/>
                <w:color w:val="000000"/>
                <w:szCs w:val="22"/>
                <w:lang w:eastAsia="zh-CN"/>
              </w:rPr>
              <w:t>Comunicación de la Administración de la Federación de Rusia en virtud de la cual se solicita una prórroga del plazo reglamentario para la puesta en servicio de las asignaciones de frecuencias a la red de satélites INTERSPUTNIK-98E-F</w:t>
            </w:r>
            <w:r w:rsidRPr="00CC5819">
              <w:rPr>
                <w:rFonts w:asciiTheme="minorHAnsi" w:eastAsiaTheme="minorEastAsia" w:hAnsiTheme="minorHAnsi" w:cstheme="minorHAnsi"/>
                <w:color w:val="000000"/>
                <w:szCs w:val="22"/>
                <w:lang w:eastAsia="zh-CN"/>
              </w:rPr>
              <w:br/>
            </w:r>
            <w:hyperlink r:id="rId29" w:history="1">
              <w:r w:rsidRPr="00CC5819">
                <w:rPr>
                  <w:rFonts w:asciiTheme="minorHAnsi" w:eastAsiaTheme="minorEastAsia" w:hAnsiTheme="minorHAnsi" w:cstheme="minorHAnsi"/>
                  <w:color w:val="0000FF" w:themeColor="hyperlink"/>
                  <w:szCs w:val="22"/>
                  <w:u w:val="single"/>
                  <w:lang w:eastAsia="zh-CN"/>
                </w:rPr>
                <w:t>RRB19-3/5</w:t>
              </w:r>
            </w:hyperlink>
          </w:p>
        </w:tc>
        <w:tc>
          <w:tcPr>
            <w:tcW w:w="6946" w:type="dxa"/>
          </w:tcPr>
          <w:p w14:paraId="672ECBB0"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CC5819">
              <w:rPr>
                <w:rFonts w:asciiTheme="minorHAnsi" w:eastAsiaTheme="minorEastAsia" w:hAnsiTheme="minorHAnsi" w:cstheme="minorHAnsi"/>
                <w:color w:val="000000"/>
                <w:szCs w:val="22"/>
                <w:lang w:eastAsia="zh-CN"/>
              </w:rPr>
              <w:t>La Junta examinó la solicitud de la Federación de Rusia que figuraba en el Documento RRB19-3/5 e indicó que se habría agradecido disponer de información más detallada sobre el proyecto de satélite (fecha de adquisición, situación actual del satélite). La Junta observó que:</w:t>
            </w:r>
          </w:p>
          <w:p w14:paraId="09491B2C" w14:textId="4BD41A4B" w:rsidR="00101A67" w:rsidRPr="00836946" w:rsidRDefault="00836946" w:rsidP="00836946">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18"/>
                <w:lang w:eastAsia="zh-CN"/>
              </w:rPr>
            </w:pPr>
            <w:r w:rsidRPr="00836946">
              <w:rPr>
                <w:rFonts w:asciiTheme="minorHAnsi" w:eastAsiaTheme="minorEastAsia" w:hAnsiTheme="minorHAnsi" w:cstheme="minorHAnsi"/>
                <w:sz w:val="22"/>
                <w:szCs w:val="18"/>
                <w:lang w:eastAsia="zh-CN"/>
              </w:rPr>
              <w:t>•</w:t>
            </w:r>
            <w:r>
              <w:rPr>
                <w:rFonts w:asciiTheme="minorHAnsi" w:eastAsiaTheme="minorEastAsia" w:hAnsiTheme="minorHAnsi" w:cstheme="minorHAnsi"/>
                <w:sz w:val="22"/>
                <w:szCs w:val="18"/>
                <w:lang w:eastAsia="zh-CN"/>
              </w:rPr>
              <w:tab/>
            </w:r>
            <w:r w:rsidR="00101A67" w:rsidRPr="00836946">
              <w:rPr>
                <w:rFonts w:asciiTheme="minorHAnsi" w:eastAsiaTheme="minorEastAsia" w:hAnsiTheme="minorHAnsi" w:cstheme="minorHAnsi"/>
                <w:sz w:val="22"/>
                <w:szCs w:val="18"/>
                <w:lang w:eastAsia="zh-CN"/>
              </w:rPr>
              <w:t xml:space="preserve">La Federación de Rusia actuaba como administración notificante en nombre de la organización intergubernamental </w:t>
            </w:r>
            <w:proofErr w:type="spellStart"/>
            <w:r w:rsidR="00101A67" w:rsidRPr="00836946">
              <w:rPr>
                <w:rFonts w:asciiTheme="minorHAnsi" w:eastAsiaTheme="minorEastAsia" w:hAnsiTheme="minorHAnsi" w:cstheme="minorHAnsi"/>
                <w:sz w:val="22"/>
                <w:szCs w:val="18"/>
                <w:lang w:eastAsia="zh-CN"/>
              </w:rPr>
              <w:t>Intersputnik</w:t>
            </w:r>
            <w:proofErr w:type="spellEnd"/>
            <w:r w:rsidR="00101A67" w:rsidRPr="00836946">
              <w:rPr>
                <w:rFonts w:asciiTheme="minorHAnsi" w:eastAsiaTheme="minorEastAsia" w:hAnsiTheme="minorHAnsi" w:cstheme="minorHAnsi"/>
                <w:sz w:val="22"/>
                <w:szCs w:val="18"/>
                <w:lang w:eastAsia="zh-CN"/>
              </w:rPr>
              <w:t>;</w:t>
            </w:r>
          </w:p>
          <w:p w14:paraId="54A4209A" w14:textId="7A4F741D" w:rsidR="00101A67" w:rsidRPr="00836946" w:rsidRDefault="00836946" w:rsidP="00836946">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18"/>
                <w:lang w:eastAsia="zh-CN"/>
              </w:rPr>
            </w:pPr>
            <w:r w:rsidRPr="00836946">
              <w:rPr>
                <w:rFonts w:asciiTheme="minorHAnsi" w:eastAsiaTheme="minorEastAsia" w:hAnsiTheme="minorHAnsi" w:cstheme="minorHAnsi"/>
                <w:sz w:val="22"/>
                <w:szCs w:val="18"/>
                <w:lang w:eastAsia="zh-CN"/>
              </w:rPr>
              <w:t>•</w:t>
            </w:r>
            <w:r>
              <w:rPr>
                <w:rFonts w:asciiTheme="minorHAnsi" w:eastAsiaTheme="minorEastAsia" w:hAnsiTheme="minorHAnsi" w:cstheme="minorHAnsi"/>
                <w:sz w:val="22"/>
                <w:szCs w:val="18"/>
                <w:lang w:eastAsia="zh-CN"/>
              </w:rPr>
              <w:tab/>
            </w:r>
            <w:r w:rsidR="00101A67" w:rsidRPr="00836946">
              <w:rPr>
                <w:rFonts w:asciiTheme="minorHAnsi" w:eastAsiaTheme="minorEastAsia" w:hAnsiTheme="minorHAnsi" w:cstheme="minorHAnsi"/>
                <w:sz w:val="22"/>
                <w:szCs w:val="18"/>
                <w:lang w:eastAsia="zh-CN"/>
              </w:rPr>
              <w:t>La solicitud cumplía los requisitos para ser considerada como un caso de retraso por lanzamiento colectivo y, como tal, podía ser considerado por la Junta con arreglo a sus atribuciones;</w:t>
            </w:r>
          </w:p>
          <w:p w14:paraId="3783A7EF" w14:textId="5526825B" w:rsidR="00101A67" w:rsidRPr="00CC5819" w:rsidRDefault="00836946" w:rsidP="00836946">
            <w:pPr>
              <w:pStyle w:val="enumlev1"/>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836946">
              <w:rPr>
                <w:rFonts w:asciiTheme="minorHAnsi" w:eastAsiaTheme="minorEastAsia" w:hAnsiTheme="minorHAnsi" w:cstheme="minorHAnsi"/>
                <w:sz w:val="22"/>
                <w:szCs w:val="18"/>
                <w:lang w:eastAsia="zh-CN"/>
              </w:rPr>
              <w:t>•</w:t>
            </w:r>
            <w:r>
              <w:rPr>
                <w:rFonts w:asciiTheme="minorHAnsi" w:eastAsiaTheme="minorEastAsia" w:hAnsiTheme="minorHAnsi" w:cstheme="minorHAnsi"/>
                <w:sz w:val="22"/>
                <w:szCs w:val="18"/>
                <w:lang w:eastAsia="zh-CN"/>
              </w:rPr>
              <w:tab/>
            </w:r>
            <w:r w:rsidR="00101A67" w:rsidRPr="00836946">
              <w:rPr>
                <w:rFonts w:asciiTheme="minorHAnsi" w:eastAsiaTheme="minorEastAsia" w:hAnsiTheme="minorHAnsi" w:cstheme="minorHAnsi"/>
                <w:sz w:val="22"/>
                <w:szCs w:val="18"/>
                <w:lang w:eastAsia="zh-CN"/>
              </w:rPr>
              <w:t>La solicitud de prórroga del plazo reglamentario para la puesta en servicio de las asignaciones de frecuencia a la red de satélites INTERSPUTNIK-98E-F se hacía para</w:t>
            </w:r>
            <w:r w:rsidR="001B3B9D" w:rsidRPr="00836946">
              <w:rPr>
                <w:rFonts w:asciiTheme="minorHAnsi" w:eastAsiaTheme="minorEastAsia" w:hAnsiTheme="minorHAnsi" w:cstheme="minorHAnsi"/>
                <w:sz w:val="22"/>
                <w:szCs w:val="18"/>
                <w:lang w:eastAsia="zh-CN"/>
              </w:rPr>
              <w:t xml:space="preserve"> un peri</w:t>
            </w:r>
            <w:r w:rsidR="00101A67" w:rsidRPr="00836946">
              <w:rPr>
                <w:rFonts w:asciiTheme="minorHAnsi" w:eastAsiaTheme="minorEastAsia" w:hAnsiTheme="minorHAnsi" w:cstheme="minorHAnsi"/>
                <w:sz w:val="22"/>
                <w:szCs w:val="18"/>
                <w:lang w:eastAsia="zh-CN"/>
              </w:rPr>
              <w:t>odo cualificado y limitado de diez meses.</w:t>
            </w:r>
          </w:p>
          <w:p w14:paraId="50CE5C8E"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CC5819">
              <w:rPr>
                <w:rFonts w:asciiTheme="minorHAnsi" w:eastAsiaTheme="minorEastAsia" w:hAnsiTheme="minorHAnsi" w:cstheme="minorHAnsi"/>
                <w:color w:val="000000"/>
                <w:szCs w:val="22"/>
                <w:lang w:eastAsia="zh-CN"/>
              </w:rPr>
              <w:t>En consecuencia, La Junta decidió acceder a la petición de la Federación de Rusia d</w:t>
            </w:r>
            <w:r w:rsidR="001B3B9D" w:rsidRPr="00CC5819">
              <w:rPr>
                <w:rFonts w:asciiTheme="minorHAnsi" w:eastAsiaTheme="minorEastAsia" w:hAnsiTheme="minorHAnsi" w:cstheme="minorHAnsi"/>
                <w:color w:val="000000"/>
                <w:szCs w:val="22"/>
                <w:lang w:eastAsia="zh-CN"/>
              </w:rPr>
              <w:t>e conceder una prórroga del peri</w:t>
            </w:r>
            <w:r w:rsidRPr="00CC5819">
              <w:rPr>
                <w:rFonts w:asciiTheme="minorHAnsi" w:eastAsiaTheme="minorEastAsia" w:hAnsiTheme="minorHAnsi" w:cstheme="minorHAnsi"/>
                <w:color w:val="000000"/>
                <w:szCs w:val="22"/>
                <w:lang w:eastAsia="zh-CN"/>
              </w:rPr>
              <w:t>odo reglamentario para poner en servicio las asignaciones de frecuencia a la red de satélites INTERSPUTNIK-98E-F hasta el 29 de abril de 2021.</w:t>
            </w:r>
          </w:p>
        </w:tc>
        <w:tc>
          <w:tcPr>
            <w:tcW w:w="2413" w:type="dxa"/>
          </w:tcPr>
          <w:p w14:paraId="17C1A089"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 Secretario Ejecutivo comunicará estas decisiones a la administración concernida.</w:t>
            </w:r>
          </w:p>
          <w:p w14:paraId="7A385F4A"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 xml:space="preserve">La Oficina tendrá en cuenta la </w:t>
            </w:r>
            <w:r w:rsidR="001B3B9D" w:rsidRPr="00CC5819">
              <w:rPr>
                <w:rFonts w:asciiTheme="minorHAnsi" w:hAnsiTheme="minorHAnsi" w:cstheme="minorHAnsi"/>
                <w:szCs w:val="22"/>
              </w:rPr>
              <w:t>prórroga del peri</w:t>
            </w:r>
            <w:r w:rsidRPr="00CC5819">
              <w:rPr>
                <w:rFonts w:asciiTheme="minorHAnsi" w:hAnsiTheme="minorHAnsi" w:cstheme="minorHAnsi"/>
                <w:szCs w:val="22"/>
              </w:rPr>
              <w:t>odo reglamentario para poner en servicio las asignaciones de frecuencia a la red de satélites INTERSPUTNIK-98E-F hasta el 29 de abril de 2021.</w:t>
            </w:r>
          </w:p>
        </w:tc>
      </w:tr>
      <w:tr w:rsidR="00101A67" w:rsidRPr="00CC5819" w14:paraId="0B5BC170" w14:textId="77777777" w:rsidTr="005C3B64">
        <w:trPr>
          <w:trHeight w:val="639"/>
        </w:trPr>
        <w:tc>
          <w:tcPr>
            <w:cnfStyle w:val="001000000000" w:firstRow="0" w:lastRow="0" w:firstColumn="1" w:lastColumn="0" w:oddVBand="0" w:evenVBand="0" w:oddHBand="0" w:evenHBand="0" w:firstRowFirstColumn="0" w:firstRowLastColumn="0" w:lastRowFirstColumn="0" w:lastRowLastColumn="0"/>
            <w:tcW w:w="805" w:type="dxa"/>
          </w:tcPr>
          <w:p w14:paraId="794D0A6E"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6</w:t>
            </w:r>
          </w:p>
        </w:tc>
        <w:tc>
          <w:tcPr>
            <w:tcW w:w="3865" w:type="dxa"/>
          </w:tcPr>
          <w:p w14:paraId="1B9626C8" w14:textId="6A31E4D6"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Comunicación de la Administración de China para solicitar una apelación de la decisión de la Junta en relación con las asignaciones de frecuencias a las redes de satélite ASIASAT-AK, ASIASA-AK1 y ASIASAT-AKX en el Registro Internacional</w:t>
            </w:r>
            <w:r w:rsidRPr="00CC5819">
              <w:rPr>
                <w:rFonts w:asciiTheme="minorHAnsi" w:hAnsiTheme="minorHAnsi" w:cstheme="minorHAnsi"/>
                <w:szCs w:val="22"/>
              </w:rPr>
              <w:br/>
            </w:r>
            <w:hyperlink r:id="rId30" w:history="1">
              <w:r w:rsidRPr="00CC5819">
                <w:rPr>
                  <w:rFonts w:asciiTheme="minorHAnsi" w:hAnsiTheme="minorHAnsi" w:cstheme="minorHAnsi"/>
                  <w:color w:val="0000FF" w:themeColor="hyperlink"/>
                  <w:szCs w:val="22"/>
                  <w:u w:val="single"/>
                </w:rPr>
                <w:t>RRB19-3/4</w:t>
              </w:r>
            </w:hyperlink>
          </w:p>
        </w:tc>
        <w:tc>
          <w:tcPr>
            <w:tcW w:w="6946" w:type="dxa"/>
          </w:tcPr>
          <w:p w14:paraId="6A5A9434"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examinó detalladamente la solicitud de la Administración de China recogida en el Documento RRB19-3/4 y observó que las apelaciones</w:t>
            </w:r>
            <w:r w:rsidR="00843036" w:rsidRPr="00CC5819">
              <w:rPr>
                <w:rFonts w:asciiTheme="minorHAnsi" w:hAnsiTheme="minorHAnsi" w:cstheme="minorHAnsi"/>
                <w:szCs w:val="22"/>
              </w:rPr>
              <w:t xml:space="preserve"> </w:t>
            </w:r>
            <w:r w:rsidRPr="00CC5819">
              <w:rPr>
                <w:rFonts w:asciiTheme="minorHAnsi" w:hAnsiTheme="minorHAnsi" w:cstheme="minorHAnsi"/>
                <w:szCs w:val="22"/>
              </w:rPr>
              <w:t xml:space="preserve">de las decisiones de la Junta deben someterse a una Conferencia Mundial de Radiocomunicaciones (véase el número </w:t>
            </w:r>
            <w:r w:rsidRPr="00444C00">
              <w:rPr>
                <w:rFonts w:asciiTheme="minorHAnsi" w:hAnsiTheme="minorHAnsi" w:cstheme="minorHAnsi"/>
                <w:b/>
                <w:bCs/>
                <w:szCs w:val="22"/>
              </w:rPr>
              <w:t>14.6</w:t>
            </w:r>
            <w:r w:rsidRPr="00CC5819">
              <w:rPr>
                <w:rFonts w:asciiTheme="minorHAnsi" w:hAnsiTheme="minorHAnsi" w:cstheme="minorHAnsi"/>
                <w:szCs w:val="22"/>
              </w:rPr>
              <w:t xml:space="preserve"> del RR y el párrafo 3.3 de la Parte C de las Reglas de Procedimiento sobre disposiciones y métodos de trabajo internos de la Junta del Reglamento de Radiocomunicaciones). La Junta observó además que:</w:t>
            </w:r>
          </w:p>
          <w:p w14:paraId="2FF48F05" w14:textId="77777777" w:rsidR="00101A67" w:rsidRPr="00CC5819" w:rsidRDefault="00890A53" w:rsidP="00890A53">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La comunicación recogida en el Documento RRB19-3/4 no facilitaba nueva información que pudiera afectar a la decisión adoptada por la Junta en su 81ª reunión;</w:t>
            </w:r>
          </w:p>
          <w:p w14:paraId="541F7D85" w14:textId="6C4416E8" w:rsidR="00101A67" w:rsidRPr="00CC5819" w:rsidRDefault="00890A53" w:rsidP="00890A53">
            <w:pPr>
              <w:pStyle w:val="enumlev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lang w:eastAsia="zh-CN"/>
              </w:rPr>
            </w:pPr>
            <w:r w:rsidRPr="00CC5819">
              <w:rPr>
                <w:rFonts w:asciiTheme="minorHAnsi" w:eastAsiaTheme="minorEastAsia" w:hAnsiTheme="minorHAnsi" w:cstheme="minorHAnsi"/>
                <w:sz w:val="22"/>
                <w:szCs w:val="22"/>
                <w:lang w:eastAsia="zh-CN"/>
              </w:rPr>
              <w:t>•</w:t>
            </w:r>
            <w:r w:rsidRPr="00CC5819">
              <w:rPr>
                <w:rFonts w:asciiTheme="minorHAnsi" w:eastAsiaTheme="minorEastAsia" w:hAnsiTheme="minorHAnsi" w:cstheme="minorHAnsi"/>
                <w:sz w:val="22"/>
                <w:szCs w:val="22"/>
                <w:lang w:eastAsia="zh-CN"/>
              </w:rPr>
              <w:tab/>
            </w:r>
            <w:r w:rsidR="00101A67" w:rsidRPr="00CC5819">
              <w:rPr>
                <w:rFonts w:asciiTheme="minorHAnsi" w:eastAsiaTheme="minorEastAsia" w:hAnsiTheme="minorHAnsi" w:cstheme="minorHAnsi"/>
                <w:sz w:val="22"/>
                <w:szCs w:val="22"/>
                <w:lang w:eastAsia="zh-CN"/>
              </w:rPr>
              <w:t xml:space="preserve">La Administración de China ya ha sometido a la CMR-19 una apelación de la decisión de la Junta (véase el Documento </w:t>
            </w:r>
            <w:hyperlink r:id="rId31" w:history="1">
              <w:r w:rsidR="00101A67" w:rsidRPr="00CC5819">
                <w:rPr>
                  <w:rFonts w:asciiTheme="minorHAnsi" w:eastAsiaTheme="minorEastAsia" w:hAnsiTheme="minorHAnsi" w:cstheme="minorHAnsi"/>
                  <w:color w:val="0000FF" w:themeColor="hyperlink"/>
                  <w:sz w:val="22"/>
                  <w:szCs w:val="22"/>
                  <w:u w:val="single"/>
                  <w:lang w:eastAsia="zh-CN"/>
                </w:rPr>
                <w:t>CMR19/28(</w:t>
              </w:r>
              <w:proofErr w:type="spellStart"/>
              <w:r w:rsidR="00101A67" w:rsidRPr="00CC5819">
                <w:rPr>
                  <w:rFonts w:asciiTheme="minorHAnsi" w:eastAsiaTheme="minorEastAsia" w:hAnsiTheme="minorHAnsi" w:cstheme="minorHAnsi"/>
                  <w:color w:val="0000FF" w:themeColor="hyperlink"/>
                  <w:sz w:val="22"/>
                  <w:szCs w:val="22"/>
                  <w:u w:val="single"/>
                  <w:lang w:eastAsia="zh-CN"/>
                </w:rPr>
                <w:t>Add</w:t>
              </w:r>
              <w:proofErr w:type="spellEnd"/>
              <w:r w:rsidR="00101A67" w:rsidRPr="00CC5819">
                <w:rPr>
                  <w:rFonts w:asciiTheme="minorHAnsi" w:eastAsiaTheme="minorEastAsia" w:hAnsiTheme="minorHAnsi" w:cstheme="minorHAnsi"/>
                  <w:color w:val="0000FF" w:themeColor="hyperlink"/>
                  <w:sz w:val="22"/>
                  <w:szCs w:val="22"/>
                  <w:u w:val="single"/>
                  <w:lang w:eastAsia="zh-CN"/>
                </w:rPr>
                <w:t>. 22)</w:t>
              </w:r>
            </w:hyperlink>
            <w:r w:rsidR="00101A67" w:rsidRPr="00CC5819">
              <w:rPr>
                <w:rFonts w:asciiTheme="minorHAnsi" w:eastAsiaTheme="minorEastAsia" w:hAnsiTheme="minorHAnsi" w:cstheme="minorHAnsi"/>
                <w:sz w:val="22"/>
                <w:szCs w:val="22"/>
                <w:lang w:eastAsia="zh-CN"/>
              </w:rPr>
              <w:t>).</w:t>
            </w:r>
          </w:p>
          <w:p w14:paraId="571F34D3"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En consecuencia, La Junta concluyó que no podía acceder a la apelación de la Administración de China para que la Junta reconsiderara su decisión.</w:t>
            </w:r>
            <w:r w:rsidR="00843036" w:rsidRPr="00CC5819">
              <w:rPr>
                <w:rFonts w:asciiTheme="minorHAnsi" w:hAnsiTheme="minorHAnsi" w:cstheme="minorHAnsi"/>
                <w:szCs w:val="22"/>
              </w:rPr>
              <w:t xml:space="preserve"> </w:t>
            </w:r>
          </w:p>
          <w:p w14:paraId="633A76DD" w14:textId="7343DD8A"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reconoció las dificultades encontradas a la hora de aplicar</w:t>
            </w:r>
            <w:r w:rsidR="00843036" w:rsidRPr="00CC5819">
              <w:rPr>
                <w:rFonts w:asciiTheme="minorHAnsi" w:hAnsiTheme="minorHAnsi" w:cstheme="minorHAnsi"/>
                <w:szCs w:val="22"/>
              </w:rPr>
              <w:t xml:space="preserve"> </w:t>
            </w:r>
            <w:r w:rsidRPr="00CC5819">
              <w:rPr>
                <w:rFonts w:asciiTheme="minorHAnsi" w:hAnsiTheme="minorHAnsi" w:cstheme="minorHAnsi"/>
                <w:szCs w:val="22"/>
              </w:rPr>
              <w:t xml:space="preserve">el número </w:t>
            </w:r>
            <w:r w:rsidRPr="00444C00">
              <w:rPr>
                <w:rFonts w:asciiTheme="minorHAnsi" w:hAnsiTheme="minorHAnsi" w:cstheme="minorHAnsi"/>
                <w:b/>
                <w:bCs/>
                <w:szCs w:val="22"/>
              </w:rPr>
              <w:t>13.6</w:t>
            </w:r>
            <w:r w:rsidRPr="00CC5819">
              <w:rPr>
                <w:rFonts w:asciiTheme="minorHAnsi" w:hAnsiTheme="minorHAnsi" w:cstheme="minorHAnsi"/>
                <w:szCs w:val="22"/>
              </w:rPr>
              <w:t xml:space="preserve"> del RR e insistió de nuevo en la importancia del párrafo 4.7 del Informe sobre la Res. </w:t>
            </w:r>
            <w:r w:rsidRPr="00444C00">
              <w:rPr>
                <w:rFonts w:asciiTheme="minorHAnsi" w:hAnsiTheme="minorHAnsi" w:cstheme="minorHAnsi"/>
                <w:b/>
                <w:bCs/>
                <w:szCs w:val="22"/>
              </w:rPr>
              <w:t>80 (Rev.CMR-07)</w:t>
            </w:r>
            <w:r w:rsidRPr="00CC5819">
              <w:rPr>
                <w:rFonts w:asciiTheme="minorHAnsi" w:hAnsiTheme="minorHAnsi" w:cstheme="minorHAnsi"/>
                <w:szCs w:val="22"/>
              </w:rPr>
              <w:t xml:space="preserve"> a la CMR-19 (véase Documento </w:t>
            </w:r>
            <w:hyperlink r:id="rId32" w:history="1">
              <w:r w:rsidRPr="00CC5819">
                <w:rPr>
                  <w:rFonts w:asciiTheme="minorHAnsi" w:hAnsiTheme="minorHAnsi" w:cstheme="minorHAnsi"/>
                  <w:color w:val="0000FF" w:themeColor="hyperlink"/>
                  <w:szCs w:val="22"/>
                  <w:u w:val="single"/>
                </w:rPr>
                <w:t>CMR19/15</w:t>
              </w:r>
            </w:hyperlink>
            <w:r w:rsidRPr="00CC5819">
              <w:rPr>
                <w:rFonts w:asciiTheme="minorHAnsi" w:hAnsiTheme="minorHAnsi" w:cstheme="minorHAnsi"/>
                <w:szCs w:val="22"/>
              </w:rPr>
              <w:t xml:space="preserve">). Además, la Junta decidió encargar a la Oficina que publicara una carta circular que complete la información de las Cartas Circulares </w:t>
            </w:r>
            <w:hyperlink r:id="rId33" w:history="1">
              <w:r w:rsidRPr="00CC5819">
                <w:rPr>
                  <w:rFonts w:asciiTheme="minorHAnsi" w:hAnsiTheme="minorHAnsi" w:cstheme="minorHAnsi"/>
                  <w:color w:val="0000FF" w:themeColor="hyperlink"/>
                  <w:szCs w:val="22"/>
                  <w:u w:val="single"/>
                </w:rPr>
                <w:t>CR/301</w:t>
              </w:r>
            </w:hyperlink>
            <w:r w:rsidRPr="00CC5819">
              <w:rPr>
                <w:rFonts w:asciiTheme="minorHAnsi" w:hAnsiTheme="minorHAnsi" w:cstheme="minorHAnsi"/>
                <w:szCs w:val="22"/>
              </w:rPr>
              <w:t xml:space="preserve"> y </w:t>
            </w:r>
            <w:hyperlink r:id="rId34" w:history="1">
              <w:r w:rsidRPr="00CC5819">
                <w:rPr>
                  <w:rFonts w:asciiTheme="minorHAnsi" w:hAnsiTheme="minorHAnsi" w:cstheme="minorHAnsi"/>
                  <w:color w:val="0000FF" w:themeColor="hyperlink"/>
                  <w:szCs w:val="22"/>
                  <w:u w:val="single"/>
                </w:rPr>
                <w:t>CR/343</w:t>
              </w:r>
            </w:hyperlink>
            <w:r w:rsidRPr="00CC5819">
              <w:rPr>
                <w:rFonts w:asciiTheme="minorHAnsi" w:hAnsiTheme="minorHAnsi" w:cstheme="minorHAnsi"/>
                <w:szCs w:val="22"/>
              </w:rPr>
              <w:t xml:space="preserve">. En esta Carta Circular se explicaría la práctica general de la Oficina, incluidas sus actuales capacidades para realizar la comprobación técnica de las bandas de frecuencias a bordo de los satélites, en aplicación del número </w:t>
            </w:r>
            <w:r w:rsidRPr="00444C00">
              <w:rPr>
                <w:rFonts w:asciiTheme="minorHAnsi" w:hAnsiTheme="minorHAnsi" w:cstheme="minorHAnsi"/>
                <w:b/>
                <w:bCs/>
                <w:szCs w:val="22"/>
              </w:rPr>
              <w:t>13.6</w:t>
            </w:r>
            <w:r w:rsidRPr="00CC5819">
              <w:rPr>
                <w:rFonts w:asciiTheme="minorHAnsi" w:hAnsiTheme="minorHAnsi" w:cstheme="minorHAnsi"/>
                <w:szCs w:val="22"/>
              </w:rPr>
              <w:t xml:space="preserve"> del RR, así como los detalles de los tipos de información que las administraciones podrían proporcionar cuando se les solicite una aclaración en virtud de esta disposición. En dicha Carta Circular también se deberían tener en cuenta las decisiones de la CMR-19 sobre este asunto, según proceda.</w:t>
            </w:r>
          </w:p>
        </w:tc>
        <w:tc>
          <w:tcPr>
            <w:tcW w:w="2413" w:type="dxa"/>
          </w:tcPr>
          <w:p w14:paraId="54EEF1EC"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 Secretario Ejecutivo comunicará estas decisiones a la administración concernida.</w:t>
            </w:r>
          </w:p>
          <w:p w14:paraId="6DC3CB51"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 xml:space="preserve">La Oficina publicará una carta circular sobre la aplicación general del núm. </w:t>
            </w:r>
            <w:r w:rsidRPr="00444C00">
              <w:rPr>
                <w:rFonts w:asciiTheme="minorHAnsi" w:hAnsiTheme="minorHAnsi" w:cstheme="minorHAnsi"/>
                <w:b/>
                <w:bCs/>
                <w:szCs w:val="22"/>
              </w:rPr>
              <w:t>13.6</w:t>
            </w:r>
            <w:r w:rsidRPr="00CC5819">
              <w:rPr>
                <w:rFonts w:asciiTheme="minorHAnsi" w:hAnsiTheme="minorHAnsi" w:cstheme="minorHAnsi"/>
                <w:szCs w:val="22"/>
              </w:rPr>
              <w:t xml:space="preserve"> del RR.</w:t>
            </w:r>
          </w:p>
        </w:tc>
      </w:tr>
      <w:tr w:rsidR="00101A67" w:rsidRPr="00CC5819" w14:paraId="6AF4BF4E" w14:textId="77777777" w:rsidTr="005C3B64">
        <w:trPr>
          <w:trHeight w:val="521"/>
        </w:trPr>
        <w:tc>
          <w:tcPr>
            <w:cnfStyle w:val="001000000000" w:firstRow="0" w:lastRow="0" w:firstColumn="1" w:lastColumn="0" w:oddVBand="0" w:evenVBand="0" w:oddHBand="0" w:evenHBand="0" w:firstRowFirstColumn="0" w:firstRowLastColumn="0" w:lastRowFirstColumn="0" w:lastRowLastColumn="0"/>
            <w:tcW w:w="805" w:type="dxa"/>
          </w:tcPr>
          <w:p w14:paraId="5A18A573"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7</w:t>
            </w:r>
          </w:p>
        </w:tc>
        <w:tc>
          <w:tcPr>
            <w:tcW w:w="3865" w:type="dxa"/>
          </w:tcPr>
          <w:p w14:paraId="7E901CB7" w14:textId="0FB359EE"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CC5819">
              <w:rPr>
                <w:rFonts w:asciiTheme="minorHAnsi" w:eastAsiaTheme="minorEastAsia" w:hAnsiTheme="minorHAnsi" w:cstheme="minorHAnsi"/>
                <w:color w:val="000000"/>
                <w:szCs w:val="22"/>
                <w:lang w:eastAsia="zh-CN"/>
              </w:rPr>
              <w:t>Preparativos y disposiciones para la</w:t>
            </w:r>
            <w:r w:rsidR="00CC5819">
              <w:rPr>
                <w:rFonts w:asciiTheme="minorHAnsi" w:eastAsiaTheme="minorEastAsia" w:hAnsiTheme="minorHAnsi" w:cstheme="minorHAnsi"/>
                <w:color w:val="000000"/>
                <w:szCs w:val="22"/>
                <w:lang w:eastAsia="zh-CN"/>
              </w:rPr>
              <w:t> </w:t>
            </w:r>
            <w:r w:rsidRPr="00CC5819">
              <w:rPr>
                <w:rFonts w:asciiTheme="minorHAnsi" w:eastAsiaTheme="minorEastAsia" w:hAnsiTheme="minorHAnsi" w:cstheme="minorHAnsi"/>
                <w:color w:val="000000"/>
                <w:szCs w:val="22"/>
                <w:lang w:eastAsia="zh-CN"/>
              </w:rPr>
              <w:t>AR</w:t>
            </w:r>
            <w:r w:rsidR="00CC5819">
              <w:rPr>
                <w:rFonts w:asciiTheme="minorHAnsi" w:eastAsiaTheme="minorEastAsia" w:hAnsiTheme="minorHAnsi" w:cstheme="minorHAnsi"/>
                <w:color w:val="000000"/>
                <w:szCs w:val="22"/>
                <w:lang w:eastAsia="zh-CN"/>
              </w:rPr>
              <w:noBreakHyphen/>
            </w:r>
            <w:r w:rsidRPr="00CC5819">
              <w:rPr>
                <w:rFonts w:asciiTheme="minorHAnsi" w:eastAsiaTheme="minorEastAsia" w:hAnsiTheme="minorHAnsi" w:cstheme="minorHAnsi"/>
                <w:color w:val="000000"/>
                <w:szCs w:val="22"/>
                <w:lang w:eastAsia="zh-CN"/>
              </w:rPr>
              <w:t>19 y la CMR-19</w:t>
            </w:r>
          </w:p>
        </w:tc>
        <w:tc>
          <w:tcPr>
            <w:tcW w:w="6946" w:type="dxa"/>
          </w:tcPr>
          <w:p w14:paraId="79AAA6EA"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CC5819">
              <w:rPr>
                <w:rFonts w:asciiTheme="minorHAnsi" w:eastAsiaTheme="minorEastAsia" w:hAnsiTheme="minorHAnsi" w:cstheme="minorHAnsi"/>
                <w:color w:val="000000"/>
                <w:szCs w:val="22"/>
                <w:lang w:eastAsia="zh-CN"/>
              </w:rPr>
              <w:t>La Junta debatió y acordó las disposiciones para la AR-19 y la CMR-19, y decidió celebrar reuniones diarias durante la CMR-19. La Junta designó a los miembros encargados de seguir los diferentes puntos del orden del día de la CMR-19, y también designó a portavoces para puntos específicos del orden del día. La Junta también hizo hincapié en el papel y la conducta de los miembros de la Junta durante una CMR.</w:t>
            </w:r>
          </w:p>
          <w:p w14:paraId="22D26AC0"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CC5819">
              <w:rPr>
                <w:rFonts w:asciiTheme="minorHAnsi" w:eastAsiaTheme="minorEastAsia" w:hAnsiTheme="minorHAnsi" w:cstheme="minorHAnsi"/>
                <w:color w:val="000000"/>
                <w:szCs w:val="22"/>
                <w:lang w:eastAsia="zh-CN"/>
              </w:rPr>
              <w:t xml:space="preserve">La Junta decidió además preparar un </w:t>
            </w:r>
            <w:proofErr w:type="spellStart"/>
            <w:r w:rsidRPr="00CC5819">
              <w:rPr>
                <w:rFonts w:asciiTheme="minorHAnsi" w:eastAsiaTheme="minorEastAsia" w:hAnsiTheme="minorHAnsi" w:cstheme="minorHAnsi"/>
                <w:color w:val="000000"/>
                <w:szCs w:val="22"/>
                <w:lang w:eastAsia="zh-CN"/>
              </w:rPr>
              <w:t>corrigéndum</w:t>
            </w:r>
            <w:proofErr w:type="spellEnd"/>
            <w:r w:rsidRPr="00CC5819">
              <w:rPr>
                <w:rFonts w:asciiTheme="minorHAnsi" w:eastAsiaTheme="minorEastAsia" w:hAnsiTheme="minorHAnsi" w:cstheme="minorHAnsi"/>
                <w:color w:val="000000"/>
                <w:szCs w:val="22"/>
                <w:lang w:eastAsia="zh-CN"/>
              </w:rPr>
              <w:t xml:space="preserve"> al párrafo 4.3.4 del Informe sobre la Res. </w:t>
            </w:r>
            <w:r w:rsidRPr="00CC5819">
              <w:rPr>
                <w:rFonts w:asciiTheme="minorHAnsi" w:eastAsiaTheme="minorEastAsia" w:hAnsiTheme="minorHAnsi" w:cstheme="minorHAnsi"/>
                <w:b/>
                <w:color w:val="000000"/>
                <w:szCs w:val="22"/>
                <w:lang w:eastAsia="zh-CN"/>
              </w:rPr>
              <w:t>80 (Rev.CMR-07)</w:t>
            </w:r>
            <w:r w:rsidRPr="00CC5819">
              <w:rPr>
                <w:rFonts w:asciiTheme="minorHAnsi" w:eastAsiaTheme="minorEastAsia" w:hAnsiTheme="minorHAnsi" w:cstheme="minorHAnsi"/>
                <w:color w:val="000000"/>
                <w:szCs w:val="22"/>
                <w:lang w:eastAsia="zh-CN"/>
              </w:rPr>
              <w:t xml:space="preserve"> a la CMR-19 para determinar los requisitos en materia de información mínima para la presentación de solicitudes de prórroga del plazo reglamentario para poner en servicio o volver a poner en servicio asignaciones de frecuencias a redes de satélites en casos de retraso por lanzamiento colectivo.</w:t>
            </w:r>
          </w:p>
        </w:tc>
        <w:tc>
          <w:tcPr>
            <w:tcW w:w="2413" w:type="dxa"/>
          </w:tcPr>
          <w:p w14:paraId="7D561872" w14:textId="285ECA8A"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CC5819">
              <w:rPr>
                <w:rFonts w:asciiTheme="minorHAnsi" w:eastAsiaTheme="minorEastAsia" w:hAnsiTheme="minorHAnsi" w:cstheme="minorHAnsi"/>
                <w:color w:val="000000"/>
                <w:szCs w:val="22"/>
                <w:lang w:eastAsia="zh-CN"/>
              </w:rPr>
              <w:t xml:space="preserve">La Oficina presentará el </w:t>
            </w:r>
            <w:proofErr w:type="spellStart"/>
            <w:r w:rsidRPr="00CC5819">
              <w:rPr>
                <w:rFonts w:asciiTheme="minorHAnsi" w:eastAsiaTheme="minorEastAsia" w:hAnsiTheme="minorHAnsi" w:cstheme="minorHAnsi"/>
                <w:color w:val="000000"/>
                <w:szCs w:val="22"/>
                <w:lang w:eastAsia="zh-CN"/>
              </w:rPr>
              <w:t>corrigéndum</w:t>
            </w:r>
            <w:proofErr w:type="spellEnd"/>
            <w:r w:rsidRPr="00CC5819">
              <w:rPr>
                <w:rFonts w:asciiTheme="minorHAnsi" w:eastAsiaTheme="minorEastAsia" w:hAnsiTheme="minorHAnsi" w:cstheme="minorHAnsi"/>
                <w:color w:val="000000"/>
                <w:szCs w:val="22"/>
                <w:lang w:eastAsia="zh-CN"/>
              </w:rPr>
              <w:t xml:space="preserve"> al Informe sobre la Res. </w:t>
            </w:r>
            <w:r w:rsidRPr="00CC5819">
              <w:rPr>
                <w:rFonts w:asciiTheme="minorHAnsi" w:eastAsiaTheme="minorEastAsia" w:hAnsiTheme="minorHAnsi" w:cstheme="minorHAnsi"/>
                <w:b/>
                <w:color w:val="000000"/>
                <w:szCs w:val="22"/>
                <w:lang w:eastAsia="zh-CN"/>
              </w:rPr>
              <w:t>80 (Rev.CMR</w:t>
            </w:r>
            <w:r w:rsidRPr="00CC5819">
              <w:rPr>
                <w:rFonts w:asciiTheme="minorHAnsi" w:eastAsiaTheme="minorEastAsia" w:hAnsiTheme="minorHAnsi" w:cstheme="minorHAnsi"/>
                <w:b/>
                <w:color w:val="000000"/>
                <w:szCs w:val="22"/>
                <w:lang w:eastAsia="zh-CN"/>
              </w:rPr>
              <w:noBreakHyphen/>
              <w:t>07)</w:t>
            </w:r>
            <w:r w:rsidRPr="00CC5819">
              <w:rPr>
                <w:rFonts w:asciiTheme="minorHAnsi" w:eastAsiaTheme="minorEastAsia" w:hAnsiTheme="minorHAnsi" w:cstheme="minorHAnsi"/>
                <w:color w:val="000000"/>
                <w:szCs w:val="22"/>
                <w:lang w:eastAsia="zh-CN"/>
              </w:rPr>
              <w:t xml:space="preserve"> por la Junta como contribución a la</w:t>
            </w:r>
            <w:r w:rsidR="00CC5819">
              <w:rPr>
                <w:rFonts w:asciiTheme="minorHAnsi" w:eastAsiaTheme="minorEastAsia" w:hAnsiTheme="minorHAnsi" w:cstheme="minorHAnsi"/>
                <w:color w:val="000000"/>
                <w:szCs w:val="22"/>
                <w:lang w:eastAsia="zh-CN"/>
              </w:rPr>
              <w:t> </w:t>
            </w:r>
            <w:r w:rsidRPr="00CC5819">
              <w:rPr>
                <w:rFonts w:asciiTheme="minorHAnsi" w:eastAsiaTheme="minorEastAsia" w:hAnsiTheme="minorHAnsi" w:cstheme="minorHAnsi"/>
                <w:color w:val="000000"/>
                <w:szCs w:val="22"/>
                <w:lang w:eastAsia="zh-CN"/>
              </w:rPr>
              <w:t>CMR</w:t>
            </w:r>
            <w:r w:rsidR="00CC5819">
              <w:rPr>
                <w:rFonts w:asciiTheme="minorHAnsi" w:eastAsiaTheme="minorEastAsia" w:hAnsiTheme="minorHAnsi" w:cstheme="minorHAnsi"/>
                <w:color w:val="000000"/>
                <w:szCs w:val="22"/>
                <w:lang w:eastAsia="zh-CN"/>
              </w:rPr>
              <w:noBreakHyphen/>
            </w:r>
            <w:r w:rsidRPr="00CC5819">
              <w:rPr>
                <w:rFonts w:asciiTheme="minorHAnsi" w:eastAsiaTheme="minorEastAsia" w:hAnsiTheme="minorHAnsi" w:cstheme="minorHAnsi"/>
                <w:color w:val="000000"/>
                <w:szCs w:val="22"/>
                <w:lang w:eastAsia="zh-CN"/>
              </w:rPr>
              <w:t>19.</w:t>
            </w:r>
          </w:p>
        </w:tc>
      </w:tr>
      <w:tr w:rsidR="00101A67" w:rsidRPr="00CC5819" w14:paraId="7206F68A" w14:textId="77777777" w:rsidTr="005C3B64">
        <w:trPr>
          <w:trHeight w:val="521"/>
        </w:trPr>
        <w:tc>
          <w:tcPr>
            <w:cnfStyle w:val="001000000000" w:firstRow="0" w:lastRow="0" w:firstColumn="1" w:lastColumn="0" w:oddVBand="0" w:evenVBand="0" w:oddHBand="0" w:evenHBand="0" w:firstRowFirstColumn="0" w:firstRowLastColumn="0" w:lastRowFirstColumn="0" w:lastRowLastColumn="0"/>
            <w:tcW w:w="805" w:type="dxa"/>
          </w:tcPr>
          <w:p w14:paraId="4A5BF0C5"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8</w:t>
            </w:r>
          </w:p>
        </w:tc>
        <w:tc>
          <w:tcPr>
            <w:tcW w:w="3865" w:type="dxa"/>
          </w:tcPr>
          <w:p w14:paraId="4430A2E3"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Elección del Vicepresidente para 2020</w:t>
            </w:r>
          </w:p>
        </w:tc>
        <w:tc>
          <w:tcPr>
            <w:tcW w:w="6946" w:type="dxa"/>
          </w:tcPr>
          <w:p w14:paraId="18E5B8D5"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Cs w:val="22"/>
                <w:lang w:eastAsia="zh-CN"/>
              </w:rPr>
            </w:pPr>
            <w:r w:rsidRPr="00CC5819">
              <w:rPr>
                <w:rFonts w:asciiTheme="minorHAnsi" w:eastAsiaTheme="minorEastAsia" w:hAnsiTheme="minorHAnsi" w:cstheme="minorHAnsi"/>
                <w:szCs w:val="22"/>
                <w:lang w:eastAsia="zh-CN"/>
              </w:rPr>
              <w:t xml:space="preserve">Con arreglo al número 144 del Convenio de la UIT, la Junta acordó que la Sra. C. BEAUMIER, Vicepresidenta de la Junta para 2019, prestaría servicio como su Presidente en 2020. </w:t>
            </w:r>
          </w:p>
          <w:p w14:paraId="3FF0791A"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Cs w:val="22"/>
                <w:lang w:eastAsia="zh-CN"/>
              </w:rPr>
            </w:pPr>
            <w:r w:rsidRPr="00CC5819">
              <w:rPr>
                <w:rFonts w:asciiTheme="minorHAnsi" w:eastAsiaTheme="minorEastAsia" w:hAnsiTheme="minorHAnsi" w:cstheme="minorHAnsi"/>
                <w:szCs w:val="22"/>
                <w:lang w:eastAsia="zh-CN"/>
              </w:rPr>
              <w:t>La Junta acordó elegir al Sr. N. VARLAMOV como su Vicepresidente para 2020 y, por consiguiente, como su Presidente para 2021.</w:t>
            </w:r>
          </w:p>
        </w:tc>
        <w:tc>
          <w:tcPr>
            <w:tcW w:w="2413" w:type="dxa"/>
          </w:tcPr>
          <w:p w14:paraId="0762BD5B" w14:textId="1EF6DADC"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6C663C">
              <w:rPr>
                <w:rFonts w:asciiTheme="minorHAnsi" w:hAnsiTheme="minorHAnsi" w:cstheme="minorHAnsi"/>
                <w:szCs w:val="22"/>
              </w:rPr>
              <w:t>–</w:t>
            </w:r>
          </w:p>
        </w:tc>
      </w:tr>
      <w:tr w:rsidR="00101A67" w:rsidRPr="00CC5819" w14:paraId="00E041ED" w14:textId="77777777" w:rsidTr="005C3B64">
        <w:trPr>
          <w:trHeight w:val="127"/>
        </w:trPr>
        <w:tc>
          <w:tcPr>
            <w:cnfStyle w:val="001000000000" w:firstRow="0" w:lastRow="0" w:firstColumn="1" w:lastColumn="0" w:oddVBand="0" w:evenVBand="0" w:oddHBand="0" w:evenHBand="0" w:firstRowFirstColumn="0" w:firstRowLastColumn="0" w:lastRowFirstColumn="0" w:lastRowLastColumn="0"/>
            <w:tcW w:w="805" w:type="dxa"/>
          </w:tcPr>
          <w:p w14:paraId="102D0BF7"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9</w:t>
            </w:r>
          </w:p>
        </w:tc>
        <w:tc>
          <w:tcPr>
            <w:tcW w:w="3865" w:type="dxa"/>
          </w:tcPr>
          <w:p w14:paraId="2B30B1B6"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Confirmación de la próxima reunión en 2020 y fechas indicativas para futuras reuniones</w:t>
            </w:r>
          </w:p>
        </w:tc>
        <w:tc>
          <w:tcPr>
            <w:tcW w:w="6946" w:type="dxa"/>
          </w:tcPr>
          <w:p w14:paraId="061E68B0" w14:textId="5BB13D6A"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confirmó las fechas para la 83ª reunión del 23 al 27 de marzo de</w:t>
            </w:r>
            <w:r w:rsidR="00CC5819">
              <w:rPr>
                <w:rFonts w:asciiTheme="minorHAnsi" w:hAnsiTheme="minorHAnsi" w:cstheme="minorHAnsi"/>
                <w:szCs w:val="22"/>
              </w:rPr>
              <w:t> </w:t>
            </w:r>
            <w:r w:rsidRPr="00CC5819">
              <w:rPr>
                <w:rFonts w:asciiTheme="minorHAnsi" w:hAnsiTheme="minorHAnsi" w:cstheme="minorHAnsi"/>
                <w:szCs w:val="22"/>
              </w:rPr>
              <w:t>2020 en la Sala L.</w:t>
            </w:r>
          </w:p>
          <w:p w14:paraId="57A2EC0C"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Junta confirmó además provisionalmente las siguientes fechas par</w:t>
            </w:r>
            <w:r w:rsidR="00890A53" w:rsidRPr="00CC5819">
              <w:rPr>
                <w:rFonts w:asciiTheme="minorHAnsi" w:hAnsiTheme="minorHAnsi" w:cstheme="minorHAnsi"/>
                <w:szCs w:val="22"/>
              </w:rPr>
              <w:t>a las reuniones de 2020 y 2021:</w:t>
            </w:r>
          </w:p>
          <w:p w14:paraId="20466679" w14:textId="4D69EAE4" w:rsidR="00101A67" w:rsidRPr="00CC5819" w:rsidRDefault="00101A67" w:rsidP="00890A53">
            <w:pPr>
              <w:pStyle w:val="enumlev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5819">
              <w:rPr>
                <w:rFonts w:asciiTheme="minorHAnsi" w:hAnsiTheme="minorHAnsi" w:cstheme="minorHAnsi"/>
                <w:sz w:val="22"/>
                <w:szCs w:val="22"/>
              </w:rPr>
              <w:t>84ª reunión</w:t>
            </w:r>
            <w:r w:rsidRPr="00CC5819">
              <w:rPr>
                <w:rFonts w:asciiTheme="minorHAnsi" w:hAnsiTheme="minorHAnsi" w:cstheme="minorHAnsi"/>
                <w:sz w:val="22"/>
                <w:szCs w:val="22"/>
              </w:rPr>
              <w:tab/>
            </w:r>
            <w:r w:rsidRPr="00CC5819">
              <w:rPr>
                <w:rFonts w:asciiTheme="minorHAnsi" w:hAnsiTheme="minorHAnsi" w:cstheme="minorHAnsi"/>
                <w:sz w:val="22"/>
                <w:szCs w:val="22"/>
              </w:rPr>
              <w:tab/>
              <w:t>6</w:t>
            </w:r>
            <w:r w:rsidR="00CC5819">
              <w:rPr>
                <w:rFonts w:asciiTheme="minorHAnsi" w:hAnsiTheme="minorHAnsi" w:cstheme="minorHAnsi"/>
                <w:sz w:val="22"/>
                <w:szCs w:val="22"/>
              </w:rPr>
              <w:t>-</w:t>
            </w:r>
            <w:r w:rsidRPr="00CC5819">
              <w:rPr>
                <w:rFonts w:asciiTheme="minorHAnsi" w:hAnsiTheme="minorHAnsi" w:cstheme="minorHAnsi"/>
                <w:sz w:val="22"/>
                <w:szCs w:val="22"/>
              </w:rPr>
              <w:t>10 de julio de 2020</w:t>
            </w:r>
          </w:p>
          <w:p w14:paraId="47D5E8D4" w14:textId="4DD2D8E2" w:rsidR="00101A67" w:rsidRPr="00CC5819" w:rsidRDefault="00101A67" w:rsidP="00890A53">
            <w:pPr>
              <w:pStyle w:val="enumlev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5819">
              <w:rPr>
                <w:rFonts w:asciiTheme="minorHAnsi" w:hAnsiTheme="minorHAnsi" w:cstheme="minorHAnsi"/>
                <w:sz w:val="22"/>
                <w:szCs w:val="22"/>
              </w:rPr>
              <w:t>85ª reunión</w:t>
            </w:r>
            <w:r w:rsidRPr="00CC5819">
              <w:rPr>
                <w:rFonts w:asciiTheme="minorHAnsi" w:hAnsiTheme="minorHAnsi" w:cstheme="minorHAnsi"/>
                <w:sz w:val="22"/>
                <w:szCs w:val="22"/>
              </w:rPr>
              <w:tab/>
            </w:r>
            <w:r w:rsidRPr="00CC5819">
              <w:rPr>
                <w:rFonts w:asciiTheme="minorHAnsi" w:hAnsiTheme="minorHAnsi" w:cstheme="minorHAnsi"/>
                <w:sz w:val="22"/>
                <w:szCs w:val="22"/>
              </w:rPr>
              <w:tab/>
              <w:t>19</w:t>
            </w:r>
            <w:r w:rsidR="00CC5819">
              <w:rPr>
                <w:rFonts w:asciiTheme="minorHAnsi" w:hAnsiTheme="minorHAnsi" w:cstheme="minorHAnsi"/>
                <w:sz w:val="22"/>
                <w:szCs w:val="22"/>
              </w:rPr>
              <w:t>-</w:t>
            </w:r>
            <w:r w:rsidRPr="00CC5819">
              <w:rPr>
                <w:rFonts w:asciiTheme="minorHAnsi" w:hAnsiTheme="minorHAnsi" w:cstheme="minorHAnsi"/>
                <w:sz w:val="22"/>
                <w:szCs w:val="22"/>
              </w:rPr>
              <w:t>27 de octubre de 2020</w:t>
            </w:r>
          </w:p>
          <w:p w14:paraId="7451E1AF" w14:textId="063EA0BB" w:rsidR="00101A67" w:rsidRPr="00CC5819" w:rsidRDefault="00101A67" w:rsidP="00890A53">
            <w:pPr>
              <w:pStyle w:val="enumlev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5819">
              <w:rPr>
                <w:rFonts w:asciiTheme="minorHAnsi" w:hAnsiTheme="minorHAnsi" w:cstheme="minorHAnsi"/>
                <w:sz w:val="22"/>
                <w:szCs w:val="22"/>
              </w:rPr>
              <w:t>86ª reunión</w:t>
            </w:r>
            <w:r w:rsidRPr="00CC5819">
              <w:rPr>
                <w:rFonts w:asciiTheme="minorHAnsi" w:hAnsiTheme="minorHAnsi" w:cstheme="minorHAnsi"/>
                <w:sz w:val="22"/>
                <w:szCs w:val="22"/>
              </w:rPr>
              <w:tab/>
            </w:r>
            <w:r w:rsidRPr="00CC5819">
              <w:rPr>
                <w:rFonts w:asciiTheme="minorHAnsi" w:hAnsiTheme="minorHAnsi" w:cstheme="minorHAnsi"/>
                <w:sz w:val="22"/>
                <w:szCs w:val="22"/>
              </w:rPr>
              <w:tab/>
              <w:t>22</w:t>
            </w:r>
            <w:r w:rsidR="00CC5819">
              <w:rPr>
                <w:rFonts w:asciiTheme="minorHAnsi" w:hAnsiTheme="minorHAnsi" w:cstheme="minorHAnsi"/>
                <w:sz w:val="22"/>
                <w:szCs w:val="22"/>
              </w:rPr>
              <w:t>-</w:t>
            </w:r>
            <w:r w:rsidRPr="00CC5819">
              <w:rPr>
                <w:rFonts w:asciiTheme="minorHAnsi" w:hAnsiTheme="minorHAnsi" w:cstheme="minorHAnsi"/>
                <w:sz w:val="22"/>
                <w:szCs w:val="22"/>
              </w:rPr>
              <w:t>26 de marzo de 2021</w:t>
            </w:r>
          </w:p>
          <w:p w14:paraId="044BDA28" w14:textId="2E99C9F4" w:rsidR="00101A67" w:rsidRPr="00CC5819" w:rsidRDefault="00101A67" w:rsidP="00890A53">
            <w:pPr>
              <w:pStyle w:val="enumlev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5819">
              <w:rPr>
                <w:rFonts w:asciiTheme="minorHAnsi" w:hAnsiTheme="minorHAnsi" w:cstheme="minorHAnsi"/>
                <w:sz w:val="22"/>
                <w:szCs w:val="22"/>
              </w:rPr>
              <w:t>87ª reunión</w:t>
            </w:r>
            <w:r w:rsidRPr="00CC5819">
              <w:rPr>
                <w:rFonts w:asciiTheme="minorHAnsi" w:hAnsiTheme="minorHAnsi" w:cstheme="minorHAnsi"/>
                <w:sz w:val="22"/>
                <w:szCs w:val="22"/>
              </w:rPr>
              <w:tab/>
            </w:r>
            <w:r w:rsidRPr="00CC5819">
              <w:rPr>
                <w:rFonts w:asciiTheme="minorHAnsi" w:hAnsiTheme="minorHAnsi" w:cstheme="minorHAnsi"/>
                <w:sz w:val="22"/>
                <w:szCs w:val="22"/>
              </w:rPr>
              <w:tab/>
              <w:t>12</w:t>
            </w:r>
            <w:r w:rsidR="00CC5819">
              <w:rPr>
                <w:rFonts w:asciiTheme="minorHAnsi" w:hAnsiTheme="minorHAnsi" w:cstheme="minorHAnsi"/>
                <w:sz w:val="22"/>
                <w:szCs w:val="22"/>
              </w:rPr>
              <w:t>-</w:t>
            </w:r>
            <w:r w:rsidRPr="00CC5819">
              <w:rPr>
                <w:rFonts w:asciiTheme="minorHAnsi" w:hAnsiTheme="minorHAnsi" w:cstheme="minorHAnsi"/>
                <w:sz w:val="22"/>
                <w:szCs w:val="22"/>
              </w:rPr>
              <w:t>16 de julio de 2021</w:t>
            </w:r>
          </w:p>
          <w:p w14:paraId="6CFCF371" w14:textId="1D95BB41" w:rsidR="00101A67" w:rsidRPr="00CC5819" w:rsidRDefault="00101A67" w:rsidP="00890A53">
            <w:pPr>
              <w:pStyle w:val="enumlev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5819">
              <w:rPr>
                <w:rFonts w:asciiTheme="minorHAnsi" w:hAnsiTheme="minorHAnsi" w:cstheme="minorHAnsi"/>
                <w:sz w:val="22"/>
                <w:szCs w:val="22"/>
              </w:rPr>
              <w:t>88ª reunión</w:t>
            </w:r>
            <w:r w:rsidRPr="00CC5819">
              <w:rPr>
                <w:rFonts w:asciiTheme="minorHAnsi" w:hAnsiTheme="minorHAnsi" w:cstheme="minorHAnsi"/>
                <w:sz w:val="22"/>
                <w:szCs w:val="22"/>
              </w:rPr>
              <w:tab/>
            </w:r>
            <w:r w:rsidRPr="00CC5819">
              <w:rPr>
                <w:rFonts w:asciiTheme="minorHAnsi" w:hAnsiTheme="minorHAnsi" w:cstheme="minorHAnsi"/>
                <w:sz w:val="22"/>
                <w:szCs w:val="22"/>
              </w:rPr>
              <w:tab/>
              <w:t>1</w:t>
            </w:r>
            <w:r w:rsidR="00CC5819">
              <w:rPr>
                <w:rFonts w:asciiTheme="minorHAnsi" w:hAnsiTheme="minorHAnsi" w:cstheme="minorHAnsi"/>
                <w:sz w:val="22"/>
                <w:szCs w:val="22"/>
              </w:rPr>
              <w:t>-</w:t>
            </w:r>
            <w:r w:rsidRPr="00CC5819">
              <w:rPr>
                <w:rFonts w:asciiTheme="minorHAnsi" w:hAnsiTheme="minorHAnsi" w:cstheme="minorHAnsi"/>
                <w:sz w:val="22"/>
                <w:szCs w:val="22"/>
              </w:rPr>
              <w:t>5 de noviembre de 2021</w:t>
            </w:r>
          </w:p>
        </w:tc>
        <w:tc>
          <w:tcPr>
            <w:tcW w:w="2413" w:type="dxa"/>
          </w:tcPr>
          <w:p w14:paraId="3F1417C2" w14:textId="7676A81F"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6C663C">
              <w:rPr>
                <w:rFonts w:asciiTheme="minorHAnsi" w:hAnsiTheme="minorHAnsi" w:cstheme="minorHAnsi"/>
                <w:szCs w:val="22"/>
              </w:rPr>
              <w:t>–</w:t>
            </w:r>
          </w:p>
        </w:tc>
      </w:tr>
      <w:tr w:rsidR="00101A67" w:rsidRPr="00CC5819" w14:paraId="76BDEEFF" w14:textId="77777777" w:rsidTr="005C3B64">
        <w:trPr>
          <w:trHeight w:val="545"/>
        </w:trPr>
        <w:tc>
          <w:tcPr>
            <w:cnfStyle w:val="001000000000" w:firstRow="0" w:lastRow="0" w:firstColumn="1" w:lastColumn="0" w:oddVBand="0" w:evenVBand="0" w:oddHBand="0" w:evenHBand="0" w:firstRowFirstColumn="0" w:firstRowLastColumn="0" w:lastRowFirstColumn="0" w:lastRowLastColumn="0"/>
            <w:tcW w:w="805" w:type="dxa"/>
          </w:tcPr>
          <w:p w14:paraId="364DC969"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10</w:t>
            </w:r>
          </w:p>
        </w:tc>
        <w:tc>
          <w:tcPr>
            <w:tcW w:w="3865" w:type="dxa"/>
          </w:tcPr>
          <w:p w14:paraId="61349058"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Otros asuntos</w:t>
            </w:r>
          </w:p>
        </w:tc>
        <w:tc>
          <w:tcPr>
            <w:tcW w:w="6946" w:type="dxa"/>
          </w:tcPr>
          <w:p w14:paraId="3892650C"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w:t>
            </w:r>
          </w:p>
        </w:tc>
        <w:tc>
          <w:tcPr>
            <w:tcW w:w="2413" w:type="dxa"/>
          </w:tcPr>
          <w:p w14:paraId="633B5878" w14:textId="022697C7"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2636C926" w14:textId="77777777" w:rsidTr="005C3B64">
        <w:trPr>
          <w:trHeight w:val="461"/>
        </w:trPr>
        <w:tc>
          <w:tcPr>
            <w:cnfStyle w:val="001000000000" w:firstRow="0" w:lastRow="0" w:firstColumn="1" w:lastColumn="0" w:oddVBand="0" w:evenVBand="0" w:oddHBand="0" w:evenHBand="0" w:firstRowFirstColumn="0" w:firstRowLastColumn="0" w:lastRowFirstColumn="0" w:lastRowLastColumn="0"/>
            <w:tcW w:w="805" w:type="dxa"/>
          </w:tcPr>
          <w:p w14:paraId="6F86B30E"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11</w:t>
            </w:r>
          </w:p>
        </w:tc>
        <w:tc>
          <w:tcPr>
            <w:tcW w:w="3865" w:type="dxa"/>
          </w:tcPr>
          <w:p w14:paraId="1D901B32"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Aprobación del resumen de decisiones</w:t>
            </w:r>
          </w:p>
        </w:tc>
        <w:tc>
          <w:tcPr>
            <w:tcW w:w="6946" w:type="dxa"/>
          </w:tcPr>
          <w:p w14:paraId="3C70116D"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color w:val="000000"/>
                <w:szCs w:val="22"/>
              </w:rPr>
              <w:t>La Junta aprobó el resumen de decisiones tal y como figuraba en el Documento RRB19-3/6.</w:t>
            </w:r>
          </w:p>
        </w:tc>
        <w:tc>
          <w:tcPr>
            <w:tcW w:w="2413" w:type="dxa"/>
          </w:tcPr>
          <w:p w14:paraId="32594848" w14:textId="1FC35B83" w:rsidR="00101A67" w:rsidRPr="00CC5819" w:rsidRDefault="006C663C"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C663C">
              <w:rPr>
                <w:rFonts w:asciiTheme="minorHAnsi" w:hAnsiTheme="minorHAnsi" w:cstheme="minorHAnsi"/>
                <w:szCs w:val="22"/>
              </w:rPr>
              <w:t>–</w:t>
            </w:r>
          </w:p>
        </w:tc>
      </w:tr>
      <w:tr w:rsidR="00101A67" w:rsidRPr="00CC5819" w14:paraId="230A25B6" w14:textId="77777777" w:rsidTr="005C3B64">
        <w:trPr>
          <w:trHeight w:val="620"/>
        </w:trPr>
        <w:tc>
          <w:tcPr>
            <w:cnfStyle w:val="001000000000" w:firstRow="0" w:lastRow="0" w:firstColumn="1" w:lastColumn="0" w:oddVBand="0" w:evenVBand="0" w:oddHBand="0" w:evenHBand="0" w:firstRowFirstColumn="0" w:firstRowLastColumn="0" w:lastRowFirstColumn="0" w:lastRowLastColumn="0"/>
            <w:tcW w:w="805" w:type="dxa"/>
          </w:tcPr>
          <w:p w14:paraId="1ECF8C3A" w14:textId="77777777" w:rsidR="00101A67" w:rsidRPr="00CC5819" w:rsidRDefault="00101A67" w:rsidP="00101A67">
            <w:pPr>
              <w:pStyle w:val="Tabletext"/>
              <w:rPr>
                <w:rFonts w:asciiTheme="minorHAnsi" w:hAnsiTheme="minorHAnsi" w:cstheme="minorHAnsi"/>
                <w:szCs w:val="22"/>
              </w:rPr>
            </w:pPr>
            <w:r w:rsidRPr="00CC5819">
              <w:rPr>
                <w:rFonts w:asciiTheme="minorHAnsi" w:hAnsiTheme="minorHAnsi" w:cstheme="minorHAnsi"/>
                <w:szCs w:val="22"/>
              </w:rPr>
              <w:t>12</w:t>
            </w:r>
          </w:p>
        </w:tc>
        <w:tc>
          <w:tcPr>
            <w:tcW w:w="3865" w:type="dxa"/>
          </w:tcPr>
          <w:p w14:paraId="1B43433F" w14:textId="7777777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Clausura de la reunión</w:t>
            </w:r>
          </w:p>
        </w:tc>
        <w:tc>
          <w:tcPr>
            <w:tcW w:w="6946" w:type="dxa"/>
          </w:tcPr>
          <w:p w14:paraId="7E7787DF" w14:textId="3DA64C07" w:rsidR="00101A67" w:rsidRPr="00CC5819" w:rsidRDefault="00101A67" w:rsidP="00101A6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C5819">
              <w:rPr>
                <w:rFonts w:asciiTheme="minorHAnsi" w:hAnsiTheme="minorHAnsi" w:cstheme="minorHAnsi"/>
                <w:szCs w:val="22"/>
              </w:rPr>
              <w:t>La reunión se clausuró a las 10</w:t>
            </w:r>
            <w:r w:rsidR="00EC0BA4">
              <w:rPr>
                <w:rFonts w:asciiTheme="minorHAnsi" w:hAnsiTheme="minorHAnsi" w:cstheme="minorHAnsi"/>
                <w:szCs w:val="22"/>
              </w:rPr>
              <w:t>.</w:t>
            </w:r>
            <w:r w:rsidRPr="00CC5819">
              <w:rPr>
                <w:rFonts w:asciiTheme="minorHAnsi" w:hAnsiTheme="minorHAnsi" w:cstheme="minorHAnsi"/>
                <w:szCs w:val="22"/>
              </w:rPr>
              <w:t>30 horas del 17 de octubre de 2019.</w:t>
            </w:r>
          </w:p>
        </w:tc>
        <w:tc>
          <w:tcPr>
            <w:tcW w:w="2413" w:type="dxa"/>
          </w:tcPr>
          <w:p w14:paraId="4AA47ADC" w14:textId="77777777" w:rsidR="00101A67" w:rsidRPr="00CC5819" w:rsidRDefault="00101A67" w:rsidP="006C663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bl>
    <w:p w14:paraId="57557E26" w14:textId="77777777" w:rsidR="00843036" w:rsidRDefault="00843036" w:rsidP="00101A67">
      <w:pPr>
        <w:sectPr w:rsidR="00843036" w:rsidSect="007E332C">
          <w:headerReference w:type="default" r:id="rId35"/>
          <w:footerReference w:type="default" r:id="rId36"/>
          <w:headerReference w:type="first" r:id="rId37"/>
          <w:footerReference w:type="first" r:id="rId38"/>
          <w:pgSz w:w="16834" w:h="11907" w:orient="landscape"/>
          <w:pgMar w:top="1134" w:right="1418" w:bottom="1134" w:left="1418" w:header="720" w:footer="720" w:gutter="0"/>
          <w:paperSrc w:first="15" w:other="15"/>
          <w:pgNumType w:start="2"/>
          <w:cols w:space="720"/>
          <w:titlePg/>
          <w:docGrid w:linePitch="326"/>
        </w:sectPr>
      </w:pPr>
    </w:p>
    <w:p w14:paraId="1E34D57E" w14:textId="731B2B3F" w:rsidR="00843036" w:rsidRPr="00D35998" w:rsidRDefault="00843036" w:rsidP="00682D0D">
      <w:pPr>
        <w:pStyle w:val="AnnexNotitle"/>
        <w:rPr>
          <w:rFonts w:asciiTheme="minorHAnsi" w:eastAsia="SimSun" w:hAnsiTheme="minorHAnsi" w:cstheme="minorHAnsi"/>
          <w:lang w:val="es-ES"/>
        </w:rPr>
      </w:pPr>
      <w:r w:rsidRPr="00D35998">
        <w:rPr>
          <w:rFonts w:asciiTheme="minorHAnsi" w:hAnsiTheme="minorHAnsi" w:cstheme="minorHAnsi"/>
          <w:lang w:val="es-ES"/>
        </w:rPr>
        <w:t>ANEXO 1</w:t>
      </w:r>
      <w:r w:rsidR="00D35998" w:rsidRPr="00D35998">
        <w:rPr>
          <w:rFonts w:asciiTheme="minorHAnsi" w:hAnsiTheme="minorHAnsi" w:cstheme="minorHAnsi"/>
          <w:lang w:val="es-ES"/>
        </w:rPr>
        <w:br/>
      </w:r>
      <w:r w:rsidR="00D35998" w:rsidRPr="00D35998">
        <w:rPr>
          <w:rFonts w:asciiTheme="minorHAnsi" w:hAnsiTheme="minorHAnsi" w:cstheme="minorHAnsi"/>
          <w:lang w:val="es-ES"/>
        </w:rPr>
        <w:br/>
      </w:r>
      <w:r w:rsidRPr="00D35998">
        <w:rPr>
          <w:rFonts w:asciiTheme="minorHAnsi" w:eastAsia="SimSun" w:hAnsiTheme="minorHAnsi" w:cstheme="minorHAnsi"/>
          <w:lang w:val="es-ES"/>
        </w:rPr>
        <w:t>Reglas relativas al</w:t>
      </w:r>
      <w:r w:rsidR="00D35998" w:rsidRPr="00D35998">
        <w:rPr>
          <w:rFonts w:asciiTheme="minorHAnsi" w:eastAsia="SimSun" w:hAnsiTheme="minorHAnsi" w:cstheme="minorHAnsi"/>
          <w:lang w:val="es-ES"/>
        </w:rPr>
        <w:br/>
      </w:r>
      <w:r w:rsidR="00D35998" w:rsidRPr="00D35998">
        <w:rPr>
          <w:rFonts w:asciiTheme="minorHAnsi" w:eastAsia="SimSun" w:hAnsiTheme="minorHAnsi" w:cstheme="minorHAnsi"/>
          <w:lang w:val="es-ES"/>
        </w:rPr>
        <w:br/>
      </w:r>
      <w:r w:rsidRPr="00D35998">
        <w:rPr>
          <w:rFonts w:asciiTheme="minorHAnsi" w:eastAsia="SimSun" w:hAnsiTheme="minorHAnsi" w:cstheme="minorHAnsi"/>
          <w:lang w:val="es-ES"/>
        </w:rPr>
        <w:t>ARTÍCULO 5 del RR</w:t>
      </w:r>
    </w:p>
    <w:p w14:paraId="6BEF1019" w14:textId="77777777" w:rsidR="00843036" w:rsidRPr="00584D88" w:rsidRDefault="00843036" w:rsidP="00843036">
      <w:pPr>
        <w:overflowPunct/>
        <w:autoSpaceDE/>
        <w:autoSpaceDN/>
        <w:adjustRightInd/>
        <w:spacing w:before="0" w:after="160" w:line="259" w:lineRule="auto"/>
        <w:textAlignment w:val="auto"/>
        <w:rPr>
          <w:rFonts w:ascii="Calibri" w:eastAsia="SimSun" w:hAnsi="Calibri" w:cs="Calibri"/>
          <w:b/>
          <w:bCs/>
          <w:sz w:val="22"/>
          <w:szCs w:val="24"/>
          <w:lang w:val="es-ES" w:eastAsia="zh-CN"/>
        </w:rPr>
      </w:pPr>
      <w:r w:rsidRPr="00584D88">
        <w:rPr>
          <w:rFonts w:ascii="Calibri" w:eastAsia="SimSun" w:hAnsi="Calibri" w:cs="Calibri"/>
          <w:b/>
          <w:bCs/>
          <w:sz w:val="22"/>
          <w:szCs w:val="24"/>
          <w:lang w:val="es-ES" w:eastAsia="zh-CN"/>
        </w:rPr>
        <w:t>ADD</w:t>
      </w:r>
    </w:p>
    <w:p w14:paraId="4D497A4E" w14:textId="77777777" w:rsidR="00843036" w:rsidRPr="00584D88" w:rsidRDefault="00843036" w:rsidP="0084303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80" w:lineRule="exact"/>
        <w:ind w:left="720" w:right="7938"/>
        <w:jc w:val="both"/>
        <w:outlineLvl w:val="7"/>
        <w:rPr>
          <w:rFonts w:ascii="Calibri" w:eastAsia="SimSun" w:hAnsi="Calibri" w:cs="Calibri"/>
          <w:b/>
          <w:color w:val="000000"/>
          <w:sz w:val="22"/>
          <w:szCs w:val="22"/>
          <w:lang w:val="es-ES"/>
        </w:rPr>
      </w:pPr>
      <w:r w:rsidRPr="00584D88">
        <w:rPr>
          <w:rFonts w:ascii="Calibri" w:eastAsia="SimSun" w:hAnsi="Calibri" w:cs="Calibri"/>
          <w:b/>
          <w:color w:val="000000"/>
          <w:sz w:val="22"/>
          <w:szCs w:val="22"/>
          <w:lang w:val="es-ES"/>
        </w:rPr>
        <w:t>5.458</w:t>
      </w:r>
    </w:p>
    <w:p w14:paraId="16E5D97B" w14:textId="77777777" w:rsidR="00843036" w:rsidRPr="00D35998" w:rsidRDefault="00843036" w:rsidP="00D35998">
      <w:pPr>
        <w:rPr>
          <w:rFonts w:asciiTheme="minorHAnsi" w:eastAsia="SimSun" w:hAnsiTheme="minorHAnsi" w:cstheme="minorHAnsi"/>
          <w:lang w:val="es-ES"/>
        </w:rPr>
      </w:pPr>
      <w:r w:rsidRPr="00D35998">
        <w:rPr>
          <w:rFonts w:asciiTheme="minorHAnsi" w:eastAsia="SimSun" w:hAnsiTheme="minorHAnsi" w:cstheme="minorHAnsi"/>
          <w:lang w:val="es-ES"/>
        </w:rPr>
        <w:t xml:space="preserve">No existe ninguna atribución de frecuencias a los servicios de exploración de la Tierra por satélite (pasivo) y de investigación espacial (pasivo) en las bandas de </w:t>
      </w:r>
      <w:r w:rsidR="007C5BC5" w:rsidRPr="00D35998">
        <w:rPr>
          <w:rFonts w:asciiTheme="minorHAnsi" w:eastAsia="SimSun" w:hAnsiTheme="minorHAnsi" w:cstheme="minorHAnsi"/>
          <w:lang w:val="es-ES"/>
        </w:rPr>
        <w:t>frecuencias 6 425-7 075 MHz y 7 075-7 250 </w:t>
      </w:r>
      <w:r w:rsidRPr="00D35998">
        <w:rPr>
          <w:rFonts w:asciiTheme="minorHAnsi" w:eastAsia="SimSun" w:hAnsiTheme="minorHAnsi" w:cstheme="minorHAnsi"/>
          <w:lang w:val="es-ES"/>
        </w:rPr>
        <w:t>MHz. La Oficina considerará que la notificación de asignaciones de frecuencias a los servicios de exploración de la Tierra por satélite (pasivo) y de investigación espacial (pasivo) en la</w:t>
      </w:r>
      <w:r w:rsidR="007C5BC5" w:rsidRPr="00D35998">
        <w:rPr>
          <w:rFonts w:asciiTheme="minorHAnsi" w:eastAsia="SimSun" w:hAnsiTheme="minorHAnsi" w:cstheme="minorHAnsi"/>
          <w:lang w:val="es-ES"/>
        </w:rPr>
        <w:t>s bandas de frecuencias 6 425-7 075 MHz y 7 075-7 250 </w:t>
      </w:r>
      <w:r w:rsidRPr="00D35998">
        <w:rPr>
          <w:rFonts w:asciiTheme="minorHAnsi" w:eastAsia="SimSun" w:hAnsiTheme="minorHAnsi" w:cstheme="minorHAnsi"/>
          <w:lang w:val="es-ES"/>
        </w:rPr>
        <w:t>MHz no es conforme al Cuadr</w:t>
      </w:r>
      <w:r w:rsidR="007C5BC5" w:rsidRPr="00D35998">
        <w:rPr>
          <w:rFonts w:asciiTheme="minorHAnsi" w:eastAsia="SimSun" w:hAnsiTheme="minorHAnsi" w:cstheme="minorHAnsi"/>
          <w:lang w:val="es-ES"/>
        </w:rPr>
        <w:t>o de atribución de frecuencias.</w:t>
      </w:r>
    </w:p>
    <w:p w14:paraId="2887C125" w14:textId="77777777" w:rsidR="00843036" w:rsidRPr="00D35998" w:rsidRDefault="00843036" w:rsidP="00D35998">
      <w:pPr>
        <w:rPr>
          <w:rFonts w:asciiTheme="minorHAnsi" w:eastAsia="SimSun" w:hAnsiTheme="minorHAnsi" w:cstheme="minorHAnsi"/>
          <w:i/>
          <w:color w:val="000000"/>
        </w:rPr>
      </w:pPr>
      <w:r w:rsidRPr="00D35998">
        <w:rPr>
          <w:rFonts w:asciiTheme="minorHAnsi" w:eastAsia="SimSun" w:hAnsiTheme="minorHAnsi" w:cstheme="minorHAnsi"/>
          <w:b/>
          <w:bCs/>
          <w:i/>
        </w:rPr>
        <w:t>Motivos</w:t>
      </w:r>
      <w:r w:rsidRPr="00D35998">
        <w:rPr>
          <w:rFonts w:asciiTheme="minorHAnsi" w:eastAsia="SimSun" w:hAnsiTheme="minorHAnsi" w:cstheme="minorHAnsi"/>
          <w:i/>
        </w:rPr>
        <w:t xml:space="preserve">: </w:t>
      </w:r>
      <w:r w:rsidR="007C5BC5" w:rsidRPr="00D35998">
        <w:rPr>
          <w:rFonts w:asciiTheme="minorHAnsi" w:eastAsia="SimSun" w:hAnsiTheme="minorHAnsi" w:cstheme="minorHAnsi"/>
          <w:i/>
        </w:rPr>
        <w:t>A</w:t>
      </w:r>
      <w:r w:rsidRPr="00D35998">
        <w:rPr>
          <w:rFonts w:asciiTheme="minorHAnsi" w:eastAsia="SimSun" w:hAnsiTheme="minorHAnsi" w:cstheme="minorHAnsi"/>
          <w:i/>
        </w:rPr>
        <w:t xml:space="preserve"> fin de aclarar que no existe ninguna atribución de frecuencias a los servicios de exploración de la Tierra por satélite (pasivo) y de investigación espacial (pasivo) en las bandas de </w:t>
      </w:r>
      <w:r w:rsidR="00C975F0" w:rsidRPr="00D35998">
        <w:rPr>
          <w:rFonts w:asciiTheme="minorHAnsi" w:eastAsia="SimSun" w:hAnsiTheme="minorHAnsi" w:cstheme="minorHAnsi"/>
          <w:i/>
        </w:rPr>
        <w:t>frecuencias 6 425-7 075 </w:t>
      </w:r>
      <w:r w:rsidR="007C5BC5" w:rsidRPr="00D35998">
        <w:rPr>
          <w:rFonts w:asciiTheme="minorHAnsi" w:eastAsia="SimSun" w:hAnsiTheme="minorHAnsi" w:cstheme="minorHAnsi"/>
          <w:i/>
        </w:rPr>
        <w:t>MHz y 7 075-7 250 </w:t>
      </w:r>
      <w:r w:rsidRPr="00D35998">
        <w:rPr>
          <w:rFonts w:asciiTheme="minorHAnsi" w:eastAsia="SimSun" w:hAnsiTheme="minorHAnsi" w:cstheme="minorHAnsi"/>
          <w:i/>
        </w:rPr>
        <w:t xml:space="preserve">MHz, y que dicha utilización no será conforme al Cuadro de atribución de frecuencias. Puede encontrarse una aclaración similar en la Regla de Procedimiento del número </w:t>
      </w:r>
      <w:r w:rsidRPr="00D35998">
        <w:rPr>
          <w:rFonts w:asciiTheme="minorHAnsi" w:eastAsia="SimSun" w:hAnsiTheme="minorHAnsi" w:cstheme="minorHAnsi"/>
          <w:b/>
          <w:bCs/>
          <w:i/>
          <w:color w:val="000000"/>
        </w:rPr>
        <w:t>5.149</w:t>
      </w:r>
      <w:r w:rsidRPr="00D35998">
        <w:rPr>
          <w:rFonts w:asciiTheme="minorHAnsi" w:eastAsia="SimSun" w:hAnsiTheme="minorHAnsi" w:cstheme="minorHAnsi"/>
          <w:i/>
          <w:color w:val="000000"/>
        </w:rPr>
        <w:t xml:space="preserve"> para la radioastronomía en</w:t>
      </w:r>
      <w:r w:rsidR="005F35A2" w:rsidRPr="00D35998">
        <w:rPr>
          <w:rFonts w:asciiTheme="minorHAnsi" w:eastAsia="SimSun" w:hAnsiTheme="minorHAnsi" w:cstheme="minorHAnsi"/>
          <w:i/>
          <w:color w:val="000000"/>
        </w:rPr>
        <w:t xml:space="preserve"> ciertas bandas de frecuencias.</w:t>
      </w:r>
    </w:p>
    <w:p w14:paraId="3314E127" w14:textId="77777777" w:rsidR="005F35A2" w:rsidRPr="00D35998" w:rsidRDefault="00843036" w:rsidP="00D35998">
      <w:pPr>
        <w:rPr>
          <w:rFonts w:asciiTheme="minorHAnsi" w:hAnsiTheme="minorHAnsi" w:cstheme="minorHAnsi"/>
          <w:i/>
        </w:rPr>
      </w:pPr>
      <w:r w:rsidRPr="00D35998">
        <w:rPr>
          <w:rFonts w:asciiTheme="minorHAnsi" w:eastAsia="SimSun" w:hAnsiTheme="minorHAnsi" w:cstheme="minorHAnsi"/>
          <w:i/>
          <w:lang w:val="es-ES"/>
        </w:rPr>
        <w:t>Fecha efectiva de aplicación de esta Regla: inmediatamente después de su aprobación.</w:t>
      </w:r>
    </w:p>
    <w:p w14:paraId="5FB24752" w14:textId="77777777" w:rsidR="005452B2" w:rsidRPr="00267BC0" w:rsidRDefault="005452B2" w:rsidP="00411C49">
      <w:pPr>
        <w:pStyle w:val="Reasons"/>
        <w:rPr>
          <w:lang w:val="es-ES"/>
        </w:rPr>
      </w:pPr>
    </w:p>
    <w:p w14:paraId="5566FC57" w14:textId="77777777" w:rsidR="005452B2" w:rsidRDefault="005452B2">
      <w:pPr>
        <w:jc w:val="center"/>
      </w:pPr>
      <w:r>
        <w:t>______________</w:t>
      </w:r>
    </w:p>
    <w:sectPr w:rsidR="005452B2" w:rsidSect="00843036">
      <w:headerReference w:type="first" r:id="rId39"/>
      <w:footerReference w:type="first" r:id="rId4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A8B3D" w14:textId="77777777" w:rsidR="006D3AB2" w:rsidRDefault="006D3AB2">
      <w:r>
        <w:separator/>
      </w:r>
    </w:p>
  </w:endnote>
  <w:endnote w:type="continuationSeparator" w:id="0">
    <w:p w14:paraId="4EFA8318" w14:textId="77777777" w:rsidR="006D3AB2" w:rsidRDefault="006D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6E6BF" w14:textId="42C00F2C" w:rsidR="00B46F58" w:rsidRDefault="00AC6B21" w:rsidP="00AC6B21">
    <w:pPr>
      <w:pStyle w:val="Footer"/>
      <w:rPr>
        <w:lang w:val="en-US"/>
      </w:rPr>
    </w:pPr>
    <w:r w:rsidRPr="00AC6B21">
      <w:rPr>
        <w:lang w:val="en-US"/>
      </w:rPr>
      <w:fldChar w:fldCharType="begin"/>
    </w:r>
    <w:r w:rsidRPr="00AC6B21">
      <w:rPr>
        <w:lang w:val="en-US"/>
      </w:rPr>
      <w:instrText xml:space="preserve"> FILENAME \p  \* MERGEFORMAT </w:instrText>
    </w:r>
    <w:r w:rsidRPr="00AC6B21">
      <w:rPr>
        <w:lang w:val="en-US"/>
      </w:rPr>
      <w:fldChar w:fldCharType="separate"/>
    </w:r>
    <w:r w:rsidR="00C63D84">
      <w:rPr>
        <w:lang w:val="en-US"/>
      </w:rPr>
      <w:t>M:\RRB\RRB19\RRB19-3\Summary\006S.DOCX</w:t>
    </w:r>
    <w:r w:rsidRPr="00AC6B21">
      <w:rPr>
        <w:lang w:val="en-US"/>
      </w:rPr>
      <w:fldChar w:fldCharType="end"/>
    </w:r>
    <w:r>
      <w:rPr>
        <w:lang w:val="en-US"/>
      </w:rPr>
      <w:t xml:space="preserve"> (462786</w:t>
    </w:r>
    <w:r w:rsidRPr="00AC6B2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9284" w14:textId="7B4040BF" w:rsidR="00B46F58" w:rsidRPr="00101A67" w:rsidRDefault="00101A67" w:rsidP="00101A67">
    <w:pPr>
      <w:pStyle w:val="Footer"/>
    </w:pPr>
    <w:r>
      <w:t>(462786)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2BEE7" w14:textId="1261A6BD" w:rsidR="000F186A" w:rsidRDefault="000F186A" w:rsidP="00267BC0">
    <w:pPr>
      <w:pStyle w:val="Footer"/>
      <w:rPr>
        <w:lang w:val="en-US"/>
      </w:rPr>
    </w:pPr>
    <w:r w:rsidRPr="00AC6B21">
      <w:rPr>
        <w:lang w:val="en-US"/>
      </w:rPr>
      <w:fldChar w:fldCharType="begin"/>
    </w:r>
    <w:r w:rsidRPr="00AC6B21">
      <w:rPr>
        <w:lang w:val="en-US"/>
      </w:rPr>
      <w:instrText xml:space="preserve"> FILENAME \p  \* MERGEFORMAT </w:instrText>
    </w:r>
    <w:r w:rsidRPr="00AC6B21">
      <w:rPr>
        <w:lang w:val="en-US"/>
      </w:rPr>
      <w:fldChar w:fldCharType="separate"/>
    </w:r>
    <w:r w:rsidR="00C63D84">
      <w:rPr>
        <w:lang w:val="en-US"/>
      </w:rPr>
      <w:t>M:\RRB\RRB19\RRB19-3\Summary\006S.DOCX</w:t>
    </w:r>
    <w:r w:rsidRPr="00AC6B21">
      <w:rPr>
        <w:lang w:val="en-US"/>
      </w:rPr>
      <w:fldChar w:fldCharType="end"/>
    </w:r>
    <w:r>
      <w:rPr>
        <w:lang w:val="en-US"/>
      </w:rPr>
      <w:t xml:space="preserve"> (462786</w:t>
    </w:r>
    <w:r w:rsidRPr="00AC6B21">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929C3" w14:textId="110EEEE8" w:rsidR="000F186A" w:rsidRPr="00101A67" w:rsidRDefault="000F186A" w:rsidP="00101A67">
    <w:pPr>
      <w:pStyle w:val="Footer"/>
    </w:pPr>
    <w:r>
      <w:t>(462786)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4CEC" w14:textId="664DEC08" w:rsidR="000F186A" w:rsidRPr="00101A67" w:rsidRDefault="000F186A" w:rsidP="00101A67">
    <w:pPr>
      <w:pStyle w:val="Footer"/>
    </w:pPr>
    <w:r>
      <w:t>(462786)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13434" w14:textId="77777777" w:rsidR="006D3AB2" w:rsidRDefault="006D3AB2">
      <w:r>
        <w:t>____________________</w:t>
      </w:r>
    </w:p>
  </w:footnote>
  <w:footnote w:type="continuationSeparator" w:id="0">
    <w:p w14:paraId="1BCF0EFB" w14:textId="77777777" w:rsidR="006D3AB2" w:rsidRDefault="006D3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43B0E"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0F186A">
      <w:rPr>
        <w:rStyle w:val="PageNumber"/>
        <w:noProof/>
      </w:rPr>
      <w:t>3</w:t>
    </w:r>
    <w:r>
      <w:rPr>
        <w:rStyle w:val="PageNumber"/>
      </w:rPr>
      <w:fldChar w:fldCharType="end"/>
    </w:r>
  </w:p>
  <w:p w14:paraId="189A3D10" w14:textId="77777777" w:rsidR="00B46F58" w:rsidRDefault="00B46F58" w:rsidP="00F31656">
    <w:pPr>
      <w:pStyle w:val="Header"/>
      <w:rPr>
        <w:lang w:val="es-ES"/>
      </w:rPr>
    </w:pPr>
    <w:r>
      <w:rPr>
        <w:lang w:val="es-ES"/>
      </w:rPr>
      <w:t>RRB1</w:t>
    </w:r>
    <w:r w:rsidR="00867CA2">
      <w:rPr>
        <w:lang w:val="es-ES"/>
      </w:rPr>
      <w:t>9</w:t>
    </w:r>
    <w:r>
      <w:rPr>
        <w:lang w:val="es-ES"/>
      </w:rPr>
      <w:t>-</w:t>
    </w:r>
    <w:r w:rsidR="00E50C03">
      <w:rPr>
        <w:lang w:val="es-ES"/>
      </w:rPr>
      <w:t>3</w:t>
    </w:r>
    <w:r>
      <w:rPr>
        <w:lang w:val="es-E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2C9A" w14:textId="77777777" w:rsidR="000F186A" w:rsidRDefault="000F186A"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C63D84">
      <w:rPr>
        <w:rStyle w:val="PageNumber"/>
        <w:noProof/>
      </w:rPr>
      <w:t>10</w:t>
    </w:r>
    <w:r>
      <w:rPr>
        <w:rStyle w:val="PageNumber"/>
      </w:rPr>
      <w:fldChar w:fldCharType="end"/>
    </w:r>
  </w:p>
  <w:p w14:paraId="32D2F10B" w14:textId="77777777" w:rsidR="000F186A" w:rsidRDefault="000F186A" w:rsidP="00F31656">
    <w:pPr>
      <w:pStyle w:val="Header"/>
      <w:rPr>
        <w:lang w:val="es-ES"/>
      </w:rPr>
    </w:pPr>
    <w:r>
      <w:rPr>
        <w:lang w:val="es-ES"/>
      </w:rPr>
      <w:t>RRB19-3/</w:t>
    </w:r>
    <w:r w:rsidR="007E332C">
      <w:rPr>
        <w:lang w:val="es-ES"/>
      </w:rPr>
      <w:t>6</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262786"/>
      <w:docPartObj>
        <w:docPartGallery w:val="Page Numbers (Top of Page)"/>
        <w:docPartUnique/>
      </w:docPartObj>
    </w:sdtPr>
    <w:sdtEndPr>
      <w:rPr>
        <w:noProof/>
      </w:rPr>
    </w:sdtEndPr>
    <w:sdtContent>
      <w:p w14:paraId="2115EC98" w14:textId="77777777" w:rsidR="007E332C" w:rsidRDefault="007E332C">
        <w:pPr>
          <w:pStyle w:val="Header"/>
        </w:pPr>
        <w:r>
          <w:fldChar w:fldCharType="begin"/>
        </w:r>
        <w:r>
          <w:instrText xml:space="preserve"> PAGE   \* MERGEFORMAT </w:instrText>
        </w:r>
        <w:r>
          <w:fldChar w:fldCharType="separate"/>
        </w:r>
        <w:r w:rsidR="00C63D84">
          <w:rPr>
            <w:noProof/>
          </w:rPr>
          <w:t>2</w:t>
        </w:r>
        <w:r>
          <w:rPr>
            <w:noProof/>
          </w:rPr>
          <w:fldChar w:fldCharType="end"/>
        </w:r>
      </w:p>
    </w:sdtContent>
  </w:sdt>
  <w:p w14:paraId="612240E2" w14:textId="77777777" w:rsidR="000F186A" w:rsidRDefault="007E332C">
    <w:pPr>
      <w:pStyle w:val="Header"/>
    </w:pPr>
    <w:r>
      <w:t>RRB</w:t>
    </w:r>
    <w:r w:rsidRPr="007E332C">
      <w:t>19-3/6-S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54123"/>
      <w:docPartObj>
        <w:docPartGallery w:val="Page Numbers (Top of Page)"/>
        <w:docPartUnique/>
      </w:docPartObj>
    </w:sdtPr>
    <w:sdtEndPr>
      <w:rPr>
        <w:noProof/>
      </w:rPr>
    </w:sdtEndPr>
    <w:sdtContent>
      <w:p w14:paraId="15F9DE13" w14:textId="77777777" w:rsidR="007E332C" w:rsidRDefault="007E332C">
        <w:pPr>
          <w:pStyle w:val="Header"/>
        </w:pPr>
        <w:r>
          <w:fldChar w:fldCharType="begin"/>
        </w:r>
        <w:r>
          <w:instrText xml:space="preserve"> PAGE   \* MERGEFORMAT </w:instrText>
        </w:r>
        <w:r>
          <w:fldChar w:fldCharType="separate"/>
        </w:r>
        <w:r w:rsidR="00C63D84">
          <w:rPr>
            <w:noProof/>
          </w:rPr>
          <w:t>11</w:t>
        </w:r>
        <w:r>
          <w:rPr>
            <w:noProof/>
          </w:rPr>
          <w:fldChar w:fldCharType="end"/>
        </w:r>
      </w:p>
    </w:sdtContent>
  </w:sdt>
  <w:p w14:paraId="2DC944F6" w14:textId="0814C979" w:rsidR="000F186A" w:rsidRDefault="007E332C">
    <w:pPr>
      <w:pStyle w:val="Header"/>
    </w:pPr>
    <w:r w:rsidRPr="007E332C">
      <w:t>RRB19-3/</w:t>
    </w:r>
    <w:r w:rsidR="00267BC0">
      <w:t>6</w:t>
    </w:r>
    <w:r w:rsidRPr="007E332C">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B2"/>
    <w:rsid w:val="000039F0"/>
    <w:rsid w:val="00032A7C"/>
    <w:rsid w:val="0004322E"/>
    <w:rsid w:val="00066621"/>
    <w:rsid w:val="00075863"/>
    <w:rsid w:val="000828AD"/>
    <w:rsid w:val="000F186A"/>
    <w:rsid w:val="00101A67"/>
    <w:rsid w:val="001046C7"/>
    <w:rsid w:val="00106BF6"/>
    <w:rsid w:val="001106DA"/>
    <w:rsid w:val="00161C57"/>
    <w:rsid w:val="001B0379"/>
    <w:rsid w:val="001B3B9D"/>
    <w:rsid w:val="001D254E"/>
    <w:rsid w:val="00207845"/>
    <w:rsid w:val="00254CC8"/>
    <w:rsid w:val="00267BC0"/>
    <w:rsid w:val="002F01B5"/>
    <w:rsid w:val="00361529"/>
    <w:rsid w:val="003661C9"/>
    <w:rsid w:val="003858D8"/>
    <w:rsid w:val="003A2F75"/>
    <w:rsid w:val="003A67F4"/>
    <w:rsid w:val="003D6CD4"/>
    <w:rsid w:val="00414D8B"/>
    <w:rsid w:val="00444C00"/>
    <w:rsid w:val="00476E4F"/>
    <w:rsid w:val="004865FC"/>
    <w:rsid w:val="004C0624"/>
    <w:rsid w:val="005051A6"/>
    <w:rsid w:val="00526A8C"/>
    <w:rsid w:val="005452B2"/>
    <w:rsid w:val="00575F18"/>
    <w:rsid w:val="005B0B9D"/>
    <w:rsid w:val="005F35A2"/>
    <w:rsid w:val="00610642"/>
    <w:rsid w:val="00640B4D"/>
    <w:rsid w:val="00652722"/>
    <w:rsid w:val="00682D0D"/>
    <w:rsid w:val="006C663C"/>
    <w:rsid w:val="006D3AB2"/>
    <w:rsid w:val="006E291F"/>
    <w:rsid w:val="00704BAA"/>
    <w:rsid w:val="00776F46"/>
    <w:rsid w:val="007950C3"/>
    <w:rsid w:val="007C5BC5"/>
    <w:rsid w:val="007E332C"/>
    <w:rsid w:val="007F5483"/>
    <w:rsid w:val="00836946"/>
    <w:rsid w:val="00843036"/>
    <w:rsid w:val="00867CA2"/>
    <w:rsid w:val="00890A53"/>
    <w:rsid w:val="009174A7"/>
    <w:rsid w:val="009538B2"/>
    <w:rsid w:val="009F0570"/>
    <w:rsid w:val="009F18F2"/>
    <w:rsid w:val="009F770C"/>
    <w:rsid w:val="00A51FDD"/>
    <w:rsid w:val="00A93E62"/>
    <w:rsid w:val="00AC28E2"/>
    <w:rsid w:val="00AC6B21"/>
    <w:rsid w:val="00AD6AE8"/>
    <w:rsid w:val="00AE4144"/>
    <w:rsid w:val="00B135C4"/>
    <w:rsid w:val="00B41789"/>
    <w:rsid w:val="00B46F58"/>
    <w:rsid w:val="00B72C66"/>
    <w:rsid w:val="00BD2B15"/>
    <w:rsid w:val="00C0736D"/>
    <w:rsid w:val="00C16E44"/>
    <w:rsid w:val="00C63D84"/>
    <w:rsid w:val="00C95793"/>
    <w:rsid w:val="00C975F0"/>
    <w:rsid w:val="00CB7A43"/>
    <w:rsid w:val="00CC5819"/>
    <w:rsid w:val="00CF7B1D"/>
    <w:rsid w:val="00D35998"/>
    <w:rsid w:val="00DB79CA"/>
    <w:rsid w:val="00DD3CF9"/>
    <w:rsid w:val="00DF4CE8"/>
    <w:rsid w:val="00E16682"/>
    <w:rsid w:val="00E50C03"/>
    <w:rsid w:val="00E54C3A"/>
    <w:rsid w:val="00E6332C"/>
    <w:rsid w:val="00EA28E9"/>
    <w:rsid w:val="00EB285E"/>
    <w:rsid w:val="00EC0BA4"/>
    <w:rsid w:val="00ED11DE"/>
    <w:rsid w:val="00EE7443"/>
    <w:rsid w:val="00F31656"/>
    <w:rsid w:val="00F355D5"/>
    <w:rsid w:val="00F454DB"/>
    <w:rsid w:val="00FE74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6EA2C"/>
  <w15:docId w15:val="{AA8E65F3-9C45-4E8B-A245-96E773B5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erChar">
    <w:name w:val="Header Char"/>
    <w:basedOn w:val="DefaultParagraphFont"/>
    <w:link w:val="Header"/>
    <w:uiPriority w:val="99"/>
    <w:rsid w:val="00101A67"/>
    <w:rPr>
      <w:rFonts w:ascii="Times New Roman" w:hAnsi="Times New Roman"/>
      <w:sz w:val="18"/>
      <w:lang w:val="es-ES_tradnl" w:eastAsia="en-US"/>
    </w:rPr>
  </w:style>
  <w:style w:type="table" w:customStyle="1" w:styleId="GridTable1Light-Accent12">
    <w:name w:val="Grid Table 1 Light - Accent 12"/>
    <w:basedOn w:val="TableNormal"/>
    <w:uiPriority w:val="46"/>
    <w:rsid w:val="00101A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asons">
    <w:name w:val="Reasons"/>
    <w:basedOn w:val="Normal"/>
    <w:qFormat/>
    <w:rsid w:val="005F35A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md/R19-RRB19.3-C-0002/es" TargetMode="External"/><Relationship Id="rId18" Type="http://schemas.openxmlformats.org/officeDocument/2006/relationships/hyperlink" Target="https://www.itu.int/md/R19-RRB19.3-C-0002/es" TargetMode="External"/><Relationship Id="rId26" Type="http://schemas.openxmlformats.org/officeDocument/2006/relationships/hyperlink" Target="https://www.itu.int/md/R19-RRB19.3-C-0003/es"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itu.int/md/R16-WRC19-C-0015/es" TargetMode="External"/><Relationship Id="rId34" Type="http://schemas.openxmlformats.org/officeDocument/2006/relationships/hyperlink" Target="https://www.itu.int/md/R00-CR-CIR-0343/es"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R19-RRB19.3-C-0002/es" TargetMode="External"/><Relationship Id="rId17" Type="http://schemas.openxmlformats.org/officeDocument/2006/relationships/hyperlink" Target="https://www.itu.int/md/R19-RRB19.3-C-0002/es" TargetMode="External"/><Relationship Id="rId25" Type="http://schemas.openxmlformats.org/officeDocument/2006/relationships/hyperlink" Target="https://www.itu.int/md/R00-CCRR-CIR-0063/es" TargetMode="External"/><Relationship Id="rId33" Type="http://schemas.openxmlformats.org/officeDocument/2006/relationships/hyperlink" Target="https://www.itu.int/md/R00-CR-CIR-0301/es"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itu.int/md/R19-RRB19.3-C-0002/es" TargetMode="External"/><Relationship Id="rId20" Type="http://schemas.openxmlformats.org/officeDocument/2006/relationships/hyperlink" Target="https://www.itu.int/md/R19-RRB19.3-C-0002/es" TargetMode="External"/><Relationship Id="rId29" Type="http://schemas.openxmlformats.org/officeDocument/2006/relationships/hyperlink" Target="https://www.itu.int/md/R19-RRB19.3-C-00005/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RRB19.3-OJ/es" TargetMode="External"/><Relationship Id="rId24" Type="http://schemas.openxmlformats.org/officeDocument/2006/relationships/hyperlink" Target="https://www.itu.int/md/R19-RRB19.3-C-0001/es" TargetMode="External"/><Relationship Id="rId32" Type="http://schemas.openxmlformats.org/officeDocument/2006/relationships/hyperlink" Target="https://www.itu.int/md/R16-WRC19-C-0015/es" TargetMode="Externa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itu.int/md/R19-RRB19.3-C-0002/es" TargetMode="External"/><Relationship Id="rId23" Type="http://schemas.openxmlformats.org/officeDocument/2006/relationships/hyperlink" Target="https://www.itu.int/md/R19-RRB19.2-C-0001/en" TargetMode="External"/><Relationship Id="rId28" Type="http://schemas.openxmlformats.org/officeDocument/2006/relationships/hyperlink" Target="https://www.itu.int/md/R16-WRC19-C-0035/es"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itu.int/md/R19-RRB19.3-C-0002/es" TargetMode="External"/><Relationship Id="rId31" Type="http://schemas.openxmlformats.org/officeDocument/2006/relationships/hyperlink" Target="https://www.itu.int/md/R16-WRC19-C-0028/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R19-RRB19.3-C-0002/es" TargetMode="External"/><Relationship Id="rId22" Type="http://schemas.openxmlformats.org/officeDocument/2006/relationships/hyperlink" Target="https://www.itu.int/md/R16-WRC19-C-0004/es" TargetMode="External"/><Relationship Id="rId27" Type="http://schemas.openxmlformats.org/officeDocument/2006/relationships/hyperlink" Target="https://www.itu.int/md/R19-RRB19.3-SP-0001/es" TargetMode="External"/><Relationship Id="rId30" Type="http://schemas.openxmlformats.org/officeDocument/2006/relationships/hyperlink" Target="https://www.itu.int/md/R19-RRB19.3-C-0004/es"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RRB19%20-%20New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PS_RRB19 - Newlogo.dotm</Template>
  <TotalTime>2</TotalTime>
  <Pages>11</Pages>
  <Words>3340</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3</cp:revision>
  <cp:lastPrinted>2019-10-28T09:21:00Z</cp:lastPrinted>
  <dcterms:created xsi:type="dcterms:W3CDTF">2019-10-28T09:21:00Z</dcterms:created>
  <dcterms:modified xsi:type="dcterms:W3CDTF">2019-10-28T09:22:00Z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