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327B0" w14:paraId="1EA42CE5" w14:textId="77777777" w:rsidTr="00876A8A">
        <w:trPr>
          <w:cantSplit/>
        </w:trPr>
        <w:tc>
          <w:tcPr>
            <w:tcW w:w="6487" w:type="dxa"/>
            <w:vAlign w:val="center"/>
          </w:tcPr>
          <w:p w14:paraId="0654543E" w14:textId="77777777" w:rsidR="009F6520" w:rsidRPr="00A327B0" w:rsidRDefault="009F6520" w:rsidP="009F6520">
            <w:pPr>
              <w:shd w:val="solid" w:color="FFFFFF" w:fill="FFFFFF"/>
              <w:spacing w:before="0"/>
              <w:rPr>
                <w:rFonts w:ascii="Verdana" w:hAnsi="Verdana" w:cs="Times New Roman Bold"/>
                <w:b/>
                <w:bCs/>
                <w:sz w:val="26"/>
                <w:szCs w:val="26"/>
              </w:rPr>
            </w:pPr>
            <w:r w:rsidRPr="00A327B0">
              <w:rPr>
                <w:rFonts w:ascii="Verdana" w:hAnsi="Verdana" w:cs="Times New Roman Bold"/>
                <w:b/>
                <w:bCs/>
                <w:sz w:val="26"/>
                <w:szCs w:val="26"/>
              </w:rPr>
              <w:t>Radiocommunication Study Groups</w:t>
            </w:r>
          </w:p>
        </w:tc>
        <w:tc>
          <w:tcPr>
            <w:tcW w:w="3402" w:type="dxa"/>
          </w:tcPr>
          <w:p w14:paraId="6C3093D4" w14:textId="22E9A06D" w:rsidR="009F6520" w:rsidRPr="00A327B0" w:rsidRDefault="00F157BC" w:rsidP="00F157BC">
            <w:pPr>
              <w:shd w:val="solid" w:color="FFFFFF" w:fill="FFFFFF"/>
              <w:spacing w:before="0" w:line="240" w:lineRule="atLeast"/>
            </w:pPr>
            <w:bookmarkStart w:id="0" w:name="ditulogo"/>
            <w:bookmarkEnd w:id="0"/>
            <w:r w:rsidRPr="00A327B0">
              <w:rPr>
                <w:noProof/>
                <w:lang w:eastAsia="en-GB"/>
              </w:rPr>
              <w:drawing>
                <wp:inline distT="0" distB="0" distL="0" distR="0" wp14:anchorId="77BC2E17" wp14:editId="094126E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327B0" w14:paraId="61C4AA84" w14:textId="77777777" w:rsidTr="00876A8A">
        <w:trPr>
          <w:cantSplit/>
        </w:trPr>
        <w:tc>
          <w:tcPr>
            <w:tcW w:w="6487" w:type="dxa"/>
            <w:tcBorders>
              <w:bottom w:val="single" w:sz="12" w:space="0" w:color="auto"/>
            </w:tcBorders>
          </w:tcPr>
          <w:p w14:paraId="1B5B10DB" w14:textId="77777777" w:rsidR="000069D4" w:rsidRPr="00A327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FA255DD" w14:textId="77777777" w:rsidR="000069D4" w:rsidRPr="00A327B0" w:rsidRDefault="000069D4" w:rsidP="00A5173C">
            <w:pPr>
              <w:shd w:val="solid" w:color="FFFFFF" w:fill="FFFFFF"/>
              <w:spacing w:before="0" w:after="48" w:line="240" w:lineRule="atLeast"/>
              <w:rPr>
                <w:sz w:val="22"/>
                <w:szCs w:val="22"/>
              </w:rPr>
            </w:pPr>
          </w:p>
        </w:tc>
      </w:tr>
      <w:tr w:rsidR="000069D4" w:rsidRPr="00A327B0" w14:paraId="7A9B9B1A" w14:textId="77777777" w:rsidTr="00876A8A">
        <w:trPr>
          <w:cantSplit/>
        </w:trPr>
        <w:tc>
          <w:tcPr>
            <w:tcW w:w="6487" w:type="dxa"/>
            <w:tcBorders>
              <w:top w:val="single" w:sz="12" w:space="0" w:color="auto"/>
            </w:tcBorders>
          </w:tcPr>
          <w:p w14:paraId="50CE82BD" w14:textId="77777777" w:rsidR="000069D4" w:rsidRPr="00A327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D7A5F02" w14:textId="77777777" w:rsidR="000069D4" w:rsidRPr="00A327B0" w:rsidRDefault="000069D4" w:rsidP="00A5173C">
            <w:pPr>
              <w:shd w:val="solid" w:color="FFFFFF" w:fill="FFFFFF"/>
              <w:spacing w:before="0" w:after="48" w:line="240" w:lineRule="atLeast"/>
            </w:pPr>
          </w:p>
        </w:tc>
      </w:tr>
      <w:tr w:rsidR="00696A7B" w:rsidRPr="00F43C8B" w14:paraId="69AE3C2B" w14:textId="77777777" w:rsidTr="00876A8A">
        <w:trPr>
          <w:cantSplit/>
        </w:trPr>
        <w:tc>
          <w:tcPr>
            <w:tcW w:w="6487" w:type="dxa"/>
            <w:vMerge w:val="restart"/>
          </w:tcPr>
          <w:p w14:paraId="3E9A2A4F" w14:textId="25B0A414" w:rsidR="00696A7B" w:rsidRPr="004117B5" w:rsidRDefault="00696A7B" w:rsidP="00696A7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4117B5">
              <w:rPr>
                <w:rFonts w:ascii="Verdana" w:hAnsi="Verdana"/>
                <w:sz w:val="20"/>
                <w:lang w:val="fr-FR"/>
              </w:rPr>
              <w:t>Source:</w:t>
            </w:r>
            <w:proofErr w:type="gramEnd"/>
            <w:r w:rsidRPr="004117B5">
              <w:rPr>
                <w:rFonts w:ascii="Verdana" w:hAnsi="Verdana"/>
                <w:sz w:val="20"/>
                <w:lang w:val="fr-FR"/>
              </w:rPr>
              <w:tab/>
              <w:t>Document 5A/TEMP/57(Rev.1)</w:t>
            </w:r>
          </w:p>
        </w:tc>
        <w:tc>
          <w:tcPr>
            <w:tcW w:w="3402" w:type="dxa"/>
          </w:tcPr>
          <w:p w14:paraId="3B55E7E6" w14:textId="60CE2921" w:rsidR="00696A7B" w:rsidRPr="00F43C8B" w:rsidRDefault="00696A7B" w:rsidP="00696A7B">
            <w:pPr>
              <w:shd w:val="solid" w:color="FFFFFF" w:fill="FFFFFF"/>
              <w:spacing w:before="0" w:line="240" w:lineRule="atLeast"/>
              <w:rPr>
                <w:rFonts w:ascii="Verdana" w:hAnsi="Verdana"/>
                <w:sz w:val="20"/>
                <w:lang w:val="en-US" w:eastAsia="zh-CN"/>
              </w:rPr>
            </w:pPr>
            <w:r w:rsidRPr="00DB3BBE">
              <w:rPr>
                <w:rFonts w:ascii="Verdana" w:hAnsi="Verdana"/>
                <w:b/>
                <w:sz w:val="20"/>
                <w:lang w:val="pt-PT" w:eastAsia="zh-CN"/>
              </w:rPr>
              <w:t xml:space="preserve">Annex </w:t>
            </w:r>
            <w:r>
              <w:rPr>
                <w:rFonts w:ascii="Verdana" w:hAnsi="Verdana"/>
                <w:b/>
                <w:sz w:val="20"/>
                <w:lang w:val="pt-PT" w:eastAsia="zh-CN"/>
              </w:rPr>
              <w:t>10</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221</w:t>
            </w:r>
            <w:r w:rsidRPr="00DB3BBE">
              <w:rPr>
                <w:rFonts w:ascii="Verdana" w:hAnsi="Verdana"/>
                <w:b/>
                <w:sz w:val="20"/>
                <w:lang w:val="pt-PT" w:eastAsia="zh-CN"/>
              </w:rPr>
              <w:t>-E</w:t>
            </w:r>
          </w:p>
        </w:tc>
      </w:tr>
      <w:tr w:rsidR="00696A7B" w:rsidRPr="00A327B0" w14:paraId="7F1D60F6" w14:textId="77777777" w:rsidTr="00876A8A">
        <w:trPr>
          <w:cantSplit/>
        </w:trPr>
        <w:tc>
          <w:tcPr>
            <w:tcW w:w="6487" w:type="dxa"/>
            <w:vMerge/>
          </w:tcPr>
          <w:p w14:paraId="5C4720C0" w14:textId="77777777" w:rsidR="00696A7B" w:rsidRPr="00F43C8B" w:rsidRDefault="00696A7B" w:rsidP="00696A7B">
            <w:pPr>
              <w:spacing w:before="60"/>
              <w:jc w:val="center"/>
              <w:rPr>
                <w:b/>
                <w:smallCaps/>
                <w:sz w:val="32"/>
                <w:lang w:val="en-US" w:eastAsia="zh-CN"/>
              </w:rPr>
            </w:pPr>
            <w:bookmarkStart w:id="3" w:name="ddate" w:colFirst="1" w:colLast="1"/>
            <w:bookmarkEnd w:id="2"/>
          </w:p>
        </w:tc>
        <w:tc>
          <w:tcPr>
            <w:tcW w:w="3402" w:type="dxa"/>
          </w:tcPr>
          <w:p w14:paraId="2FC04B81" w14:textId="37D52B7B" w:rsidR="00696A7B" w:rsidRPr="00A327B0" w:rsidRDefault="00696A7B" w:rsidP="00696A7B">
            <w:pPr>
              <w:shd w:val="solid" w:color="FFFFFF" w:fill="FFFFFF"/>
              <w:spacing w:before="0" w:line="240" w:lineRule="atLeast"/>
              <w:rPr>
                <w:rFonts w:ascii="Verdana" w:hAnsi="Verdana"/>
                <w:sz w:val="20"/>
                <w:lang w:eastAsia="zh-CN"/>
              </w:rPr>
            </w:pPr>
            <w:r>
              <w:rPr>
                <w:rFonts w:ascii="Verdana" w:hAnsi="Verdana"/>
                <w:b/>
                <w:sz w:val="20"/>
                <w:lang w:eastAsia="zh-CN"/>
              </w:rPr>
              <w:t>2</w:t>
            </w:r>
            <w:r w:rsidR="004117B5">
              <w:rPr>
                <w:rFonts w:ascii="Verdana" w:hAnsi="Verdana"/>
                <w:b/>
                <w:sz w:val="20"/>
                <w:lang w:eastAsia="zh-CN"/>
              </w:rPr>
              <w:t>3</w:t>
            </w:r>
            <w:r>
              <w:rPr>
                <w:rFonts w:ascii="Verdana" w:hAnsi="Verdana"/>
                <w:b/>
                <w:sz w:val="20"/>
                <w:lang w:eastAsia="zh-CN"/>
              </w:rPr>
              <w:t xml:space="preserve"> November</w:t>
            </w:r>
            <w:r w:rsidRPr="002F173E">
              <w:rPr>
                <w:rFonts w:ascii="Verdana" w:hAnsi="Verdana"/>
                <w:b/>
                <w:sz w:val="20"/>
                <w:lang w:eastAsia="zh-CN"/>
              </w:rPr>
              <w:t xml:space="preserve"> 2020</w:t>
            </w:r>
          </w:p>
        </w:tc>
      </w:tr>
      <w:tr w:rsidR="000069D4" w:rsidRPr="00A327B0" w14:paraId="7A23BDA4" w14:textId="77777777" w:rsidTr="00876A8A">
        <w:trPr>
          <w:cantSplit/>
        </w:trPr>
        <w:tc>
          <w:tcPr>
            <w:tcW w:w="6487" w:type="dxa"/>
            <w:vMerge/>
          </w:tcPr>
          <w:p w14:paraId="251DBA0D" w14:textId="77777777" w:rsidR="000069D4" w:rsidRPr="00A327B0" w:rsidRDefault="000069D4" w:rsidP="00A5173C">
            <w:pPr>
              <w:spacing w:before="60"/>
              <w:jc w:val="center"/>
              <w:rPr>
                <w:b/>
                <w:smallCaps/>
                <w:sz w:val="32"/>
                <w:lang w:eastAsia="zh-CN"/>
              </w:rPr>
            </w:pPr>
            <w:bookmarkStart w:id="4" w:name="dorlang" w:colFirst="1" w:colLast="1"/>
            <w:bookmarkEnd w:id="3"/>
          </w:p>
        </w:tc>
        <w:tc>
          <w:tcPr>
            <w:tcW w:w="3402" w:type="dxa"/>
          </w:tcPr>
          <w:p w14:paraId="007741CB" w14:textId="33B743D3" w:rsidR="000069D4" w:rsidRPr="00A327B0" w:rsidRDefault="00F157BC" w:rsidP="00A5173C">
            <w:pPr>
              <w:shd w:val="solid" w:color="FFFFFF" w:fill="FFFFFF"/>
              <w:spacing w:before="0" w:line="240" w:lineRule="atLeast"/>
              <w:rPr>
                <w:rFonts w:ascii="Verdana" w:eastAsia="SimSun" w:hAnsi="Verdana"/>
                <w:sz w:val="20"/>
                <w:lang w:eastAsia="zh-CN"/>
              </w:rPr>
            </w:pPr>
            <w:r w:rsidRPr="00A327B0">
              <w:rPr>
                <w:rFonts w:ascii="Verdana" w:eastAsia="SimSun" w:hAnsi="Verdana"/>
                <w:b/>
                <w:sz w:val="20"/>
                <w:lang w:eastAsia="zh-CN"/>
              </w:rPr>
              <w:t>English only</w:t>
            </w:r>
          </w:p>
        </w:tc>
      </w:tr>
      <w:tr w:rsidR="000069D4" w:rsidRPr="00A327B0" w14:paraId="589A522A" w14:textId="77777777" w:rsidTr="00D046A7">
        <w:trPr>
          <w:cantSplit/>
        </w:trPr>
        <w:tc>
          <w:tcPr>
            <w:tcW w:w="9889" w:type="dxa"/>
            <w:gridSpan w:val="2"/>
          </w:tcPr>
          <w:p w14:paraId="482F45EC" w14:textId="3F1186E0" w:rsidR="000069D4" w:rsidRPr="00A327B0" w:rsidRDefault="005D3EAD" w:rsidP="004046AE">
            <w:pPr>
              <w:pStyle w:val="Source"/>
              <w:rPr>
                <w:lang w:eastAsia="zh-CN"/>
              </w:rPr>
            </w:pPr>
            <w:bookmarkStart w:id="5" w:name="dsource" w:colFirst="0" w:colLast="0"/>
            <w:bookmarkEnd w:id="4"/>
            <w:r w:rsidRPr="00A327B0">
              <w:rPr>
                <w:lang w:eastAsia="ja-JP"/>
              </w:rPr>
              <w:t>Annex 10 to Working Party 5A Chairman’s Report</w:t>
            </w:r>
          </w:p>
        </w:tc>
      </w:tr>
      <w:tr w:rsidR="000069D4" w:rsidRPr="00A327B0" w14:paraId="7DC862F0" w14:textId="77777777" w:rsidTr="00D046A7">
        <w:trPr>
          <w:cantSplit/>
        </w:trPr>
        <w:tc>
          <w:tcPr>
            <w:tcW w:w="9889" w:type="dxa"/>
            <w:gridSpan w:val="2"/>
          </w:tcPr>
          <w:p w14:paraId="7534986C" w14:textId="74981D08" w:rsidR="000069D4" w:rsidRPr="00A327B0" w:rsidRDefault="006E79D1" w:rsidP="00A327B0">
            <w:pPr>
              <w:pStyle w:val="Title1"/>
              <w:rPr>
                <w:bCs/>
                <w:i/>
                <w:szCs w:val="24"/>
                <w:highlight w:val="yellow"/>
              </w:rPr>
            </w:pPr>
            <w:bookmarkStart w:id="6" w:name="dtitle1" w:colFirst="0" w:colLast="0"/>
            <w:bookmarkEnd w:id="5"/>
            <w:r w:rsidRPr="00A327B0">
              <w:rPr>
                <w:lang w:eastAsia="ja-JP"/>
              </w:rPr>
              <w:t xml:space="preserve">elements of </w:t>
            </w:r>
            <w:r w:rsidRPr="00A327B0">
              <w:t xml:space="preserve">A WORKING DOCUMENT TOWARDS A Preliminary Draft New Report ITU-R </w:t>
            </w:r>
            <w:proofErr w:type="gramStart"/>
            <w:r w:rsidRPr="00A327B0">
              <w:t>M.[</w:t>
            </w:r>
            <w:proofErr w:type="gramEnd"/>
            <w:r w:rsidRPr="00A327B0">
              <w:rPr>
                <w:lang w:eastAsia="ja-JP"/>
              </w:rPr>
              <w:t>AMATEUR.CHARACTERISTICS</w:t>
            </w:r>
            <w:r w:rsidRPr="00A327B0">
              <w:t>]</w:t>
            </w:r>
          </w:p>
        </w:tc>
      </w:tr>
    </w:tbl>
    <w:p w14:paraId="1BE8B44E" w14:textId="25EB12A1" w:rsidR="00F157BC" w:rsidRPr="00A327B0" w:rsidRDefault="005D3EAD" w:rsidP="00A327B0">
      <w:pPr>
        <w:pStyle w:val="EditorsNote"/>
        <w:rPr>
          <w:lang w:eastAsia="ja-JP"/>
        </w:rPr>
      </w:pPr>
      <w:bookmarkStart w:id="7" w:name="dbreak"/>
      <w:bookmarkStart w:id="8" w:name="_Toc42678841"/>
      <w:bookmarkEnd w:id="6"/>
      <w:bookmarkEnd w:id="7"/>
      <w:r w:rsidRPr="005D3EAD">
        <w:rPr>
          <w:highlight w:val="yellow"/>
          <w:lang w:eastAsia="ja-JP"/>
        </w:rPr>
        <w:t>[</w:t>
      </w:r>
      <w:r w:rsidR="00F157BC" w:rsidRPr="005D3EAD">
        <w:rPr>
          <w:highlight w:val="yellow"/>
          <w:lang w:eastAsia="ja-JP"/>
        </w:rPr>
        <w:t>20201116 Editor’s note: Agreed revision to this text; keep only information directly relevant to the amateur and amateur-satellite service</w:t>
      </w:r>
      <w:r w:rsidR="00696A7B" w:rsidRPr="005D3EAD">
        <w:rPr>
          <w:highlight w:val="yellow"/>
          <w:lang w:eastAsia="ja-JP"/>
        </w:rPr>
        <w:t>s</w:t>
      </w:r>
      <w:r w:rsidR="00F157BC" w:rsidRPr="005D3EAD">
        <w:rPr>
          <w:highlight w:val="yellow"/>
          <w:lang w:eastAsia="ja-JP"/>
        </w:rPr>
        <w:t>. Introduction also needs review.</w:t>
      </w:r>
      <w:r w:rsidRPr="005D3EAD">
        <w:rPr>
          <w:highlight w:val="yellow"/>
          <w:lang w:eastAsia="ja-JP"/>
        </w:rPr>
        <w:t>]</w:t>
      </w:r>
    </w:p>
    <w:p w14:paraId="4959C7D0" w14:textId="77777777" w:rsidR="00F157BC" w:rsidRPr="00A327B0" w:rsidRDefault="00F157BC" w:rsidP="00A327B0">
      <w:pPr>
        <w:pStyle w:val="Heading1"/>
      </w:pPr>
      <w:r w:rsidRPr="00A327B0">
        <w:t>1</w:t>
      </w:r>
      <w:r w:rsidRPr="00A327B0">
        <w:tab/>
        <w:t>Introduction</w:t>
      </w:r>
    </w:p>
    <w:p w14:paraId="1453483D" w14:textId="16E5E402" w:rsidR="00F157BC" w:rsidRPr="00A327B0" w:rsidRDefault="00F157BC" w:rsidP="006E79D1">
      <w:pPr>
        <w:rPr>
          <w:lang w:eastAsia="ja-JP"/>
        </w:rPr>
      </w:pPr>
      <w:r w:rsidRPr="00A327B0">
        <w:rPr>
          <w:lang w:eastAsia="ja-JP"/>
        </w:rPr>
        <w:t xml:space="preserve">[The frequency band </w:t>
      </w:r>
      <w:r w:rsidRPr="00A327B0">
        <w:t>1 </w:t>
      </w:r>
      <w:r w:rsidRPr="00A327B0">
        <w:rPr>
          <w:lang w:eastAsia="ja-JP"/>
        </w:rPr>
        <w:t>240</w:t>
      </w:r>
      <w:r w:rsidRPr="00A327B0">
        <w:t>-</w:t>
      </w:r>
      <w:r w:rsidRPr="00A327B0">
        <w:rPr>
          <w:lang w:eastAsia="ja-JP"/>
        </w:rPr>
        <w:t>1</w:t>
      </w:r>
      <w:r w:rsidRPr="00A327B0">
        <w:t> </w:t>
      </w:r>
      <w:r w:rsidRPr="00A327B0">
        <w:rPr>
          <w:lang w:eastAsia="ja-JP"/>
        </w:rPr>
        <w:t>300</w:t>
      </w:r>
      <w:r w:rsidRPr="00A327B0">
        <w:t> MHz</w:t>
      </w:r>
      <w:r w:rsidRPr="00A327B0">
        <w:rPr>
          <w:lang w:eastAsia="ja-JP"/>
        </w:rPr>
        <w:t xml:space="preserve"> is allocated worldwide to the amateur service on a secondary basis and has been used for a range of applications. The amateur-satellite service (Earth</w:t>
      </w:r>
      <w:r w:rsidR="004117B5">
        <w:rPr>
          <w:lang w:eastAsia="ja-JP"/>
        </w:rPr>
        <w:noBreakHyphen/>
      </w:r>
      <w:r w:rsidRPr="00A327B0">
        <w:rPr>
          <w:lang w:eastAsia="ja-JP"/>
        </w:rPr>
        <w:t xml:space="preserve">to-space) may operate in the frequency band </w:t>
      </w:r>
      <w:r w:rsidRPr="00A327B0">
        <w:t>1 </w:t>
      </w:r>
      <w:r w:rsidRPr="00A327B0">
        <w:rPr>
          <w:lang w:eastAsia="ja-JP"/>
        </w:rPr>
        <w:t>260</w:t>
      </w:r>
      <w:r w:rsidRPr="00A327B0">
        <w:t>-</w:t>
      </w:r>
      <w:r w:rsidRPr="00A327B0">
        <w:rPr>
          <w:lang w:eastAsia="ja-JP"/>
        </w:rPr>
        <w:t>1</w:t>
      </w:r>
      <w:r w:rsidRPr="00A327B0">
        <w:t> </w:t>
      </w:r>
      <w:r w:rsidRPr="00A327B0">
        <w:rPr>
          <w:lang w:eastAsia="ja-JP"/>
        </w:rPr>
        <w:t>270</w:t>
      </w:r>
      <w:r w:rsidRPr="00A327B0">
        <w:t> MHz</w:t>
      </w:r>
      <w:r w:rsidRPr="00A327B0">
        <w:rPr>
          <w:lang w:eastAsia="ja-JP"/>
        </w:rPr>
        <w:t xml:space="preserve"> under No. </w:t>
      </w:r>
      <w:r w:rsidRPr="00A327B0">
        <w:rPr>
          <w:b/>
          <w:lang w:eastAsia="ja-JP"/>
        </w:rPr>
        <w:t>5.282</w:t>
      </w:r>
      <w:r w:rsidRPr="00A327B0">
        <w:rPr>
          <w:lang w:eastAsia="ja-JP"/>
        </w:rPr>
        <w:t xml:space="preserve"> of the Radio Regulations.</w:t>
      </w:r>
    </w:p>
    <w:p w14:paraId="5A06FF2F" w14:textId="31318101" w:rsidR="00F157BC" w:rsidRPr="00A327B0" w:rsidRDefault="00F157BC" w:rsidP="006E79D1">
      <w:pPr>
        <w:rPr>
          <w:lang w:eastAsia="ja-JP"/>
        </w:rPr>
      </w:pPr>
      <w:r w:rsidRPr="00A327B0">
        <w:rPr>
          <w:lang w:eastAsia="ja-JP"/>
        </w:rPr>
        <w:t xml:space="preserve">The frequency band </w:t>
      </w:r>
      <w:r w:rsidRPr="00A327B0">
        <w:t>1 </w:t>
      </w:r>
      <w:r w:rsidRPr="00A327B0">
        <w:rPr>
          <w:lang w:eastAsia="ja-JP"/>
        </w:rPr>
        <w:t>240</w:t>
      </w:r>
      <w:r w:rsidRPr="00A327B0">
        <w:t>-</w:t>
      </w:r>
      <w:r w:rsidRPr="00A327B0">
        <w:rPr>
          <w:lang w:eastAsia="ja-JP"/>
        </w:rPr>
        <w:t>1</w:t>
      </w:r>
      <w:r w:rsidRPr="00A327B0">
        <w:t> </w:t>
      </w:r>
      <w:r w:rsidRPr="00A327B0">
        <w:rPr>
          <w:lang w:eastAsia="ja-JP"/>
        </w:rPr>
        <w:t>300</w:t>
      </w:r>
      <w:r w:rsidRPr="00A327B0">
        <w:t> MHz</w:t>
      </w:r>
      <w:r w:rsidRPr="00A327B0">
        <w:rPr>
          <w:lang w:eastAsia="ja-JP"/>
        </w:rPr>
        <w:t xml:space="preserve"> is also allocated worldwide to the radionavigation-satellite service (RNSS) in the space-to-Earth direction on a primary basis. Many RNSS systems are operational and various types of RNSS receivers are being in use. Report </w:t>
      </w:r>
      <w:r w:rsidR="009C1FB0" w:rsidRPr="00A327B0">
        <w:rPr>
          <w:lang w:eastAsia="ja-JP"/>
        </w:rPr>
        <w:t xml:space="preserve">ITU-R </w:t>
      </w:r>
      <w:r w:rsidRPr="00A327B0">
        <w:rPr>
          <w:lang w:eastAsia="ja-JP"/>
        </w:rPr>
        <w:t>M.2458 summarizes the RNSS applications in this frequency band.</w:t>
      </w:r>
    </w:p>
    <w:p w14:paraId="5978A2A9" w14:textId="77777777" w:rsidR="00F157BC" w:rsidRPr="00A327B0" w:rsidRDefault="00F157BC" w:rsidP="006E79D1">
      <w:pPr>
        <w:rPr>
          <w:rFonts w:eastAsia="SimSun"/>
          <w:color w:val="000000"/>
          <w:szCs w:val="24"/>
          <w:lang w:eastAsia="zh-CN"/>
        </w:rPr>
      </w:pPr>
      <w:r w:rsidRPr="00A327B0">
        <w:rPr>
          <w:szCs w:val="24"/>
          <w:lang w:eastAsia="ja-JP"/>
        </w:rPr>
        <w:t xml:space="preserve">Some cases of harmful interference caused by emissions from the stations in the amateur service into RNSS (space-to-Earth) receivers have been observed. Furthermore, number of similar interference cases may be increased, unless proper guidelines to protect RNSS (space-to-Earth) from the amateur and amateur-satellite services are implemented. Thus, this </w:t>
      </w:r>
      <w:r w:rsidRPr="00A327B0">
        <w:rPr>
          <w:szCs w:val="23"/>
        </w:rPr>
        <w:t>potential interference issues need to be studied</w:t>
      </w:r>
      <w:r w:rsidRPr="00A327B0">
        <w:rPr>
          <w:szCs w:val="24"/>
        </w:rPr>
        <w:t>.</w:t>
      </w:r>
    </w:p>
    <w:p w14:paraId="04051F84" w14:textId="732E67D7" w:rsidR="00F157BC" w:rsidRPr="00A327B0" w:rsidRDefault="00F157BC" w:rsidP="00F43C8B">
      <w:pPr>
        <w:keepLines/>
        <w:rPr>
          <w:lang w:eastAsia="ja-JP"/>
        </w:rPr>
      </w:pPr>
      <w:r w:rsidRPr="00A327B0">
        <w:rPr>
          <w:color w:val="000000"/>
          <w:szCs w:val="24"/>
          <w:lang w:eastAsia="zh-CN"/>
        </w:rPr>
        <w:t xml:space="preserve">In this regard, </w:t>
      </w:r>
      <w:r w:rsidRPr="00A327B0">
        <w:t xml:space="preserve">Resolution </w:t>
      </w:r>
      <w:r w:rsidRPr="00A327B0">
        <w:rPr>
          <w:b/>
          <w:bCs/>
          <w:lang w:eastAsia="ja-JP"/>
        </w:rPr>
        <w:t>774</w:t>
      </w:r>
      <w:r w:rsidRPr="00A327B0">
        <w:rPr>
          <w:b/>
          <w:bCs/>
        </w:rPr>
        <w:t xml:space="preserve"> (WRC-1</w:t>
      </w:r>
      <w:r w:rsidRPr="00A327B0">
        <w:rPr>
          <w:b/>
          <w:bCs/>
          <w:lang w:eastAsia="ja-JP"/>
        </w:rPr>
        <w:t>9</w:t>
      </w:r>
      <w:r w:rsidRPr="00A327B0">
        <w:rPr>
          <w:b/>
          <w:bCs/>
        </w:rPr>
        <w:t>)</w:t>
      </w:r>
      <w:r w:rsidRPr="00A327B0">
        <w:t xml:space="preserve"> invites ITU-R to study possible technical and operational measures to ensure </w:t>
      </w:r>
      <w:r w:rsidRPr="00A327B0">
        <w:rPr>
          <w:lang w:eastAsia="ja-JP"/>
        </w:rPr>
        <w:t xml:space="preserve">the protection of RNSS (space-to-Earth) receivers from the amateur and amateur-satellite services in the </w:t>
      </w:r>
      <w:r w:rsidRPr="00A327B0">
        <w:t>frequency band 1 </w:t>
      </w:r>
      <w:r w:rsidRPr="00A327B0">
        <w:rPr>
          <w:lang w:eastAsia="ja-JP"/>
        </w:rPr>
        <w:t>240</w:t>
      </w:r>
      <w:r w:rsidRPr="00A327B0">
        <w:t>-</w:t>
      </w:r>
      <w:r w:rsidRPr="00A327B0">
        <w:rPr>
          <w:lang w:eastAsia="ja-JP"/>
        </w:rPr>
        <w:t>1</w:t>
      </w:r>
      <w:r w:rsidRPr="00A327B0">
        <w:t> </w:t>
      </w:r>
      <w:r w:rsidRPr="00A327B0">
        <w:rPr>
          <w:lang w:eastAsia="ja-JP"/>
        </w:rPr>
        <w:t>30</w:t>
      </w:r>
      <w:r w:rsidRPr="00A327B0">
        <w:t>0 MHz</w:t>
      </w:r>
      <w:r w:rsidRPr="00A327B0">
        <w:rPr>
          <w:lang w:eastAsia="ja-JP"/>
        </w:rPr>
        <w:t>, without considering the removal of these amateur and amateur-satellite service allocations.</w:t>
      </w:r>
      <w:r w:rsidR="005A67A5">
        <w:rPr>
          <w:lang w:eastAsia="ja-JP"/>
        </w:rPr>
        <w:t>]</w:t>
      </w:r>
    </w:p>
    <w:p w14:paraId="57008B8F" w14:textId="24670CD7" w:rsidR="00F157BC" w:rsidRPr="00A327B0" w:rsidRDefault="00F157BC" w:rsidP="00696A7B">
      <w:pPr>
        <w:pStyle w:val="Heading1"/>
      </w:pPr>
      <w:r w:rsidRPr="00A327B0">
        <w:t>2</w:t>
      </w:r>
      <w:r w:rsidRPr="00A327B0">
        <w:tab/>
        <w:t>Applications and typical operational characteristics of the amateur and amateur-satellite service</w:t>
      </w:r>
      <w:r w:rsidR="00696A7B">
        <w:t>s</w:t>
      </w:r>
      <w:r w:rsidRPr="00A327B0">
        <w:t xml:space="preserve"> operating in the</w:t>
      </w:r>
      <w:r w:rsidR="004A7B16">
        <w:t xml:space="preserve"> frequency</w:t>
      </w:r>
      <w:r w:rsidRPr="00A327B0">
        <w:t xml:space="preserve"> band 1</w:t>
      </w:r>
      <w:r w:rsidR="004117B5">
        <w:t> </w:t>
      </w:r>
      <w:r w:rsidRPr="00A327B0">
        <w:t>240</w:t>
      </w:r>
      <w:r w:rsidR="004117B5">
        <w:noBreakHyphen/>
      </w:r>
      <w:r w:rsidRPr="00A327B0">
        <w:t>1</w:t>
      </w:r>
      <w:r w:rsidR="00696A7B">
        <w:t> </w:t>
      </w:r>
      <w:r w:rsidRPr="00A327B0">
        <w:t>300 MHz</w:t>
      </w:r>
    </w:p>
    <w:p w14:paraId="4AF6C178" w14:textId="7791E468" w:rsidR="00F157BC" w:rsidRDefault="005D3EAD">
      <w:pPr>
        <w:pStyle w:val="EditorsNote"/>
      </w:pPr>
      <w:r w:rsidRPr="005D3EAD">
        <w:rPr>
          <w:highlight w:val="yellow"/>
        </w:rPr>
        <w:t>[</w:t>
      </w:r>
      <w:r w:rsidR="00F157BC" w:rsidRPr="005D3EAD">
        <w:rPr>
          <w:highlight w:val="yellow"/>
        </w:rPr>
        <w:t xml:space="preserve">20201116 Editor’s note: </w:t>
      </w:r>
      <w:r w:rsidR="00427840" w:rsidRPr="005D3EAD">
        <w:rPr>
          <w:highlight w:val="yellow"/>
        </w:rPr>
        <w:t xml:space="preserve">This </w:t>
      </w:r>
      <w:r w:rsidR="00F157BC" w:rsidRPr="005D3EAD">
        <w:rPr>
          <w:highlight w:val="yellow"/>
        </w:rPr>
        <w:t>text is attachment 1</w:t>
      </w:r>
      <w:r w:rsidR="004117B5">
        <w:rPr>
          <w:highlight w:val="yellow"/>
        </w:rPr>
        <w:t xml:space="preserve"> </w:t>
      </w:r>
      <w:r w:rsidR="00F157BC" w:rsidRPr="005D3EAD">
        <w:rPr>
          <w:highlight w:val="yellow"/>
        </w:rPr>
        <w:t xml:space="preserve">from the liaison note sent to WP 4C. Section headings etc. may need to be adjusted </w:t>
      </w:r>
      <w:r w:rsidR="004117B5">
        <w:rPr>
          <w:highlight w:val="yellow"/>
        </w:rPr>
        <w:t>and</w:t>
      </w:r>
      <w:r w:rsidR="00F157BC" w:rsidRPr="005D3EAD">
        <w:rPr>
          <w:highlight w:val="yellow"/>
        </w:rPr>
        <w:t xml:space="preserve"> reformatted. Probably still need a reference to Rec</w:t>
      </w:r>
      <w:r w:rsidR="004117B5">
        <w:rPr>
          <w:highlight w:val="yellow"/>
        </w:rPr>
        <w:t xml:space="preserve">ommendation </w:t>
      </w:r>
      <w:r w:rsidR="004117B5" w:rsidRPr="004117B5">
        <w:rPr>
          <w:highlight w:val="yellow"/>
          <w:lang w:eastAsia="zh-CN"/>
        </w:rPr>
        <w:t>ITU-R</w:t>
      </w:r>
      <w:r w:rsidR="004117B5">
        <w:rPr>
          <w:highlight w:val="yellow"/>
        </w:rPr>
        <w:t xml:space="preserve"> </w:t>
      </w:r>
      <w:r w:rsidR="00F157BC" w:rsidRPr="005D3EAD">
        <w:rPr>
          <w:highlight w:val="yellow"/>
        </w:rPr>
        <w:t>M.1732 and information on why the additional information was needed.</w:t>
      </w:r>
      <w:r w:rsidRPr="005D3EAD">
        <w:rPr>
          <w:highlight w:val="yellow"/>
        </w:rPr>
        <w:t>]</w:t>
      </w:r>
    </w:p>
    <w:p w14:paraId="0ACBBABF" w14:textId="0D3EDD18" w:rsidR="004A7B16" w:rsidRPr="00FC7F72" w:rsidRDefault="004A7B16" w:rsidP="00427840">
      <w:pPr>
        <w:pStyle w:val="Heading2"/>
      </w:pPr>
      <w:r>
        <w:lastRenderedPageBreak/>
        <w:t>2.1</w:t>
      </w:r>
      <w:r>
        <w:tab/>
      </w:r>
      <w:r w:rsidRPr="00FC7F72">
        <w:t>Amateur and amateur-satellite applications and station categories</w:t>
      </w:r>
    </w:p>
    <w:p w14:paraId="44C7E9BC" w14:textId="35211822" w:rsidR="004A7B16" w:rsidRPr="00FC7F72" w:rsidRDefault="004A7B16" w:rsidP="004A7B16">
      <w:r w:rsidRPr="00FC7F72">
        <w:t>The detailed list of amateur and the amateur-satellite service</w:t>
      </w:r>
      <w:r w:rsidR="00696A7B">
        <w:t>s</w:t>
      </w:r>
      <w:r w:rsidRPr="00FC7F72">
        <w:t xml:space="preserve"> applications in the band 1 240</w:t>
      </w:r>
      <w:r w:rsidRPr="00FC7F72">
        <w:noBreakHyphen/>
        <w:t>1 300 MHz can be divided into three categories:</w:t>
      </w:r>
    </w:p>
    <w:p w14:paraId="445E9B8D" w14:textId="77777777" w:rsidR="004A7B16" w:rsidRPr="00FC7F72" w:rsidRDefault="004A7B16" w:rsidP="004A7B16">
      <w:pPr>
        <w:pStyle w:val="Headingi"/>
      </w:pPr>
      <w:r w:rsidRPr="00FC7F72">
        <w:t>1)</w:t>
      </w:r>
      <w:r w:rsidRPr="00FC7F72">
        <w:tab/>
        <w:t>Home station</w:t>
      </w:r>
    </w:p>
    <w:p w14:paraId="7C824A48" w14:textId="77777777" w:rsidR="004A7B16" w:rsidRPr="00FC7F72" w:rsidRDefault="004A7B16" w:rsidP="004A7B16">
      <w:r w:rsidRPr="00FC7F72">
        <w:t xml:space="preserve">This refers to equipment located at the station licence holder’s home address. </w:t>
      </w:r>
    </w:p>
    <w:p w14:paraId="2D68B919" w14:textId="77777777" w:rsidR="004A7B16" w:rsidRPr="00FC7F72" w:rsidRDefault="004A7B16" w:rsidP="004A7B16">
      <w:pPr>
        <w:pStyle w:val="Headingi"/>
      </w:pPr>
      <w:r w:rsidRPr="00FC7F72">
        <w:t>2)</w:t>
      </w:r>
      <w:r w:rsidRPr="00FC7F72">
        <w:tab/>
        <w:t>Temporary “portable” station</w:t>
      </w:r>
    </w:p>
    <w:p w14:paraId="2591C12F" w14:textId="77777777" w:rsidR="004A7B16" w:rsidRPr="00FC7F72" w:rsidRDefault="004A7B16" w:rsidP="004A7B16">
      <w:r w:rsidRPr="00FC7F72">
        <w:t xml:space="preserve">A temporarily sited station is usually located in an advantageous position (usually high ground) away from a home station location and operational for a short period radiosport contest, an experimental long-distance communication test or a time-limited special activity event. </w:t>
      </w:r>
    </w:p>
    <w:p w14:paraId="63ACFE64" w14:textId="77777777" w:rsidR="004A7B16" w:rsidRPr="00FC7F72" w:rsidRDefault="004A7B16" w:rsidP="004A7B16">
      <w:pPr>
        <w:pStyle w:val="Headingi"/>
      </w:pPr>
      <w:r w:rsidRPr="00FC7F72">
        <w:t>3)</w:t>
      </w:r>
      <w:r w:rsidRPr="00FC7F72">
        <w:tab/>
        <w:t>Permanent installation (sometimes referred to as “automatic” or “unmanned” stations)</w:t>
      </w:r>
    </w:p>
    <w:p w14:paraId="7EA825C1" w14:textId="77777777" w:rsidR="004A7B16" w:rsidRPr="00FC7F72" w:rsidRDefault="004A7B16" w:rsidP="004A7B16">
      <w:r w:rsidRPr="00FC7F72">
        <w:t xml:space="preserve">Permanent installations refer to stations installed away from a home station. </w:t>
      </w:r>
      <w:r w:rsidRPr="00FC7F72">
        <w:rPr>
          <w:color w:val="000000" w:themeColor="text1"/>
        </w:rPr>
        <w:t>They operate as propagation beacons, voice, amateur television</w:t>
      </w:r>
      <w:r>
        <w:rPr>
          <w:color w:val="000000" w:themeColor="text1"/>
        </w:rPr>
        <w:t xml:space="preserve"> (ATV)</w:t>
      </w:r>
      <w:r w:rsidRPr="00FC7F72">
        <w:rPr>
          <w:color w:val="000000" w:themeColor="text1"/>
        </w:rPr>
        <w:t xml:space="preserve"> or data repeaters. </w:t>
      </w:r>
      <w:r w:rsidRPr="00FC7F72">
        <w:t>As permanently installed stations, these are licensed by the national authority in their own right for their designated location, operating frequency and output power. The licence and responsibility of the station operation are usually associated with an already licensed radio amateur operator known as the “keeper” of the installation.</w:t>
      </w:r>
    </w:p>
    <w:p w14:paraId="13BD5EBE" w14:textId="77777777" w:rsidR="004A7B16" w:rsidRPr="00FC7F72" w:rsidRDefault="004A7B16" w:rsidP="004A7B16">
      <w:r w:rsidRPr="00FC7F72">
        <w:t>Propagation beacons are usually intended to operate continuously and are required to transmit a short repeating message using on/off keying or a narrow-band FSK signal with call sign ID and location information.</w:t>
      </w:r>
    </w:p>
    <w:p w14:paraId="62E85BCA" w14:textId="77777777" w:rsidR="004A7B16" w:rsidRPr="00FC7F72" w:rsidRDefault="004A7B16" w:rsidP="004A7B16">
      <w:r w:rsidRPr="00FC7F72">
        <w:t xml:space="preserve">Voice repeaters usually re-transmit narrow-band analogue and digital voice traffic when activated with a signal on the input frequency and are mostly associated with extending geographic coverage area. Data and </w:t>
      </w:r>
      <w:r>
        <w:t>A</w:t>
      </w:r>
      <w:r w:rsidRPr="00FC7F72">
        <w:t xml:space="preserve">TV repeater stations transmit wider bandwidth amateur signals and </w:t>
      </w:r>
      <w:r>
        <w:t>A</w:t>
      </w:r>
      <w:r w:rsidRPr="00FC7F72">
        <w:t>TV repeater stations may transmit test signals when not being accessed by a user station on the input channel. All repeater stations are required by national regulations to transmit identification information.</w:t>
      </w:r>
    </w:p>
    <w:p w14:paraId="07163A24" w14:textId="77777777" w:rsidR="004A7B16" w:rsidRPr="00FC7F72" w:rsidRDefault="004A7B16" w:rsidP="004A7B16">
      <w:r w:rsidRPr="00FC7F72">
        <w:t>Satellite communications (1 260</w:t>
      </w:r>
      <w:r>
        <w:t>-</w:t>
      </w:r>
      <w:r w:rsidRPr="00FC7F72">
        <w:t xml:space="preserve">1 270 MHz, Earth-to-space only. See </w:t>
      </w:r>
      <w:r w:rsidRPr="00FC7F72">
        <w:rPr>
          <w:bCs/>
        </w:rPr>
        <w:t>RR</w:t>
      </w:r>
      <w:r w:rsidRPr="00FC7F72">
        <w:t xml:space="preserve"> No. </w:t>
      </w:r>
      <w:r w:rsidRPr="00FC7F72">
        <w:rPr>
          <w:b/>
          <w:bCs/>
        </w:rPr>
        <w:t>5.282</w:t>
      </w:r>
      <w:r w:rsidRPr="00FC7F72">
        <w:t>) and mobile stations are possible, but these are rare in this frequency band. Tables 1 and 2 provide a matrix of the amateur and amateur-satellite applications versus station categories:</w:t>
      </w:r>
    </w:p>
    <w:p w14:paraId="7AC11DD0" w14:textId="77777777" w:rsidR="004A7B16" w:rsidRPr="00FC7F72" w:rsidRDefault="004A7B16" w:rsidP="004A7B16">
      <w:pPr>
        <w:pStyle w:val="TableNo"/>
      </w:pPr>
      <w:r w:rsidRPr="00FC7F72">
        <w:t>Table 1</w:t>
      </w:r>
    </w:p>
    <w:p w14:paraId="5DA1B13E" w14:textId="77777777" w:rsidR="004A7B16" w:rsidRPr="00FC7F72" w:rsidRDefault="004A7B16" w:rsidP="004A7B16">
      <w:pPr>
        <w:pStyle w:val="Tabletitle"/>
      </w:pPr>
      <w:r w:rsidRPr="00FC7F72">
        <w:t>Narrow-band amateur and amateur satellite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91"/>
        <w:gridCol w:w="854"/>
        <w:gridCol w:w="1036"/>
        <w:gridCol w:w="909"/>
        <w:gridCol w:w="967"/>
        <w:gridCol w:w="1868"/>
        <w:gridCol w:w="2414"/>
      </w:tblGrid>
      <w:tr w:rsidR="004A7B16" w:rsidRPr="00FC7F72" w14:paraId="2341F5DB" w14:textId="77777777" w:rsidTr="004117B5">
        <w:trPr>
          <w:cantSplit/>
          <w:tblHeader/>
          <w:jc w:val="center"/>
        </w:trPr>
        <w:tc>
          <w:tcPr>
            <w:tcW w:w="1591" w:type="dxa"/>
            <w:vMerge w:val="restart"/>
            <w:vAlign w:val="center"/>
          </w:tcPr>
          <w:p w14:paraId="1F197AF5" w14:textId="77777777" w:rsidR="004A7B16" w:rsidRPr="004117B5" w:rsidRDefault="004A7B16" w:rsidP="004117B5">
            <w:pPr>
              <w:pStyle w:val="Tablehead"/>
            </w:pPr>
            <w:r w:rsidRPr="004117B5">
              <w:t>Application</w:t>
            </w:r>
          </w:p>
        </w:tc>
        <w:tc>
          <w:tcPr>
            <w:tcW w:w="3766" w:type="dxa"/>
            <w:gridSpan w:val="4"/>
            <w:vAlign w:val="center"/>
          </w:tcPr>
          <w:p w14:paraId="2F8EBDE8" w14:textId="77777777" w:rsidR="004A7B16" w:rsidRPr="004117B5" w:rsidRDefault="004A7B16" w:rsidP="004117B5">
            <w:pPr>
              <w:pStyle w:val="Tablehead"/>
            </w:pPr>
            <w:r w:rsidRPr="004117B5">
              <w:t>Station type</w:t>
            </w:r>
          </w:p>
        </w:tc>
        <w:tc>
          <w:tcPr>
            <w:tcW w:w="1868" w:type="dxa"/>
            <w:vMerge w:val="restart"/>
            <w:vAlign w:val="center"/>
          </w:tcPr>
          <w:p w14:paraId="121829E7" w14:textId="77777777" w:rsidR="004A7B16" w:rsidRPr="00FC7F72" w:rsidRDefault="004A7B16" w:rsidP="001C605F">
            <w:pPr>
              <w:pStyle w:val="Tablehead"/>
            </w:pPr>
            <w:r w:rsidRPr="00FC7F72">
              <w:t>Max. bandwidth</w:t>
            </w:r>
          </w:p>
        </w:tc>
        <w:tc>
          <w:tcPr>
            <w:tcW w:w="2414" w:type="dxa"/>
            <w:vMerge w:val="restart"/>
            <w:vAlign w:val="center"/>
          </w:tcPr>
          <w:p w14:paraId="440C345F" w14:textId="77777777" w:rsidR="004A7B16" w:rsidRPr="00FC7F72" w:rsidRDefault="004A7B16" w:rsidP="001C605F">
            <w:pPr>
              <w:pStyle w:val="Tablehead"/>
            </w:pPr>
            <w:r w:rsidRPr="00FC7F72">
              <w:t>Comments</w:t>
            </w:r>
          </w:p>
        </w:tc>
      </w:tr>
      <w:tr w:rsidR="004117B5" w:rsidRPr="00FC7F72" w14:paraId="19EEF568" w14:textId="77777777" w:rsidTr="004117B5">
        <w:trPr>
          <w:cantSplit/>
          <w:tblHeader/>
          <w:jc w:val="center"/>
        </w:trPr>
        <w:tc>
          <w:tcPr>
            <w:tcW w:w="1591" w:type="dxa"/>
            <w:vMerge/>
            <w:vAlign w:val="center"/>
          </w:tcPr>
          <w:p w14:paraId="3481A821" w14:textId="77777777" w:rsidR="004A7B16" w:rsidRPr="004117B5" w:rsidRDefault="004A7B16" w:rsidP="004117B5">
            <w:pPr>
              <w:pStyle w:val="Tablehead"/>
            </w:pPr>
          </w:p>
        </w:tc>
        <w:tc>
          <w:tcPr>
            <w:tcW w:w="854" w:type="dxa"/>
            <w:vMerge w:val="restart"/>
            <w:vAlign w:val="center"/>
          </w:tcPr>
          <w:p w14:paraId="6D1BBE18" w14:textId="77777777" w:rsidR="004A7B16" w:rsidRPr="004117B5" w:rsidRDefault="004A7B16" w:rsidP="004117B5">
            <w:pPr>
              <w:pStyle w:val="Tablehead"/>
              <w:rPr>
                <w:rStyle w:val="ECCHLbold"/>
                <w:b/>
              </w:rPr>
            </w:pPr>
            <w:r w:rsidRPr="004117B5">
              <w:rPr>
                <w:rStyle w:val="ECCHLbold"/>
                <w:b/>
              </w:rPr>
              <w:t>Home</w:t>
            </w:r>
          </w:p>
        </w:tc>
        <w:tc>
          <w:tcPr>
            <w:tcW w:w="1036" w:type="dxa"/>
            <w:vMerge w:val="restart"/>
            <w:vAlign w:val="center"/>
          </w:tcPr>
          <w:p w14:paraId="5C58A331" w14:textId="77777777" w:rsidR="004A7B16" w:rsidRPr="004117B5" w:rsidRDefault="004A7B16" w:rsidP="004117B5">
            <w:pPr>
              <w:pStyle w:val="Tablehead"/>
              <w:rPr>
                <w:rStyle w:val="ECCHLbold"/>
                <w:b/>
              </w:rPr>
            </w:pPr>
            <w:r w:rsidRPr="004117B5">
              <w:rPr>
                <w:rStyle w:val="ECCHLbold"/>
                <w:b/>
              </w:rPr>
              <w:t>Temporary</w:t>
            </w:r>
          </w:p>
        </w:tc>
        <w:tc>
          <w:tcPr>
            <w:tcW w:w="1876" w:type="dxa"/>
            <w:gridSpan w:val="2"/>
            <w:vAlign w:val="center"/>
          </w:tcPr>
          <w:p w14:paraId="4F796E09" w14:textId="77777777" w:rsidR="004A7B16" w:rsidRPr="004117B5" w:rsidRDefault="004A7B16" w:rsidP="004117B5">
            <w:pPr>
              <w:pStyle w:val="Tablehead"/>
              <w:rPr>
                <w:rStyle w:val="ECCHLbold"/>
                <w:b/>
              </w:rPr>
            </w:pPr>
            <w:r w:rsidRPr="004117B5">
              <w:rPr>
                <w:rStyle w:val="ECCHLbold"/>
                <w:b/>
              </w:rPr>
              <w:t>Installation</w:t>
            </w:r>
          </w:p>
        </w:tc>
        <w:tc>
          <w:tcPr>
            <w:tcW w:w="1868" w:type="dxa"/>
            <w:vMerge/>
            <w:vAlign w:val="center"/>
          </w:tcPr>
          <w:p w14:paraId="007F23F1" w14:textId="77777777" w:rsidR="004A7B16" w:rsidRPr="00FC7F72" w:rsidRDefault="004A7B16" w:rsidP="001C605F">
            <w:pPr>
              <w:pStyle w:val="Tablehead"/>
            </w:pPr>
          </w:p>
        </w:tc>
        <w:tc>
          <w:tcPr>
            <w:tcW w:w="2414" w:type="dxa"/>
            <w:vMerge/>
            <w:vAlign w:val="center"/>
          </w:tcPr>
          <w:p w14:paraId="289291C5" w14:textId="77777777" w:rsidR="004A7B16" w:rsidRPr="00FC7F72" w:rsidRDefault="004A7B16" w:rsidP="001C605F">
            <w:pPr>
              <w:pStyle w:val="Tablehead"/>
            </w:pPr>
          </w:p>
        </w:tc>
      </w:tr>
      <w:tr w:rsidR="004117B5" w:rsidRPr="00FC7F72" w14:paraId="06B30F0D" w14:textId="77777777" w:rsidTr="004117B5">
        <w:trPr>
          <w:cantSplit/>
          <w:tblHeader/>
          <w:jc w:val="center"/>
        </w:trPr>
        <w:tc>
          <w:tcPr>
            <w:tcW w:w="1591" w:type="dxa"/>
            <w:vMerge/>
            <w:vAlign w:val="center"/>
          </w:tcPr>
          <w:p w14:paraId="7F4956A7" w14:textId="77777777" w:rsidR="004A7B16" w:rsidRPr="004117B5" w:rsidRDefault="004A7B16" w:rsidP="004117B5">
            <w:pPr>
              <w:pStyle w:val="Tablehead"/>
            </w:pPr>
          </w:p>
        </w:tc>
        <w:tc>
          <w:tcPr>
            <w:tcW w:w="854" w:type="dxa"/>
            <w:vMerge/>
            <w:vAlign w:val="center"/>
          </w:tcPr>
          <w:p w14:paraId="3B8E523F" w14:textId="77777777" w:rsidR="004A7B16" w:rsidRPr="004117B5" w:rsidRDefault="004A7B16" w:rsidP="004117B5">
            <w:pPr>
              <w:pStyle w:val="Tablehead"/>
              <w:rPr>
                <w:rStyle w:val="ECCHLbold"/>
                <w:b/>
              </w:rPr>
            </w:pPr>
          </w:p>
        </w:tc>
        <w:tc>
          <w:tcPr>
            <w:tcW w:w="1036" w:type="dxa"/>
            <w:vMerge/>
            <w:vAlign w:val="center"/>
          </w:tcPr>
          <w:p w14:paraId="5DF609A3" w14:textId="77777777" w:rsidR="004A7B16" w:rsidRPr="004117B5" w:rsidRDefault="004A7B16" w:rsidP="004117B5">
            <w:pPr>
              <w:pStyle w:val="Tablehead"/>
              <w:rPr>
                <w:rStyle w:val="ECCHLbold"/>
                <w:b/>
              </w:rPr>
            </w:pPr>
          </w:p>
        </w:tc>
        <w:tc>
          <w:tcPr>
            <w:tcW w:w="909" w:type="dxa"/>
            <w:vAlign w:val="center"/>
          </w:tcPr>
          <w:p w14:paraId="42DC8862" w14:textId="77777777" w:rsidR="004A7B16" w:rsidRPr="004117B5" w:rsidRDefault="004A7B16" w:rsidP="004117B5">
            <w:pPr>
              <w:pStyle w:val="Tablehead"/>
              <w:rPr>
                <w:rStyle w:val="ECCHLbold"/>
                <w:b/>
              </w:rPr>
            </w:pPr>
            <w:r w:rsidRPr="004117B5">
              <w:rPr>
                <w:rStyle w:val="ECCHLbold"/>
                <w:b/>
              </w:rPr>
              <w:t>Repeater</w:t>
            </w:r>
          </w:p>
        </w:tc>
        <w:tc>
          <w:tcPr>
            <w:tcW w:w="967" w:type="dxa"/>
            <w:vAlign w:val="center"/>
          </w:tcPr>
          <w:p w14:paraId="2168ED19" w14:textId="77777777" w:rsidR="004A7B16" w:rsidRPr="004117B5" w:rsidRDefault="004A7B16" w:rsidP="004117B5">
            <w:pPr>
              <w:pStyle w:val="Tablehead"/>
              <w:rPr>
                <w:rStyle w:val="ECCHLbold"/>
                <w:b/>
              </w:rPr>
            </w:pPr>
            <w:r w:rsidRPr="004117B5">
              <w:rPr>
                <w:rStyle w:val="ECCHLbold"/>
                <w:b/>
              </w:rPr>
              <w:t>Beacon</w:t>
            </w:r>
          </w:p>
        </w:tc>
        <w:tc>
          <w:tcPr>
            <w:tcW w:w="1868" w:type="dxa"/>
            <w:vMerge/>
            <w:vAlign w:val="center"/>
          </w:tcPr>
          <w:p w14:paraId="515C9539" w14:textId="77777777" w:rsidR="004A7B16" w:rsidRPr="00FC7F72" w:rsidRDefault="004A7B16" w:rsidP="001C605F">
            <w:pPr>
              <w:pStyle w:val="Tablehead"/>
            </w:pPr>
          </w:p>
        </w:tc>
        <w:tc>
          <w:tcPr>
            <w:tcW w:w="2414" w:type="dxa"/>
            <w:vMerge/>
            <w:vAlign w:val="center"/>
          </w:tcPr>
          <w:p w14:paraId="67D58DF0" w14:textId="77777777" w:rsidR="004A7B16" w:rsidRPr="00FC7F72" w:rsidRDefault="004A7B16" w:rsidP="001C605F">
            <w:pPr>
              <w:pStyle w:val="Tablehead"/>
            </w:pPr>
          </w:p>
        </w:tc>
      </w:tr>
      <w:tr w:rsidR="004117B5" w:rsidRPr="00FC7F72" w14:paraId="6AD91F47" w14:textId="77777777" w:rsidTr="004117B5">
        <w:trPr>
          <w:cantSplit/>
          <w:jc w:val="center"/>
        </w:trPr>
        <w:tc>
          <w:tcPr>
            <w:tcW w:w="1591" w:type="dxa"/>
            <w:vAlign w:val="center"/>
          </w:tcPr>
          <w:p w14:paraId="1E55178D" w14:textId="72413424" w:rsidR="004A7B16" w:rsidRPr="00FC7F72" w:rsidRDefault="004A7B16" w:rsidP="001C605F">
            <w:pPr>
              <w:pStyle w:val="Tabletext"/>
            </w:pPr>
            <w:r w:rsidRPr="00FC7F72">
              <w:t>Voice (Analogue</w:t>
            </w:r>
            <w:r w:rsidR="004117B5">
              <w:t> </w:t>
            </w:r>
            <w:r w:rsidRPr="00FC7F72">
              <w:t xml:space="preserve">SSB) </w:t>
            </w:r>
          </w:p>
        </w:tc>
        <w:tc>
          <w:tcPr>
            <w:tcW w:w="854" w:type="dxa"/>
            <w:vAlign w:val="center"/>
          </w:tcPr>
          <w:p w14:paraId="41754E0B" w14:textId="77777777" w:rsidR="004A7B16" w:rsidRPr="00FC7F72" w:rsidRDefault="004A7B16" w:rsidP="001C605F">
            <w:pPr>
              <w:pStyle w:val="Tabletext"/>
              <w:jc w:val="center"/>
            </w:pPr>
            <w:r w:rsidRPr="00FC7F72">
              <w:t>Yes</w:t>
            </w:r>
          </w:p>
        </w:tc>
        <w:tc>
          <w:tcPr>
            <w:tcW w:w="1036" w:type="dxa"/>
            <w:vAlign w:val="center"/>
          </w:tcPr>
          <w:p w14:paraId="4C3FE352" w14:textId="77777777" w:rsidR="004A7B16" w:rsidRPr="00FC7F72" w:rsidRDefault="004A7B16" w:rsidP="001C605F">
            <w:pPr>
              <w:pStyle w:val="Tabletext"/>
              <w:jc w:val="center"/>
            </w:pPr>
            <w:r w:rsidRPr="00FC7F72">
              <w:t>Yes</w:t>
            </w:r>
          </w:p>
        </w:tc>
        <w:tc>
          <w:tcPr>
            <w:tcW w:w="909" w:type="dxa"/>
            <w:vAlign w:val="center"/>
          </w:tcPr>
          <w:p w14:paraId="4A00AD23" w14:textId="77777777" w:rsidR="004A7B16" w:rsidRPr="00FC7F72" w:rsidRDefault="004A7B16" w:rsidP="001C605F">
            <w:pPr>
              <w:pStyle w:val="Tabletext"/>
              <w:jc w:val="center"/>
            </w:pPr>
          </w:p>
        </w:tc>
        <w:tc>
          <w:tcPr>
            <w:tcW w:w="967" w:type="dxa"/>
            <w:vAlign w:val="center"/>
          </w:tcPr>
          <w:p w14:paraId="16FEE438" w14:textId="77777777" w:rsidR="004A7B16" w:rsidRPr="00FC7F72" w:rsidRDefault="004A7B16" w:rsidP="001C605F">
            <w:pPr>
              <w:pStyle w:val="Tabletext"/>
              <w:jc w:val="center"/>
            </w:pPr>
          </w:p>
        </w:tc>
        <w:tc>
          <w:tcPr>
            <w:tcW w:w="1868" w:type="dxa"/>
            <w:vAlign w:val="center"/>
          </w:tcPr>
          <w:p w14:paraId="4B85FD47" w14:textId="77777777" w:rsidR="004A7B16" w:rsidRPr="00FC7F72" w:rsidRDefault="004A7B16" w:rsidP="001C605F">
            <w:pPr>
              <w:pStyle w:val="Tabletext"/>
              <w:jc w:val="center"/>
            </w:pPr>
            <w:r w:rsidRPr="00FC7F72">
              <w:t>2 700 Hz</w:t>
            </w:r>
          </w:p>
        </w:tc>
        <w:tc>
          <w:tcPr>
            <w:tcW w:w="2414" w:type="dxa"/>
            <w:vAlign w:val="center"/>
          </w:tcPr>
          <w:p w14:paraId="6E526AD3" w14:textId="77777777" w:rsidR="004A7B16" w:rsidRPr="00FC7F72" w:rsidRDefault="004A7B16" w:rsidP="001C605F">
            <w:pPr>
              <w:pStyle w:val="Tabletext"/>
            </w:pPr>
            <w:r w:rsidRPr="00FC7F72">
              <w:t>Long distance tropospheric weak signal communications. Radiosport operation (incl. EME).</w:t>
            </w:r>
          </w:p>
        </w:tc>
      </w:tr>
      <w:tr w:rsidR="004117B5" w:rsidRPr="00FC7F72" w14:paraId="27B0F184" w14:textId="77777777" w:rsidTr="004117B5">
        <w:trPr>
          <w:cantSplit/>
          <w:jc w:val="center"/>
        </w:trPr>
        <w:tc>
          <w:tcPr>
            <w:tcW w:w="1591" w:type="dxa"/>
            <w:vAlign w:val="center"/>
          </w:tcPr>
          <w:p w14:paraId="2691E619" w14:textId="50F279F9" w:rsidR="004A7B16" w:rsidRPr="00FC7F72" w:rsidRDefault="004A7B16" w:rsidP="001C605F">
            <w:pPr>
              <w:pStyle w:val="Tabletext"/>
            </w:pPr>
            <w:r w:rsidRPr="00FC7F72">
              <w:t>Voice (Analogue</w:t>
            </w:r>
            <w:r w:rsidR="004117B5">
              <w:t> </w:t>
            </w:r>
            <w:r w:rsidRPr="00FC7F72">
              <w:t>NBFM)</w:t>
            </w:r>
          </w:p>
        </w:tc>
        <w:tc>
          <w:tcPr>
            <w:tcW w:w="854" w:type="dxa"/>
            <w:vAlign w:val="center"/>
          </w:tcPr>
          <w:p w14:paraId="463517EF" w14:textId="77777777" w:rsidR="004A7B16" w:rsidRPr="00FC7F72" w:rsidRDefault="004A7B16" w:rsidP="001C605F">
            <w:pPr>
              <w:pStyle w:val="Tabletext"/>
              <w:jc w:val="center"/>
            </w:pPr>
            <w:r w:rsidRPr="00FC7F72">
              <w:t>Yes</w:t>
            </w:r>
          </w:p>
        </w:tc>
        <w:tc>
          <w:tcPr>
            <w:tcW w:w="1036" w:type="dxa"/>
            <w:vAlign w:val="center"/>
          </w:tcPr>
          <w:p w14:paraId="7DE41745" w14:textId="77777777" w:rsidR="004A7B16" w:rsidRPr="00FC7F72" w:rsidRDefault="004A7B16" w:rsidP="001C605F">
            <w:pPr>
              <w:pStyle w:val="Tabletext"/>
              <w:jc w:val="center"/>
            </w:pPr>
            <w:r w:rsidRPr="00FC7F72">
              <w:t>Yes</w:t>
            </w:r>
          </w:p>
        </w:tc>
        <w:tc>
          <w:tcPr>
            <w:tcW w:w="909" w:type="dxa"/>
            <w:vAlign w:val="center"/>
          </w:tcPr>
          <w:p w14:paraId="325D9E0A" w14:textId="77777777" w:rsidR="004A7B16" w:rsidRPr="00FC7F72" w:rsidRDefault="004A7B16" w:rsidP="001C605F">
            <w:pPr>
              <w:pStyle w:val="Tabletext"/>
              <w:jc w:val="center"/>
            </w:pPr>
            <w:r w:rsidRPr="00FC7F72">
              <w:t>Yes</w:t>
            </w:r>
          </w:p>
        </w:tc>
        <w:tc>
          <w:tcPr>
            <w:tcW w:w="967" w:type="dxa"/>
            <w:vAlign w:val="center"/>
          </w:tcPr>
          <w:p w14:paraId="4C84B5BB" w14:textId="77777777" w:rsidR="004A7B16" w:rsidRPr="00FC7F72" w:rsidRDefault="004A7B16" w:rsidP="001C605F">
            <w:pPr>
              <w:pStyle w:val="Tabletext"/>
              <w:jc w:val="center"/>
            </w:pPr>
          </w:p>
        </w:tc>
        <w:tc>
          <w:tcPr>
            <w:tcW w:w="1868" w:type="dxa"/>
            <w:vAlign w:val="center"/>
          </w:tcPr>
          <w:p w14:paraId="1A3CA772" w14:textId="77777777" w:rsidR="004A7B16" w:rsidRPr="00FC7F72" w:rsidRDefault="004A7B16" w:rsidP="004117B5">
            <w:pPr>
              <w:pStyle w:val="Tabletext"/>
              <w:jc w:val="center"/>
            </w:pPr>
            <w:r w:rsidRPr="00FC7F72">
              <w:t>12 500 and 25</w:t>
            </w:r>
            <w:r>
              <w:t> </w:t>
            </w:r>
            <w:r w:rsidRPr="00FC7F72">
              <w:t>000 Hz (channel width dependent)</w:t>
            </w:r>
          </w:p>
        </w:tc>
        <w:tc>
          <w:tcPr>
            <w:tcW w:w="2414" w:type="dxa"/>
            <w:vAlign w:val="center"/>
          </w:tcPr>
          <w:p w14:paraId="23F07218" w14:textId="77777777" w:rsidR="004A7B16" w:rsidRPr="00FC7F72" w:rsidRDefault="004A7B16" w:rsidP="001C605F">
            <w:pPr>
              <w:pStyle w:val="Tabletext"/>
            </w:pPr>
            <w:r w:rsidRPr="00FC7F72">
              <w:t>Local neighbourhood communications.</w:t>
            </w:r>
          </w:p>
          <w:p w14:paraId="5A55C69A" w14:textId="77777777" w:rsidR="004A7B16" w:rsidRPr="00FC7F72" w:rsidRDefault="004A7B16" w:rsidP="001C605F">
            <w:pPr>
              <w:pStyle w:val="Tabletext"/>
            </w:pPr>
            <w:r w:rsidRPr="00FC7F72">
              <w:t>Satellite communications.</w:t>
            </w:r>
          </w:p>
        </w:tc>
      </w:tr>
      <w:tr w:rsidR="004117B5" w:rsidRPr="00FC7F72" w14:paraId="76D6C713" w14:textId="77777777" w:rsidTr="004117B5">
        <w:trPr>
          <w:cantSplit/>
          <w:jc w:val="center"/>
        </w:trPr>
        <w:tc>
          <w:tcPr>
            <w:tcW w:w="1591" w:type="dxa"/>
            <w:vAlign w:val="center"/>
          </w:tcPr>
          <w:p w14:paraId="4A2E1A30" w14:textId="77777777" w:rsidR="004A7B16" w:rsidRPr="00FC7F72" w:rsidRDefault="004A7B16" w:rsidP="001C605F">
            <w:pPr>
              <w:pStyle w:val="Tabletext"/>
            </w:pPr>
            <w:r w:rsidRPr="00FC7F72">
              <w:t>Voice (Digital)</w:t>
            </w:r>
          </w:p>
        </w:tc>
        <w:tc>
          <w:tcPr>
            <w:tcW w:w="854" w:type="dxa"/>
            <w:vAlign w:val="center"/>
          </w:tcPr>
          <w:p w14:paraId="65AF76FB" w14:textId="77777777" w:rsidR="004A7B16" w:rsidRPr="00FC7F72" w:rsidRDefault="004A7B16" w:rsidP="001C605F">
            <w:pPr>
              <w:pStyle w:val="Tabletext"/>
              <w:jc w:val="center"/>
            </w:pPr>
            <w:r w:rsidRPr="00FC7F72">
              <w:t>Yes</w:t>
            </w:r>
          </w:p>
        </w:tc>
        <w:tc>
          <w:tcPr>
            <w:tcW w:w="1036" w:type="dxa"/>
            <w:vAlign w:val="center"/>
          </w:tcPr>
          <w:p w14:paraId="17746955" w14:textId="77777777" w:rsidR="004A7B16" w:rsidRPr="00FC7F72" w:rsidRDefault="004A7B16" w:rsidP="001C605F">
            <w:pPr>
              <w:pStyle w:val="Tabletext"/>
              <w:jc w:val="center"/>
            </w:pPr>
          </w:p>
        </w:tc>
        <w:tc>
          <w:tcPr>
            <w:tcW w:w="909" w:type="dxa"/>
            <w:vAlign w:val="center"/>
          </w:tcPr>
          <w:p w14:paraId="67F995CD" w14:textId="77777777" w:rsidR="004A7B16" w:rsidRPr="00FC7F72" w:rsidRDefault="004A7B16" w:rsidP="001C605F">
            <w:pPr>
              <w:pStyle w:val="Tabletext"/>
              <w:jc w:val="center"/>
            </w:pPr>
            <w:r w:rsidRPr="00FC7F72">
              <w:t>Yes</w:t>
            </w:r>
          </w:p>
        </w:tc>
        <w:tc>
          <w:tcPr>
            <w:tcW w:w="967" w:type="dxa"/>
            <w:vAlign w:val="center"/>
          </w:tcPr>
          <w:p w14:paraId="6CF4D4F4" w14:textId="77777777" w:rsidR="004A7B16" w:rsidRPr="00FC7F72" w:rsidRDefault="004A7B16" w:rsidP="001C605F">
            <w:pPr>
              <w:pStyle w:val="Tabletext"/>
              <w:jc w:val="center"/>
            </w:pPr>
          </w:p>
        </w:tc>
        <w:tc>
          <w:tcPr>
            <w:tcW w:w="1868" w:type="dxa"/>
            <w:vAlign w:val="center"/>
          </w:tcPr>
          <w:p w14:paraId="079A7BAC" w14:textId="77777777" w:rsidR="004A7B16" w:rsidRPr="00FC7F72" w:rsidRDefault="004A7B16" w:rsidP="001C605F">
            <w:pPr>
              <w:pStyle w:val="Tabletext"/>
              <w:jc w:val="center"/>
            </w:pPr>
            <w:r w:rsidRPr="00FC7F72">
              <w:t>12 500 Hz</w:t>
            </w:r>
          </w:p>
        </w:tc>
        <w:tc>
          <w:tcPr>
            <w:tcW w:w="2414" w:type="dxa"/>
            <w:vAlign w:val="center"/>
          </w:tcPr>
          <w:p w14:paraId="4C871FAB" w14:textId="77777777" w:rsidR="004A7B16" w:rsidRPr="00FC7F72" w:rsidRDefault="004A7B16" w:rsidP="001C605F">
            <w:pPr>
              <w:pStyle w:val="Tabletext"/>
            </w:pPr>
            <w:r w:rsidRPr="00FC7F72">
              <w:t>Local neighbourhood communications</w:t>
            </w:r>
          </w:p>
        </w:tc>
      </w:tr>
      <w:tr w:rsidR="004117B5" w:rsidRPr="00FC7F72" w14:paraId="2D6B6A33" w14:textId="77777777" w:rsidTr="004117B5">
        <w:trPr>
          <w:cantSplit/>
          <w:jc w:val="center"/>
        </w:trPr>
        <w:tc>
          <w:tcPr>
            <w:tcW w:w="1591" w:type="dxa"/>
            <w:vAlign w:val="center"/>
          </w:tcPr>
          <w:p w14:paraId="28A00995" w14:textId="77777777" w:rsidR="004A7B16" w:rsidRPr="00FC7F72" w:rsidRDefault="004A7B16" w:rsidP="001C605F">
            <w:pPr>
              <w:pStyle w:val="Tabletext"/>
            </w:pPr>
            <w:r w:rsidRPr="00FC7F72">
              <w:lastRenderedPageBreak/>
              <w:t xml:space="preserve">Telegraphy (Morse code </w:t>
            </w:r>
            <w:proofErr w:type="gramStart"/>
            <w:r w:rsidRPr="00FC7F72">
              <w:t>On</w:t>
            </w:r>
            <w:proofErr w:type="gramEnd"/>
            <w:r w:rsidRPr="00FC7F72">
              <w:t>/Off keying)</w:t>
            </w:r>
          </w:p>
        </w:tc>
        <w:tc>
          <w:tcPr>
            <w:tcW w:w="854" w:type="dxa"/>
            <w:vAlign w:val="center"/>
          </w:tcPr>
          <w:p w14:paraId="1E9C5F57" w14:textId="77777777" w:rsidR="004A7B16" w:rsidRPr="00FC7F72" w:rsidRDefault="004A7B16" w:rsidP="001C605F">
            <w:pPr>
              <w:pStyle w:val="Tabletext"/>
              <w:jc w:val="center"/>
            </w:pPr>
            <w:r w:rsidRPr="00FC7F72">
              <w:t>Yes</w:t>
            </w:r>
          </w:p>
        </w:tc>
        <w:tc>
          <w:tcPr>
            <w:tcW w:w="1036" w:type="dxa"/>
            <w:vAlign w:val="center"/>
          </w:tcPr>
          <w:p w14:paraId="700247A5" w14:textId="77777777" w:rsidR="004A7B16" w:rsidRPr="00FC7F72" w:rsidRDefault="004A7B16" w:rsidP="001C605F">
            <w:pPr>
              <w:pStyle w:val="Tabletext"/>
              <w:jc w:val="center"/>
            </w:pPr>
            <w:r w:rsidRPr="00FC7F72">
              <w:t>Yes</w:t>
            </w:r>
          </w:p>
        </w:tc>
        <w:tc>
          <w:tcPr>
            <w:tcW w:w="909" w:type="dxa"/>
            <w:vAlign w:val="center"/>
          </w:tcPr>
          <w:p w14:paraId="22838A3E" w14:textId="77777777" w:rsidR="004A7B16" w:rsidRPr="00FC7F72" w:rsidRDefault="004A7B16" w:rsidP="001C605F">
            <w:pPr>
              <w:pStyle w:val="Tabletext"/>
              <w:jc w:val="center"/>
            </w:pPr>
          </w:p>
        </w:tc>
        <w:tc>
          <w:tcPr>
            <w:tcW w:w="967" w:type="dxa"/>
            <w:vAlign w:val="center"/>
          </w:tcPr>
          <w:p w14:paraId="2B5B2565" w14:textId="77777777" w:rsidR="004A7B16" w:rsidRPr="00FC7F72" w:rsidRDefault="004A7B16" w:rsidP="001C605F">
            <w:pPr>
              <w:pStyle w:val="Tabletext"/>
              <w:jc w:val="center"/>
            </w:pPr>
            <w:r w:rsidRPr="00FC7F72">
              <w:t>Yes</w:t>
            </w:r>
          </w:p>
        </w:tc>
        <w:tc>
          <w:tcPr>
            <w:tcW w:w="1868" w:type="dxa"/>
            <w:vAlign w:val="center"/>
          </w:tcPr>
          <w:p w14:paraId="62B6685C" w14:textId="77777777" w:rsidR="004A7B16" w:rsidRPr="00FC7F72" w:rsidRDefault="004A7B16" w:rsidP="001C605F">
            <w:pPr>
              <w:pStyle w:val="Tabletext"/>
              <w:jc w:val="center"/>
            </w:pPr>
            <w:r w:rsidRPr="00FC7F72">
              <w:t>500 Hz</w:t>
            </w:r>
          </w:p>
        </w:tc>
        <w:tc>
          <w:tcPr>
            <w:tcW w:w="2414" w:type="dxa"/>
            <w:vAlign w:val="center"/>
          </w:tcPr>
          <w:p w14:paraId="0ACE7501" w14:textId="2A1DA596" w:rsidR="004A7B16" w:rsidRPr="00FC7F72" w:rsidRDefault="004A7B16" w:rsidP="001C605F">
            <w:pPr>
              <w:pStyle w:val="Tabletext"/>
            </w:pPr>
            <w:r w:rsidRPr="00FC7F72">
              <w:t xml:space="preserve">Long distance tropospheric weak signal communications. </w:t>
            </w:r>
            <w:proofErr w:type="spellStart"/>
            <w:r w:rsidRPr="00FC7F72">
              <w:t>Radiosport</w:t>
            </w:r>
            <w:proofErr w:type="spellEnd"/>
            <w:r w:rsidRPr="00FC7F72">
              <w:rPr>
                <w:rStyle w:val="FootnoteReference"/>
              </w:rPr>
              <w:footnoteReference w:id="1"/>
            </w:r>
            <w:r w:rsidRPr="00FC7F72">
              <w:t xml:space="preserve"> operation (incl.</w:t>
            </w:r>
            <w:r w:rsidR="004117B5">
              <w:t> </w:t>
            </w:r>
            <w:r w:rsidRPr="00FC7F72">
              <w:t>EME).</w:t>
            </w:r>
          </w:p>
        </w:tc>
      </w:tr>
      <w:tr w:rsidR="004117B5" w:rsidRPr="00FC7F72" w14:paraId="37F9151E" w14:textId="77777777" w:rsidTr="004117B5">
        <w:trPr>
          <w:cantSplit/>
          <w:jc w:val="center"/>
        </w:trPr>
        <w:tc>
          <w:tcPr>
            <w:tcW w:w="1591" w:type="dxa"/>
            <w:vAlign w:val="center"/>
          </w:tcPr>
          <w:p w14:paraId="0CD60145" w14:textId="77777777" w:rsidR="004A7B16" w:rsidRPr="00FC7F72" w:rsidRDefault="004A7B16" w:rsidP="001C605F">
            <w:pPr>
              <w:pStyle w:val="Tabletext"/>
              <w:rPr>
                <w:color w:val="000000" w:themeColor="text1"/>
              </w:rPr>
            </w:pPr>
            <w:r w:rsidRPr="00FC7F72">
              <w:rPr>
                <w:color w:val="000000" w:themeColor="text1"/>
              </w:rPr>
              <w:t>Machine Generated Modes e.g. RTTY, SSTV</w:t>
            </w:r>
            <w:r w:rsidRPr="00FC7F72">
              <w:rPr>
                <w:rStyle w:val="FootnoteReference"/>
                <w:color w:val="000000" w:themeColor="text1"/>
              </w:rPr>
              <w:footnoteReference w:id="2"/>
            </w:r>
            <w:r w:rsidRPr="00FC7F72">
              <w:rPr>
                <w:color w:val="000000" w:themeColor="text1"/>
              </w:rPr>
              <w:t>, PSK31</w:t>
            </w:r>
            <w:r w:rsidRPr="00FC7F72">
              <w:rPr>
                <w:rStyle w:val="FootnoteReference"/>
                <w:color w:val="000000" w:themeColor="text1"/>
              </w:rPr>
              <w:footnoteReference w:id="3"/>
            </w:r>
            <w:r w:rsidRPr="00FC7F72">
              <w:rPr>
                <w:color w:val="000000" w:themeColor="text1"/>
              </w:rPr>
              <w:t>, WSJT</w:t>
            </w:r>
            <w:r w:rsidRPr="00FC7F72">
              <w:rPr>
                <w:rStyle w:val="FootnoteReference"/>
                <w:color w:val="000000" w:themeColor="text1"/>
                <w:sz w:val="14"/>
                <w:szCs w:val="14"/>
              </w:rPr>
              <w:footnoteReference w:id="4"/>
            </w:r>
            <w:r w:rsidRPr="00FC7F72">
              <w:rPr>
                <w:color w:val="000000" w:themeColor="text1"/>
              </w:rPr>
              <w:t xml:space="preserve"> </w:t>
            </w:r>
          </w:p>
        </w:tc>
        <w:tc>
          <w:tcPr>
            <w:tcW w:w="854" w:type="dxa"/>
            <w:vAlign w:val="center"/>
          </w:tcPr>
          <w:p w14:paraId="08FB6646" w14:textId="77777777" w:rsidR="004A7B16" w:rsidRPr="00FC7F72" w:rsidRDefault="004A7B16" w:rsidP="001C605F">
            <w:pPr>
              <w:pStyle w:val="Tabletext"/>
              <w:jc w:val="center"/>
              <w:rPr>
                <w:color w:val="000000" w:themeColor="text1"/>
              </w:rPr>
            </w:pPr>
            <w:r w:rsidRPr="00FC7F72">
              <w:rPr>
                <w:color w:val="000000" w:themeColor="text1"/>
              </w:rPr>
              <w:t>Yes</w:t>
            </w:r>
          </w:p>
        </w:tc>
        <w:tc>
          <w:tcPr>
            <w:tcW w:w="1036" w:type="dxa"/>
            <w:vAlign w:val="center"/>
          </w:tcPr>
          <w:p w14:paraId="2F8F335E" w14:textId="77777777" w:rsidR="004A7B16" w:rsidRPr="00FC7F72" w:rsidRDefault="004A7B16" w:rsidP="001C605F">
            <w:pPr>
              <w:pStyle w:val="Tabletext"/>
              <w:jc w:val="center"/>
              <w:rPr>
                <w:color w:val="000000" w:themeColor="text1"/>
              </w:rPr>
            </w:pPr>
            <w:r w:rsidRPr="00FC7F72">
              <w:rPr>
                <w:color w:val="000000" w:themeColor="text1"/>
              </w:rPr>
              <w:t>Yes</w:t>
            </w:r>
          </w:p>
        </w:tc>
        <w:tc>
          <w:tcPr>
            <w:tcW w:w="909" w:type="dxa"/>
            <w:vAlign w:val="center"/>
          </w:tcPr>
          <w:p w14:paraId="23B26FDF" w14:textId="77777777" w:rsidR="004A7B16" w:rsidRPr="00FC7F72" w:rsidRDefault="004A7B16" w:rsidP="001C605F">
            <w:pPr>
              <w:pStyle w:val="Tabletext"/>
              <w:jc w:val="center"/>
              <w:rPr>
                <w:color w:val="000000" w:themeColor="text1"/>
              </w:rPr>
            </w:pPr>
          </w:p>
        </w:tc>
        <w:tc>
          <w:tcPr>
            <w:tcW w:w="967" w:type="dxa"/>
            <w:vAlign w:val="center"/>
          </w:tcPr>
          <w:p w14:paraId="0F7A85DF" w14:textId="77777777" w:rsidR="004A7B16" w:rsidRPr="00FC7F72" w:rsidRDefault="004A7B16" w:rsidP="001C605F">
            <w:pPr>
              <w:pStyle w:val="Tabletext"/>
              <w:jc w:val="center"/>
              <w:rPr>
                <w:color w:val="000000" w:themeColor="text1"/>
              </w:rPr>
            </w:pPr>
            <w:r w:rsidRPr="00FC7F72">
              <w:rPr>
                <w:color w:val="000000" w:themeColor="text1"/>
              </w:rPr>
              <w:t>Yes</w:t>
            </w:r>
          </w:p>
        </w:tc>
        <w:tc>
          <w:tcPr>
            <w:tcW w:w="1868" w:type="dxa"/>
            <w:vAlign w:val="center"/>
          </w:tcPr>
          <w:p w14:paraId="6A6E76E7" w14:textId="77777777" w:rsidR="004A7B16" w:rsidRPr="00FC7F72" w:rsidRDefault="004A7B16" w:rsidP="001C605F">
            <w:pPr>
              <w:pStyle w:val="Tabletext"/>
              <w:jc w:val="center"/>
              <w:rPr>
                <w:color w:val="000000" w:themeColor="text1"/>
              </w:rPr>
            </w:pPr>
            <w:r w:rsidRPr="00FC7F72">
              <w:rPr>
                <w:color w:val="000000" w:themeColor="text1"/>
              </w:rPr>
              <w:t>6 to 2 700 Hz</w:t>
            </w:r>
          </w:p>
          <w:p w14:paraId="2AD47348" w14:textId="77777777" w:rsidR="004A7B16" w:rsidRPr="00FC7F72" w:rsidRDefault="004A7B16" w:rsidP="001C605F">
            <w:pPr>
              <w:pStyle w:val="Tabletext"/>
              <w:jc w:val="center"/>
              <w:rPr>
                <w:color w:val="000000" w:themeColor="text1"/>
              </w:rPr>
            </w:pPr>
            <w:r w:rsidRPr="00FC7F72">
              <w:rPr>
                <w:color w:val="000000" w:themeColor="text1"/>
              </w:rPr>
              <w:t>Mode dependent</w:t>
            </w:r>
          </w:p>
        </w:tc>
        <w:tc>
          <w:tcPr>
            <w:tcW w:w="2414" w:type="dxa"/>
            <w:vAlign w:val="center"/>
          </w:tcPr>
          <w:p w14:paraId="33575232" w14:textId="1607D49E" w:rsidR="004A7B16" w:rsidRPr="00FC7F72" w:rsidRDefault="004A7B16" w:rsidP="004117B5">
            <w:pPr>
              <w:pStyle w:val="Tabletext"/>
              <w:rPr>
                <w:color w:val="000000" w:themeColor="text1"/>
              </w:rPr>
            </w:pPr>
            <w:r w:rsidRPr="00FC7F72">
              <w:rPr>
                <w:color w:val="000000" w:themeColor="text1"/>
              </w:rPr>
              <w:t>Local and long distance tropospheric weak signal communications. (incl.</w:t>
            </w:r>
            <w:r w:rsidR="004117B5">
              <w:rPr>
                <w:color w:val="000000" w:themeColor="text1"/>
              </w:rPr>
              <w:t> </w:t>
            </w:r>
            <w:r w:rsidRPr="00FC7F72">
              <w:rPr>
                <w:color w:val="000000" w:themeColor="text1"/>
              </w:rPr>
              <w:t>EME). Imaging</w:t>
            </w:r>
          </w:p>
        </w:tc>
      </w:tr>
      <w:tr w:rsidR="004117B5" w:rsidRPr="00FC7F72" w14:paraId="7D40BBE0" w14:textId="77777777" w:rsidTr="004117B5">
        <w:trPr>
          <w:cantSplit/>
          <w:jc w:val="center"/>
        </w:trPr>
        <w:tc>
          <w:tcPr>
            <w:tcW w:w="1591" w:type="dxa"/>
            <w:vAlign w:val="center"/>
          </w:tcPr>
          <w:p w14:paraId="69ABE847" w14:textId="103F4C79" w:rsidR="004A7B16" w:rsidRPr="00FC7F72" w:rsidRDefault="004A7B16" w:rsidP="001C605F">
            <w:pPr>
              <w:pStyle w:val="Tabletext"/>
              <w:rPr>
                <w:color w:val="000000" w:themeColor="text1"/>
              </w:rPr>
            </w:pPr>
            <w:r w:rsidRPr="00FC7F72">
              <w:rPr>
                <w:color w:val="000000" w:themeColor="text1"/>
              </w:rPr>
              <w:t>Data e.g. AFSK 1k2, FSK 9k6, D</w:t>
            </w:r>
            <w:r w:rsidR="004117B5">
              <w:rPr>
                <w:color w:val="000000" w:themeColor="text1"/>
              </w:rPr>
              <w:noBreakHyphen/>
            </w:r>
            <w:r w:rsidRPr="00FC7F72">
              <w:rPr>
                <w:color w:val="000000" w:themeColor="text1"/>
              </w:rPr>
              <w:t>STAR</w:t>
            </w:r>
            <w:r w:rsidRPr="00FC7F72">
              <w:rPr>
                <w:rStyle w:val="FootnoteReference"/>
                <w:color w:val="000000" w:themeColor="text1"/>
              </w:rPr>
              <w:footnoteReference w:id="5"/>
            </w:r>
            <w:r w:rsidRPr="00FC7F72">
              <w:rPr>
                <w:color w:val="000000" w:themeColor="text1"/>
              </w:rPr>
              <w:t>, Digital Data 128 kbit/s</w:t>
            </w:r>
          </w:p>
        </w:tc>
        <w:tc>
          <w:tcPr>
            <w:tcW w:w="854" w:type="dxa"/>
            <w:vAlign w:val="center"/>
          </w:tcPr>
          <w:p w14:paraId="02FAD778" w14:textId="77777777" w:rsidR="004A7B16" w:rsidRPr="00FC7F72" w:rsidRDefault="004A7B16" w:rsidP="001C605F">
            <w:pPr>
              <w:pStyle w:val="Tabletext"/>
              <w:jc w:val="center"/>
              <w:rPr>
                <w:color w:val="000000" w:themeColor="text1"/>
              </w:rPr>
            </w:pPr>
            <w:r w:rsidRPr="00FC7F72">
              <w:rPr>
                <w:color w:val="000000" w:themeColor="text1"/>
              </w:rPr>
              <w:t>Yes</w:t>
            </w:r>
          </w:p>
        </w:tc>
        <w:tc>
          <w:tcPr>
            <w:tcW w:w="1036" w:type="dxa"/>
            <w:vAlign w:val="center"/>
          </w:tcPr>
          <w:p w14:paraId="6C28CABE" w14:textId="77777777" w:rsidR="004A7B16" w:rsidRPr="00FC7F72" w:rsidRDefault="004A7B16" w:rsidP="001C605F">
            <w:pPr>
              <w:pStyle w:val="Tabletext"/>
              <w:jc w:val="center"/>
              <w:rPr>
                <w:color w:val="000000" w:themeColor="text1"/>
              </w:rPr>
            </w:pPr>
            <w:r w:rsidRPr="00FC7F72">
              <w:rPr>
                <w:color w:val="000000" w:themeColor="text1"/>
              </w:rPr>
              <w:t>Yes (Mobile)</w:t>
            </w:r>
          </w:p>
        </w:tc>
        <w:tc>
          <w:tcPr>
            <w:tcW w:w="909" w:type="dxa"/>
            <w:vAlign w:val="center"/>
          </w:tcPr>
          <w:p w14:paraId="73F6C50C" w14:textId="77777777" w:rsidR="004A7B16" w:rsidRPr="00FC7F72" w:rsidRDefault="004A7B16" w:rsidP="001C605F">
            <w:pPr>
              <w:pStyle w:val="Tabletext"/>
              <w:jc w:val="center"/>
              <w:rPr>
                <w:color w:val="000000" w:themeColor="text1"/>
              </w:rPr>
            </w:pPr>
            <w:r w:rsidRPr="00FC7F72">
              <w:rPr>
                <w:color w:val="000000" w:themeColor="text1"/>
              </w:rPr>
              <w:t>Yes</w:t>
            </w:r>
          </w:p>
        </w:tc>
        <w:tc>
          <w:tcPr>
            <w:tcW w:w="967" w:type="dxa"/>
            <w:vAlign w:val="center"/>
          </w:tcPr>
          <w:p w14:paraId="5CF24F06" w14:textId="77777777" w:rsidR="004A7B16" w:rsidRPr="00FC7F72" w:rsidRDefault="004A7B16" w:rsidP="001C605F">
            <w:pPr>
              <w:pStyle w:val="Tabletext"/>
              <w:jc w:val="center"/>
              <w:rPr>
                <w:color w:val="000000" w:themeColor="text1"/>
              </w:rPr>
            </w:pPr>
          </w:p>
        </w:tc>
        <w:tc>
          <w:tcPr>
            <w:tcW w:w="1868" w:type="dxa"/>
            <w:vAlign w:val="center"/>
          </w:tcPr>
          <w:p w14:paraId="56CE8826" w14:textId="77777777" w:rsidR="004A7B16" w:rsidRPr="00FC7F72" w:rsidRDefault="004A7B16" w:rsidP="001C605F">
            <w:pPr>
              <w:pStyle w:val="Tabletext"/>
              <w:jc w:val="center"/>
              <w:rPr>
                <w:color w:val="000000" w:themeColor="text1"/>
              </w:rPr>
            </w:pPr>
            <w:r w:rsidRPr="00FC7F72">
              <w:rPr>
                <w:color w:val="000000" w:themeColor="text1"/>
              </w:rPr>
              <w:t>12.5 to 150 kHz</w:t>
            </w:r>
          </w:p>
          <w:p w14:paraId="4C49F405" w14:textId="77777777" w:rsidR="004A7B16" w:rsidRPr="00FC7F72" w:rsidRDefault="004A7B16" w:rsidP="001C605F">
            <w:pPr>
              <w:pStyle w:val="Tabletext"/>
              <w:jc w:val="center"/>
              <w:rPr>
                <w:color w:val="000000" w:themeColor="text1"/>
              </w:rPr>
            </w:pPr>
            <w:r w:rsidRPr="00FC7F72">
              <w:rPr>
                <w:color w:val="000000" w:themeColor="text1"/>
              </w:rPr>
              <w:t>Mode dependent</w:t>
            </w:r>
          </w:p>
        </w:tc>
        <w:tc>
          <w:tcPr>
            <w:tcW w:w="2414" w:type="dxa"/>
            <w:vAlign w:val="center"/>
          </w:tcPr>
          <w:p w14:paraId="4C2331F7" w14:textId="77777777" w:rsidR="004A7B16" w:rsidRPr="00FC7F72" w:rsidRDefault="004A7B16" w:rsidP="001C605F">
            <w:pPr>
              <w:pStyle w:val="Tabletext"/>
              <w:rPr>
                <w:color w:val="000000" w:themeColor="text1"/>
              </w:rPr>
            </w:pPr>
            <w:r w:rsidRPr="00FC7F72">
              <w:rPr>
                <w:color w:val="000000" w:themeColor="text1"/>
              </w:rPr>
              <w:t>Local neighbourhood communication links.</w:t>
            </w:r>
          </w:p>
        </w:tc>
      </w:tr>
    </w:tbl>
    <w:p w14:paraId="377476D6" w14:textId="77777777" w:rsidR="004A7B16" w:rsidRPr="00FC7F72" w:rsidRDefault="004A7B16" w:rsidP="004A7B16">
      <w:pPr>
        <w:pStyle w:val="Tablefin"/>
      </w:pPr>
    </w:p>
    <w:p w14:paraId="09FFD054" w14:textId="77777777" w:rsidR="004A7B16" w:rsidRPr="00FC7F72" w:rsidRDefault="004A7B16" w:rsidP="004A7B16">
      <w:pPr>
        <w:pStyle w:val="TableNo"/>
      </w:pPr>
      <w:r w:rsidRPr="00FC7F72">
        <w:t>Table 2</w:t>
      </w:r>
    </w:p>
    <w:p w14:paraId="35E7DF2A" w14:textId="77777777" w:rsidR="004A7B16" w:rsidRPr="00FC7F72" w:rsidRDefault="004A7B16" w:rsidP="004A7B16">
      <w:pPr>
        <w:pStyle w:val="Tabletitle"/>
      </w:pPr>
      <w:r w:rsidRPr="00FC7F72">
        <w:t>Wide band amateur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5"/>
        <w:gridCol w:w="850"/>
        <w:gridCol w:w="1134"/>
        <w:gridCol w:w="851"/>
        <w:gridCol w:w="992"/>
        <w:gridCol w:w="1843"/>
        <w:gridCol w:w="2414"/>
      </w:tblGrid>
      <w:tr w:rsidR="004A7B16" w:rsidRPr="00FC7F72" w14:paraId="354B55B3" w14:textId="77777777" w:rsidTr="004117B5">
        <w:trPr>
          <w:cantSplit/>
          <w:jc w:val="center"/>
        </w:trPr>
        <w:tc>
          <w:tcPr>
            <w:tcW w:w="1555" w:type="dxa"/>
            <w:vMerge w:val="restart"/>
            <w:vAlign w:val="center"/>
          </w:tcPr>
          <w:p w14:paraId="1B690E06" w14:textId="77777777" w:rsidR="004A7B16" w:rsidRPr="00FC7F72" w:rsidRDefault="004A7B16" w:rsidP="001C605F">
            <w:pPr>
              <w:pStyle w:val="Tablehead"/>
            </w:pPr>
            <w:r w:rsidRPr="00FC7F72">
              <w:t>Application</w:t>
            </w:r>
          </w:p>
        </w:tc>
        <w:tc>
          <w:tcPr>
            <w:tcW w:w="3827" w:type="dxa"/>
            <w:gridSpan w:val="4"/>
            <w:vAlign w:val="center"/>
          </w:tcPr>
          <w:p w14:paraId="284BC5C3" w14:textId="77777777" w:rsidR="004A7B16" w:rsidRPr="00FC7F72" w:rsidRDefault="004A7B16" w:rsidP="001C605F">
            <w:pPr>
              <w:pStyle w:val="Tablehead"/>
            </w:pPr>
            <w:r w:rsidRPr="00FC7F72">
              <w:t>Station type</w:t>
            </w:r>
          </w:p>
        </w:tc>
        <w:tc>
          <w:tcPr>
            <w:tcW w:w="1843" w:type="dxa"/>
            <w:vMerge w:val="restart"/>
            <w:vAlign w:val="center"/>
          </w:tcPr>
          <w:p w14:paraId="7DEE8B8C" w14:textId="77777777" w:rsidR="004A7B16" w:rsidRPr="00FC7F72" w:rsidRDefault="004A7B16" w:rsidP="001C605F">
            <w:pPr>
              <w:pStyle w:val="Tablehead"/>
            </w:pPr>
            <w:r w:rsidRPr="00FC7F72">
              <w:t>Max. bandwidth</w:t>
            </w:r>
          </w:p>
        </w:tc>
        <w:tc>
          <w:tcPr>
            <w:tcW w:w="2414" w:type="dxa"/>
            <w:vMerge w:val="restart"/>
            <w:vAlign w:val="center"/>
          </w:tcPr>
          <w:p w14:paraId="436C8587" w14:textId="77777777" w:rsidR="004A7B16" w:rsidRPr="00FC7F72" w:rsidRDefault="004A7B16" w:rsidP="001C605F">
            <w:pPr>
              <w:pStyle w:val="Tablehead"/>
            </w:pPr>
            <w:r w:rsidRPr="00FC7F72">
              <w:t>Comments</w:t>
            </w:r>
          </w:p>
        </w:tc>
      </w:tr>
      <w:tr w:rsidR="004A7B16" w:rsidRPr="00FC7F72" w14:paraId="4B565F8E" w14:textId="77777777" w:rsidTr="004117B5">
        <w:trPr>
          <w:cantSplit/>
          <w:jc w:val="center"/>
        </w:trPr>
        <w:tc>
          <w:tcPr>
            <w:tcW w:w="1555" w:type="dxa"/>
            <w:vMerge/>
            <w:vAlign w:val="center"/>
          </w:tcPr>
          <w:p w14:paraId="26237CB6" w14:textId="77777777" w:rsidR="004A7B16" w:rsidRPr="00FC7F72" w:rsidRDefault="004A7B16" w:rsidP="001C605F">
            <w:pPr>
              <w:pStyle w:val="Tablehead"/>
            </w:pPr>
          </w:p>
        </w:tc>
        <w:tc>
          <w:tcPr>
            <w:tcW w:w="850" w:type="dxa"/>
            <w:vMerge w:val="restart"/>
            <w:vAlign w:val="center"/>
          </w:tcPr>
          <w:p w14:paraId="3A740CF0" w14:textId="77777777" w:rsidR="004A7B16" w:rsidRPr="00FC7F72" w:rsidRDefault="004A7B16" w:rsidP="001C605F">
            <w:pPr>
              <w:pStyle w:val="Tablehead"/>
              <w:rPr>
                <w:rStyle w:val="ECCHLbold"/>
              </w:rPr>
            </w:pPr>
            <w:r w:rsidRPr="00FC7F72">
              <w:rPr>
                <w:rStyle w:val="ECCHLbold"/>
              </w:rPr>
              <w:t>Home</w:t>
            </w:r>
          </w:p>
        </w:tc>
        <w:tc>
          <w:tcPr>
            <w:tcW w:w="1134" w:type="dxa"/>
            <w:vMerge w:val="restart"/>
            <w:vAlign w:val="center"/>
          </w:tcPr>
          <w:p w14:paraId="11211D38" w14:textId="77777777" w:rsidR="004A7B16" w:rsidRPr="00FC7F72" w:rsidRDefault="004A7B16" w:rsidP="001C605F">
            <w:pPr>
              <w:pStyle w:val="Tablehead"/>
              <w:rPr>
                <w:rStyle w:val="ECCHLbold"/>
              </w:rPr>
            </w:pPr>
            <w:r w:rsidRPr="00FC7F72">
              <w:rPr>
                <w:rStyle w:val="ECCHLbold"/>
              </w:rPr>
              <w:t>Temporary</w:t>
            </w:r>
          </w:p>
        </w:tc>
        <w:tc>
          <w:tcPr>
            <w:tcW w:w="1843" w:type="dxa"/>
            <w:gridSpan w:val="2"/>
            <w:vAlign w:val="center"/>
          </w:tcPr>
          <w:p w14:paraId="3E6AB281" w14:textId="77777777" w:rsidR="004A7B16" w:rsidRPr="00FC7F72" w:rsidRDefault="004A7B16" w:rsidP="001C605F">
            <w:pPr>
              <w:pStyle w:val="Tablehead"/>
              <w:rPr>
                <w:rStyle w:val="ECCHLbold"/>
              </w:rPr>
            </w:pPr>
            <w:r w:rsidRPr="00FC7F72">
              <w:rPr>
                <w:rStyle w:val="ECCHLbold"/>
              </w:rPr>
              <w:t>Installation</w:t>
            </w:r>
          </w:p>
        </w:tc>
        <w:tc>
          <w:tcPr>
            <w:tcW w:w="1843" w:type="dxa"/>
            <w:vMerge/>
            <w:vAlign w:val="center"/>
          </w:tcPr>
          <w:p w14:paraId="1E4ECB71" w14:textId="77777777" w:rsidR="004A7B16" w:rsidRPr="00FC7F72" w:rsidRDefault="004A7B16" w:rsidP="001C605F">
            <w:pPr>
              <w:pStyle w:val="Tablehead"/>
            </w:pPr>
          </w:p>
        </w:tc>
        <w:tc>
          <w:tcPr>
            <w:tcW w:w="2414" w:type="dxa"/>
            <w:vMerge/>
            <w:vAlign w:val="center"/>
          </w:tcPr>
          <w:p w14:paraId="4FDF79F4" w14:textId="77777777" w:rsidR="004A7B16" w:rsidRPr="00FC7F72" w:rsidRDefault="004A7B16" w:rsidP="001C605F">
            <w:pPr>
              <w:pStyle w:val="Tablehead"/>
            </w:pPr>
          </w:p>
        </w:tc>
      </w:tr>
      <w:tr w:rsidR="004A7B16" w:rsidRPr="00FC7F72" w14:paraId="5F123E51" w14:textId="77777777" w:rsidTr="004117B5">
        <w:trPr>
          <w:cantSplit/>
          <w:jc w:val="center"/>
        </w:trPr>
        <w:tc>
          <w:tcPr>
            <w:tcW w:w="1555" w:type="dxa"/>
            <w:vMerge/>
            <w:vAlign w:val="center"/>
          </w:tcPr>
          <w:p w14:paraId="4B9CA33A" w14:textId="77777777" w:rsidR="004A7B16" w:rsidRPr="00FC7F72" w:rsidRDefault="004A7B16" w:rsidP="001C605F">
            <w:pPr>
              <w:pStyle w:val="Tablehead"/>
            </w:pPr>
          </w:p>
        </w:tc>
        <w:tc>
          <w:tcPr>
            <w:tcW w:w="850" w:type="dxa"/>
            <w:vMerge/>
            <w:vAlign w:val="center"/>
          </w:tcPr>
          <w:p w14:paraId="532EBD56" w14:textId="77777777" w:rsidR="004A7B16" w:rsidRPr="00FC7F72" w:rsidRDefault="004A7B16" w:rsidP="001C605F">
            <w:pPr>
              <w:pStyle w:val="Tablehead"/>
              <w:rPr>
                <w:rStyle w:val="ECCHLbold"/>
              </w:rPr>
            </w:pPr>
          </w:p>
        </w:tc>
        <w:tc>
          <w:tcPr>
            <w:tcW w:w="1134" w:type="dxa"/>
            <w:vMerge/>
            <w:vAlign w:val="center"/>
          </w:tcPr>
          <w:p w14:paraId="43228135" w14:textId="77777777" w:rsidR="004A7B16" w:rsidRPr="00FC7F72" w:rsidRDefault="004A7B16" w:rsidP="001C605F">
            <w:pPr>
              <w:pStyle w:val="Tablehead"/>
              <w:rPr>
                <w:rStyle w:val="ECCHLbold"/>
              </w:rPr>
            </w:pPr>
          </w:p>
        </w:tc>
        <w:tc>
          <w:tcPr>
            <w:tcW w:w="851" w:type="dxa"/>
            <w:vAlign w:val="center"/>
          </w:tcPr>
          <w:p w14:paraId="1DC3967D" w14:textId="77777777" w:rsidR="004A7B16" w:rsidRPr="00FC7F72" w:rsidRDefault="004A7B16" w:rsidP="001C605F">
            <w:pPr>
              <w:pStyle w:val="Tablehead"/>
              <w:rPr>
                <w:rStyle w:val="ECCHLbold"/>
              </w:rPr>
            </w:pPr>
            <w:r w:rsidRPr="00FC7F72">
              <w:rPr>
                <w:rStyle w:val="ECCHLbold"/>
              </w:rPr>
              <w:t>Repeater</w:t>
            </w:r>
          </w:p>
        </w:tc>
        <w:tc>
          <w:tcPr>
            <w:tcW w:w="992" w:type="dxa"/>
            <w:vAlign w:val="center"/>
          </w:tcPr>
          <w:p w14:paraId="7370F0C8" w14:textId="77777777" w:rsidR="004A7B16" w:rsidRPr="00FC7F72" w:rsidRDefault="004A7B16" w:rsidP="001C605F">
            <w:pPr>
              <w:pStyle w:val="Tablehead"/>
              <w:rPr>
                <w:rStyle w:val="ECCHLbold"/>
              </w:rPr>
            </w:pPr>
            <w:r w:rsidRPr="00FC7F72">
              <w:rPr>
                <w:rStyle w:val="ECCHLbold"/>
              </w:rPr>
              <w:t>Beacon</w:t>
            </w:r>
          </w:p>
        </w:tc>
        <w:tc>
          <w:tcPr>
            <w:tcW w:w="1843" w:type="dxa"/>
            <w:vMerge/>
            <w:vAlign w:val="center"/>
          </w:tcPr>
          <w:p w14:paraId="4ED20B69" w14:textId="77777777" w:rsidR="004A7B16" w:rsidRPr="00FC7F72" w:rsidRDefault="004A7B16" w:rsidP="001C605F">
            <w:pPr>
              <w:pStyle w:val="Tablehead"/>
            </w:pPr>
          </w:p>
        </w:tc>
        <w:tc>
          <w:tcPr>
            <w:tcW w:w="2414" w:type="dxa"/>
            <w:vMerge/>
            <w:vAlign w:val="center"/>
          </w:tcPr>
          <w:p w14:paraId="6B0CA491" w14:textId="77777777" w:rsidR="004A7B16" w:rsidRPr="00FC7F72" w:rsidRDefault="004A7B16" w:rsidP="001C605F">
            <w:pPr>
              <w:pStyle w:val="Tablehead"/>
            </w:pPr>
          </w:p>
        </w:tc>
      </w:tr>
      <w:tr w:rsidR="004A7B16" w:rsidRPr="00FC7F72" w14:paraId="64423087" w14:textId="77777777" w:rsidTr="004117B5">
        <w:trPr>
          <w:cantSplit/>
          <w:jc w:val="center"/>
        </w:trPr>
        <w:tc>
          <w:tcPr>
            <w:tcW w:w="1555" w:type="dxa"/>
            <w:vAlign w:val="center"/>
          </w:tcPr>
          <w:p w14:paraId="59ED9C24" w14:textId="77777777" w:rsidR="004A7B16" w:rsidRPr="00FC7F72" w:rsidRDefault="004A7B16" w:rsidP="001C605F">
            <w:pPr>
              <w:pStyle w:val="Tabletext"/>
            </w:pPr>
            <w:r w:rsidRPr="00FC7F72">
              <w:t xml:space="preserve">Analogue </w:t>
            </w:r>
            <w:r>
              <w:t>ATV</w:t>
            </w:r>
            <w:r w:rsidRPr="00FC7F72">
              <w:t>(FM-TV)</w:t>
            </w:r>
          </w:p>
        </w:tc>
        <w:tc>
          <w:tcPr>
            <w:tcW w:w="850" w:type="dxa"/>
            <w:vAlign w:val="center"/>
          </w:tcPr>
          <w:p w14:paraId="0B8BEE71" w14:textId="77777777" w:rsidR="004A7B16" w:rsidRPr="00FC7F72" w:rsidRDefault="004A7B16" w:rsidP="001C605F">
            <w:pPr>
              <w:pStyle w:val="Tabletext"/>
              <w:jc w:val="center"/>
            </w:pPr>
            <w:r w:rsidRPr="00FC7F72">
              <w:t>Yes</w:t>
            </w:r>
          </w:p>
        </w:tc>
        <w:tc>
          <w:tcPr>
            <w:tcW w:w="1134" w:type="dxa"/>
            <w:vAlign w:val="center"/>
          </w:tcPr>
          <w:p w14:paraId="124724F8" w14:textId="77777777" w:rsidR="004A7B16" w:rsidRPr="00FC7F72" w:rsidRDefault="004A7B16" w:rsidP="001C605F">
            <w:pPr>
              <w:pStyle w:val="Tabletext"/>
              <w:jc w:val="center"/>
            </w:pPr>
            <w:r w:rsidRPr="00FC7F72">
              <w:t>Yes</w:t>
            </w:r>
          </w:p>
        </w:tc>
        <w:tc>
          <w:tcPr>
            <w:tcW w:w="851" w:type="dxa"/>
            <w:vAlign w:val="center"/>
          </w:tcPr>
          <w:p w14:paraId="4E61EF3F" w14:textId="77777777" w:rsidR="004A7B16" w:rsidRPr="00FC7F72" w:rsidRDefault="004A7B16" w:rsidP="001C605F">
            <w:pPr>
              <w:pStyle w:val="Tabletext"/>
              <w:jc w:val="center"/>
            </w:pPr>
            <w:r w:rsidRPr="00FC7F72">
              <w:t>Yes</w:t>
            </w:r>
          </w:p>
        </w:tc>
        <w:tc>
          <w:tcPr>
            <w:tcW w:w="992" w:type="dxa"/>
            <w:vAlign w:val="center"/>
          </w:tcPr>
          <w:p w14:paraId="1E2423B9" w14:textId="77777777" w:rsidR="004A7B16" w:rsidRPr="00FC7F72" w:rsidRDefault="004A7B16" w:rsidP="001C605F">
            <w:pPr>
              <w:pStyle w:val="Tabletext"/>
              <w:jc w:val="center"/>
            </w:pPr>
          </w:p>
        </w:tc>
        <w:tc>
          <w:tcPr>
            <w:tcW w:w="1843" w:type="dxa"/>
            <w:vAlign w:val="center"/>
          </w:tcPr>
          <w:p w14:paraId="6B7B2FE5" w14:textId="77777777" w:rsidR="004A7B16" w:rsidRPr="00FC7F72" w:rsidRDefault="004A7B16" w:rsidP="001C605F">
            <w:pPr>
              <w:pStyle w:val="Tabletext"/>
              <w:jc w:val="center"/>
            </w:pPr>
            <w:r w:rsidRPr="00FC7F72">
              <w:t>20 MHz</w:t>
            </w:r>
          </w:p>
        </w:tc>
        <w:tc>
          <w:tcPr>
            <w:tcW w:w="2414" w:type="dxa"/>
            <w:vAlign w:val="center"/>
          </w:tcPr>
          <w:p w14:paraId="6FE94D2A" w14:textId="77777777" w:rsidR="004A7B16" w:rsidRPr="00FC7F72" w:rsidRDefault="004A7B16" w:rsidP="001C605F">
            <w:pPr>
              <w:pStyle w:val="Tabletext"/>
            </w:pPr>
            <w:r w:rsidRPr="00FC7F72">
              <w:t>Legacy technology, deployments decreasing.</w:t>
            </w:r>
          </w:p>
        </w:tc>
      </w:tr>
      <w:tr w:rsidR="004A7B16" w:rsidRPr="00FC7F72" w14:paraId="4B5EB227" w14:textId="77777777" w:rsidTr="004117B5">
        <w:trPr>
          <w:cantSplit/>
          <w:jc w:val="center"/>
        </w:trPr>
        <w:tc>
          <w:tcPr>
            <w:tcW w:w="1555" w:type="dxa"/>
            <w:vAlign w:val="center"/>
          </w:tcPr>
          <w:p w14:paraId="5A4C9703" w14:textId="77777777" w:rsidR="004A7B16" w:rsidRDefault="004A7B16" w:rsidP="001C605F">
            <w:pPr>
              <w:pStyle w:val="Tabletext"/>
            </w:pPr>
            <w:r w:rsidRPr="00FC7F72">
              <w:t xml:space="preserve">Digital </w:t>
            </w:r>
            <w:r>
              <w:t>ATV</w:t>
            </w:r>
          </w:p>
          <w:p w14:paraId="474A447A" w14:textId="77777777" w:rsidR="004A7B16" w:rsidRPr="00FC7F72" w:rsidRDefault="004A7B16" w:rsidP="001C605F">
            <w:pPr>
              <w:pStyle w:val="Tabletext"/>
            </w:pPr>
            <w:r w:rsidRPr="00FC7F72">
              <w:t>(DVB Standards)</w:t>
            </w:r>
          </w:p>
        </w:tc>
        <w:tc>
          <w:tcPr>
            <w:tcW w:w="850" w:type="dxa"/>
            <w:vAlign w:val="center"/>
          </w:tcPr>
          <w:p w14:paraId="0731D5DD" w14:textId="77777777" w:rsidR="004A7B16" w:rsidRPr="00FC7F72" w:rsidRDefault="004A7B16" w:rsidP="001C605F">
            <w:pPr>
              <w:pStyle w:val="Tabletext"/>
              <w:jc w:val="center"/>
            </w:pPr>
            <w:r w:rsidRPr="00FC7F72">
              <w:t>Yes</w:t>
            </w:r>
          </w:p>
        </w:tc>
        <w:tc>
          <w:tcPr>
            <w:tcW w:w="1134" w:type="dxa"/>
            <w:vAlign w:val="center"/>
          </w:tcPr>
          <w:p w14:paraId="1DE63516" w14:textId="77777777" w:rsidR="004A7B16" w:rsidRPr="00FC7F72" w:rsidRDefault="004A7B16" w:rsidP="001C605F">
            <w:pPr>
              <w:pStyle w:val="Tabletext"/>
              <w:jc w:val="center"/>
            </w:pPr>
            <w:r w:rsidRPr="00FC7F72">
              <w:t>Yes</w:t>
            </w:r>
          </w:p>
        </w:tc>
        <w:tc>
          <w:tcPr>
            <w:tcW w:w="851" w:type="dxa"/>
            <w:vAlign w:val="center"/>
          </w:tcPr>
          <w:p w14:paraId="238F5081" w14:textId="77777777" w:rsidR="004A7B16" w:rsidRPr="00FC7F72" w:rsidRDefault="004A7B16" w:rsidP="001C605F">
            <w:pPr>
              <w:pStyle w:val="Tabletext"/>
              <w:jc w:val="center"/>
            </w:pPr>
            <w:r w:rsidRPr="00FC7F72">
              <w:t>Yes</w:t>
            </w:r>
          </w:p>
        </w:tc>
        <w:tc>
          <w:tcPr>
            <w:tcW w:w="992" w:type="dxa"/>
            <w:vAlign w:val="center"/>
          </w:tcPr>
          <w:p w14:paraId="4C103197" w14:textId="77777777" w:rsidR="004A7B16" w:rsidRPr="00FC7F72" w:rsidRDefault="004A7B16" w:rsidP="001C605F">
            <w:pPr>
              <w:pStyle w:val="Tabletext"/>
              <w:jc w:val="center"/>
            </w:pPr>
          </w:p>
        </w:tc>
        <w:tc>
          <w:tcPr>
            <w:tcW w:w="1843" w:type="dxa"/>
            <w:vAlign w:val="center"/>
          </w:tcPr>
          <w:p w14:paraId="244B47B2" w14:textId="77777777" w:rsidR="004A7B16" w:rsidRPr="00FC7F72" w:rsidRDefault="004A7B16" w:rsidP="001C605F">
            <w:pPr>
              <w:pStyle w:val="Tabletext"/>
              <w:jc w:val="center"/>
            </w:pPr>
            <w:r w:rsidRPr="00FC7F72">
              <w:t xml:space="preserve">1-8 MHz </w:t>
            </w:r>
          </w:p>
          <w:p w14:paraId="770A4955" w14:textId="77777777" w:rsidR="004A7B16" w:rsidRPr="00FC7F72" w:rsidRDefault="004A7B16" w:rsidP="001C605F">
            <w:pPr>
              <w:pStyle w:val="Tabletext"/>
              <w:jc w:val="center"/>
            </w:pPr>
            <w:r w:rsidRPr="00FC7F72">
              <w:t>Symbol rate dependent</w:t>
            </w:r>
          </w:p>
        </w:tc>
        <w:tc>
          <w:tcPr>
            <w:tcW w:w="2414" w:type="dxa"/>
            <w:vAlign w:val="center"/>
          </w:tcPr>
          <w:p w14:paraId="60AC41A1" w14:textId="77777777" w:rsidR="004A7B16" w:rsidRPr="00FC7F72" w:rsidRDefault="004A7B16" w:rsidP="001C605F">
            <w:pPr>
              <w:pStyle w:val="Tabletext"/>
            </w:pPr>
            <w:r w:rsidRPr="00FC7F72">
              <w:t>State of the art technology, deployments increasing</w:t>
            </w:r>
          </w:p>
        </w:tc>
      </w:tr>
    </w:tbl>
    <w:p w14:paraId="0AE554E4" w14:textId="77777777" w:rsidR="004A7B16" w:rsidRPr="00FC7F72" w:rsidRDefault="004A7B16" w:rsidP="004A7B16">
      <w:pPr>
        <w:pStyle w:val="Tablefin"/>
      </w:pPr>
    </w:p>
    <w:p w14:paraId="1AF676B0" w14:textId="3599EFBA" w:rsidR="004A7B16" w:rsidRPr="00FC7F72" w:rsidRDefault="004A7B16" w:rsidP="004A7B16">
      <w:r w:rsidRPr="00FC7F72">
        <w:lastRenderedPageBreak/>
        <w:t xml:space="preserve">Modern </w:t>
      </w:r>
      <w:r>
        <w:t>ATV</w:t>
      </w:r>
      <w:r w:rsidRPr="00FC7F72">
        <w:t xml:space="preserve"> installations employ spectrally efficient digital TV transmitters based on DVB-S/MPEG-2 signals. Symbol rates of 2 </w:t>
      </w:r>
      <w:proofErr w:type="spellStart"/>
      <w:r w:rsidRPr="00FC7F72">
        <w:t>M</w:t>
      </w:r>
      <w:r w:rsidR="005D3EAD">
        <w:t>Bd</w:t>
      </w:r>
      <w:proofErr w:type="spellEnd"/>
      <w:r w:rsidRPr="00FC7F72">
        <w:t xml:space="preserve"> or 4 </w:t>
      </w:r>
      <w:proofErr w:type="spellStart"/>
      <w:r w:rsidRPr="00FC7F72">
        <w:t>M</w:t>
      </w:r>
      <w:r w:rsidR="005D3EAD">
        <w:t>Bd</w:t>
      </w:r>
      <w:proofErr w:type="spellEnd"/>
      <w:r w:rsidRPr="00FC7F72">
        <w:t xml:space="preserve"> operate in lower bandwidth channels and further experimentation continues to increase the spectrum efficiency of amateur TV signals. It has been shown possible to transmit HD MPEG-4 signals with symbol rates less than 333 </w:t>
      </w:r>
      <w:r w:rsidR="005D3EAD">
        <w:t>Bd</w:t>
      </w:r>
      <w:r w:rsidRPr="00FC7F72">
        <w:t xml:space="preserve"> in a bandwidth as low as 500 kHz.</w:t>
      </w:r>
    </w:p>
    <w:p w14:paraId="7C33F8D4" w14:textId="0FC37A35" w:rsidR="004A7B16" w:rsidRPr="00FC7F72" w:rsidRDefault="004A7B16" w:rsidP="00427840">
      <w:pPr>
        <w:pStyle w:val="Heading2"/>
      </w:pPr>
      <w:bookmarkStart w:id="9" w:name="_Toc43751166"/>
      <w:r>
        <w:t>2.2</w:t>
      </w:r>
      <w:r>
        <w:tab/>
      </w:r>
      <w:r w:rsidRPr="00FC7F72">
        <w:t xml:space="preserve">Typical amateur station antenna </w:t>
      </w:r>
      <w:bookmarkEnd w:id="9"/>
      <w:r w:rsidRPr="00FC7F72">
        <w:t>characteristics in the 1</w:t>
      </w:r>
      <w:r>
        <w:t> </w:t>
      </w:r>
      <w:r w:rsidRPr="00FC7F72">
        <w:t>240</w:t>
      </w:r>
      <w:r>
        <w:noBreakHyphen/>
      </w:r>
      <w:r w:rsidRPr="00FC7F72">
        <w:t>1</w:t>
      </w:r>
      <w:r>
        <w:t> </w:t>
      </w:r>
      <w:r w:rsidRPr="00FC7F72">
        <w:t>300</w:t>
      </w:r>
      <w:r>
        <w:t> </w:t>
      </w:r>
      <w:r w:rsidRPr="00FC7F72">
        <w:t>MHz band</w:t>
      </w:r>
    </w:p>
    <w:p w14:paraId="70DDD460" w14:textId="77777777" w:rsidR="004A7B16" w:rsidRPr="00FC7F72" w:rsidRDefault="004A7B16" w:rsidP="004A7B16">
      <w:r w:rsidRPr="00FC7F72">
        <w:t>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radiosport contests. In general home and temporary stations use highly directional, narrow beam width antennas in this frequency range.</w:t>
      </w:r>
    </w:p>
    <w:p w14:paraId="09294E5B" w14:textId="77777777" w:rsidR="004A7B16" w:rsidRPr="00FC7F72" w:rsidRDefault="004A7B16" w:rsidP="004A7B16">
      <w:pPr>
        <w:pStyle w:val="Headingi"/>
      </w:pPr>
      <w:r w:rsidRPr="00FC7F72">
        <w:t>1)</w:t>
      </w:r>
      <w:r w:rsidRPr="00FC7F72">
        <w:tab/>
        <w:t>Home station and temporary “portable” station antennas</w:t>
      </w:r>
    </w:p>
    <w:p w14:paraId="10AFA6B1" w14:textId="77777777" w:rsidR="004A7B16" w:rsidRPr="00FC7F72" w:rsidRDefault="004A7B16" w:rsidP="004A7B16">
      <w:r w:rsidRPr="00FC7F72">
        <w:t>Home stations generally use a single directional antenna, however in a few cases multiple antennas are combined to increase the array gain. This is more usual for EME</w:t>
      </w:r>
      <w:r w:rsidRPr="00FC7F72">
        <w:rPr>
          <w:vertAlign w:val="superscript"/>
        </w:rPr>
        <w:footnoteReference w:id="6"/>
      </w:r>
      <w:r w:rsidRPr="00FC7F72">
        <w:t xml:space="preserve"> operators for whom high antenna gain is essential for overcoming the high path and reflection loss. A higher performance EME station might use instead a medium size dish antenna.</w:t>
      </w:r>
      <w:r>
        <w:t xml:space="preserve"> Table 3 contains the antenna details:</w:t>
      </w:r>
    </w:p>
    <w:p w14:paraId="3D9A9F87" w14:textId="77777777" w:rsidR="004A7B16" w:rsidRPr="00FC7F72" w:rsidRDefault="004A7B16" w:rsidP="004A7B16">
      <w:pPr>
        <w:pStyle w:val="TableNo"/>
      </w:pPr>
      <w:r w:rsidRPr="00FC7F72">
        <w:t>Table 3</w:t>
      </w:r>
    </w:p>
    <w:p w14:paraId="6FE6E5F7" w14:textId="77777777" w:rsidR="004A7B16" w:rsidRPr="00FC7F72" w:rsidRDefault="004A7B16" w:rsidP="004A7B16">
      <w:pPr>
        <w:pStyle w:val="Tabletitle"/>
      </w:pPr>
      <w:r w:rsidRPr="00FC7F72">
        <w:rPr>
          <w:szCs w:val="24"/>
        </w:rPr>
        <w:t xml:space="preserve">Typical </w:t>
      </w:r>
      <w:r w:rsidRPr="00FC7F72">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4A7B16" w:rsidRPr="00FC7F72" w14:paraId="3491795C" w14:textId="77777777" w:rsidTr="004117B5">
        <w:trPr>
          <w:jc w:val="center"/>
        </w:trPr>
        <w:tc>
          <w:tcPr>
            <w:tcW w:w="3539" w:type="dxa"/>
          </w:tcPr>
          <w:p w14:paraId="08113277" w14:textId="77777777" w:rsidR="004A7B16" w:rsidRPr="00FC7F72" w:rsidRDefault="004A7B16" w:rsidP="001C605F">
            <w:pPr>
              <w:pStyle w:val="Tablehead"/>
            </w:pPr>
            <w:r w:rsidRPr="00FC7F72">
              <w:t>Antenna type</w:t>
            </w:r>
          </w:p>
        </w:tc>
        <w:tc>
          <w:tcPr>
            <w:tcW w:w="3260" w:type="dxa"/>
          </w:tcPr>
          <w:p w14:paraId="16C9AAEB" w14:textId="77777777" w:rsidR="004A7B16" w:rsidRPr="00FC7F72" w:rsidRDefault="004A7B16" w:rsidP="001C605F">
            <w:pPr>
              <w:pStyle w:val="Tablehead"/>
            </w:pPr>
            <w:r w:rsidRPr="00FC7F72">
              <w:t>Gain</w:t>
            </w:r>
          </w:p>
        </w:tc>
        <w:tc>
          <w:tcPr>
            <w:tcW w:w="2830" w:type="dxa"/>
          </w:tcPr>
          <w:p w14:paraId="51AEA8E0" w14:textId="77777777" w:rsidR="004A7B16" w:rsidRPr="00FC7F72" w:rsidRDefault="004A7B16" w:rsidP="001C605F">
            <w:pPr>
              <w:pStyle w:val="Tablehead"/>
            </w:pPr>
            <w:r w:rsidRPr="00FC7F72">
              <w:t>3 dB beam width</w:t>
            </w:r>
          </w:p>
        </w:tc>
      </w:tr>
      <w:tr w:rsidR="004A7B16" w:rsidRPr="00FC7F72" w14:paraId="5A537BDB" w14:textId="77777777" w:rsidTr="004117B5">
        <w:trPr>
          <w:jc w:val="center"/>
        </w:trPr>
        <w:tc>
          <w:tcPr>
            <w:tcW w:w="3539" w:type="dxa"/>
          </w:tcPr>
          <w:p w14:paraId="4BE98C0C" w14:textId="77777777" w:rsidR="004A7B16" w:rsidRPr="00FC7F72" w:rsidRDefault="004A7B16" w:rsidP="001C605F">
            <w:pPr>
              <w:pStyle w:val="Tabletext"/>
            </w:pPr>
            <w:r w:rsidRPr="00FC7F72">
              <w:t>Single Yagi beam (23 to 55 element)</w:t>
            </w:r>
          </w:p>
        </w:tc>
        <w:tc>
          <w:tcPr>
            <w:tcW w:w="3260" w:type="dxa"/>
          </w:tcPr>
          <w:p w14:paraId="59AE8917" w14:textId="77777777" w:rsidR="004A7B16" w:rsidRPr="00FC7F72" w:rsidRDefault="004A7B16" w:rsidP="001C605F">
            <w:pPr>
              <w:pStyle w:val="Tabletext"/>
              <w:jc w:val="center"/>
            </w:pPr>
            <w:r w:rsidRPr="00FC7F72">
              <w:t xml:space="preserve">18 to 21 </w:t>
            </w:r>
            <w:proofErr w:type="spellStart"/>
            <w:r w:rsidRPr="00FC7F72">
              <w:t>dBi</w:t>
            </w:r>
            <w:proofErr w:type="spellEnd"/>
          </w:p>
        </w:tc>
        <w:tc>
          <w:tcPr>
            <w:tcW w:w="2830" w:type="dxa"/>
          </w:tcPr>
          <w:p w14:paraId="17CE244E" w14:textId="77777777" w:rsidR="004A7B16" w:rsidRPr="00FC7F72" w:rsidRDefault="004A7B16" w:rsidP="001C605F">
            <w:pPr>
              <w:pStyle w:val="Tabletext"/>
              <w:jc w:val="center"/>
            </w:pPr>
            <w:r w:rsidRPr="00FC7F72">
              <w:t>18° to 10°</w:t>
            </w:r>
          </w:p>
        </w:tc>
      </w:tr>
      <w:tr w:rsidR="004A7B16" w:rsidRPr="00FC7F72" w14:paraId="1583239E" w14:textId="77777777" w:rsidTr="004117B5">
        <w:trPr>
          <w:jc w:val="center"/>
        </w:trPr>
        <w:tc>
          <w:tcPr>
            <w:tcW w:w="3539" w:type="dxa"/>
          </w:tcPr>
          <w:p w14:paraId="4FC37140" w14:textId="77777777" w:rsidR="004A7B16" w:rsidRPr="00FC7F72" w:rsidRDefault="004A7B16" w:rsidP="001C605F">
            <w:pPr>
              <w:pStyle w:val="Tabletext"/>
            </w:pPr>
            <w:r w:rsidRPr="00FC7F72">
              <w:t>Multiple Yagi beams (for EME)</w:t>
            </w:r>
          </w:p>
          <w:p w14:paraId="17DC8549" w14:textId="77777777" w:rsidR="004A7B16" w:rsidRPr="00FC7F72" w:rsidRDefault="004A7B16" w:rsidP="001C605F">
            <w:pPr>
              <w:pStyle w:val="Tabletext"/>
            </w:pPr>
            <w:r w:rsidRPr="00FC7F72">
              <w:t>Dish antenna (for EME)</w:t>
            </w:r>
          </w:p>
        </w:tc>
        <w:tc>
          <w:tcPr>
            <w:tcW w:w="3260" w:type="dxa"/>
          </w:tcPr>
          <w:p w14:paraId="01F1FD9E" w14:textId="77777777" w:rsidR="004A7B16" w:rsidRPr="00FC7F72" w:rsidRDefault="004A7B16" w:rsidP="001C605F">
            <w:pPr>
              <w:pStyle w:val="Tabletext"/>
              <w:jc w:val="center"/>
            </w:pPr>
            <w:r w:rsidRPr="00FC7F72">
              <w:t xml:space="preserve">21 </w:t>
            </w:r>
            <w:proofErr w:type="spellStart"/>
            <w:r w:rsidRPr="00FC7F72">
              <w:t>dBi</w:t>
            </w:r>
            <w:proofErr w:type="spellEnd"/>
          </w:p>
          <w:p w14:paraId="3B9B3D70" w14:textId="77777777" w:rsidR="004A7B16" w:rsidRPr="00FC7F72" w:rsidRDefault="004A7B16" w:rsidP="001C605F">
            <w:pPr>
              <w:pStyle w:val="Tabletext"/>
              <w:jc w:val="center"/>
            </w:pPr>
            <w:r w:rsidRPr="00FC7F72">
              <w:t xml:space="preserve">32 </w:t>
            </w:r>
            <w:proofErr w:type="spellStart"/>
            <w:r w:rsidRPr="00FC7F72">
              <w:t>dBi</w:t>
            </w:r>
            <w:proofErr w:type="spellEnd"/>
            <w:r w:rsidRPr="00FC7F72">
              <w:t xml:space="preserve"> (4 m diameter)</w:t>
            </w:r>
          </w:p>
        </w:tc>
        <w:tc>
          <w:tcPr>
            <w:tcW w:w="2830" w:type="dxa"/>
          </w:tcPr>
          <w:p w14:paraId="4D90BD84" w14:textId="77777777" w:rsidR="004A7B16" w:rsidRPr="00FC7F72" w:rsidRDefault="004A7B16" w:rsidP="001C605F">
            <w:pPr>
              <w:pStyle w:val="Tabletext"/>
              <w:jc w:val="center"/>
            </w:pPr>
            <w:r w:rsidRPr="00FC7F72">
              <w:t>10°</w:t>
            </w:r>
          </w:p>
          <w:p w14:paraId="44C35AE7" w14:textId="77777777" w:rsidR="004A7B16" w:rsidRPr="00FC7F72" w:rsidRDefault="004A7B16" w:rsidP="001C605F">
            <w:pPr>
              <w:pStyle w:val="Tabletext"/>
              <w:jc w:val="center"/>
            </w:pPr>
            <w:r w:rsidRPr="00FC7F72">
              <w:t>4°</w:t>
            </w:r>
          </w:p>
        </w:tc>
      </w:tr>
    </w:tbl>
    <w:p w14:paraId="62FA13C0" w14:textId="77777777" w:rsidR="004A7B16" w:rsidRPr="00FC7F72" w:rsidRDefault="004A7B16" w:rsidP="004A7B16">
      <w:pPr>
        <w:pStyle w:val="Tablefin"/>
      </w:pPr>
    </w:p>
    <w:p w14:paraId="2ED4A529" w14:textId="77777777" w:rsidR="004A7B16" w:rsidRPr="00FC7F72" w:rsidRDefault="004A7B16" w:rsidP="004A7B16">
      <w:pPr>
        <w:pStyle w:val="Headingi"/>
      </w:pPr>
      <w:r w:rsidRPr="00FC7F72">
        <w:t>2)</w:t>
      </w:r>
      <w:r w:rsidRPr="00FC7F72">
        <w:tab/>
        <w:t>Permanent installation antennas</w:t>
      </w:r>
    </w:p>
    <w:p w14:paraId="2ED0EBC4" w14:textId="77777777" w:rsidR="004A7B16" w:rsidRPr="00FC7F72" w:rsidRDefault="004A7B16" w:rsidP="004A7B16">
      <w:pPr>
        <w:rPr>
          <w:lang w:val="en-US"/>
        </w:rPr>
      </w:pPr>
      <w:r w:rsidRPr="00FC7F72">
        <w:rPr>
          <w:lang w:val="en-US"/>
        </w:rPr>
        <w:t xml:space="preserve">Permanent installations operate for different applications using a variety of antenna types characterized by different gain and directivity figures. However, </w:t>
      </w:r>
      <w:r w:rsidRPr="00FC7F72">
        <w:t>most permanent installations antennas are less directional and (in the case of repeaters) are generally intended to provide coverage over a local area.</w:t>
      </w:r>
      <w:r w:rsidRPr="00FC7F72">
        <w:rPr>
          <w:lang w:val="en-US"/>
        </w:rPr>
        <w:t xml:space="preserve"> It should be noted, that the antenna type used depends not only on the application but also on the local topograp</w:t>
      </w:r>
      <w:r>
        <w:rPr>
          <w:lang w:val="en-US"/>
        </w:rPr>
        <w:t>hy</w:t>
      </w:r>
      <w:r w:rsidRPr="00FC7F72">
        <w:rPr>
          <w:rStyle w:val="FootnoteReference"/>
          <w:lang w:val="en-US"/>
        </w:rPr>
        <w:footnoteReference w:id="7"/>
      </w:r>
      <w:r w:rsidRPr="00FC7F72">
        <w:rPr>
          <w:lang w:val="en-US"/>
        </w:rPr>
        <w:t>. Table 4 summarizes antenna characteristics with indications of minimum, median and maximum parameter values of a typical installation.</w:t>
      </w:r>
    </w:p>
    <w:p w14:paraId="1FF177D3" w14:textId="77777777" w:rsidR="004A7B16" w:rsidRPr="00FC7F72" w:rsidRDefault="004A7B16" w:rsidP="004A7B16">
      <w:pPr>
        <w:pStyle w:val="TableNo"/>
      </w:pPr>
      <w:r w:rsidRPr="00FC7F72">
        <w:lastRenderedPageBreak/>
        <w:t>Table 4</w:t>
      </w:r>
    </w:p>
    <w:p w14:paraId="0D8EA748" w14:textId="77777777" w:rsidR="004A7B16" w:rsidRPr="00FC7F72" w:rsidRDefault="004A7B16" w:rsidP="004A7B16">
      <w:pPr>
        <w:pStyle w:val="Tabletitle"/>
      </w:pPr>
      <w:r w:rsidRPr="00FC7F72">
        <w:rPr>
          <w:color w:val="000000" w:themeColor="text1"/>
        </w:rPr>
        <w:t xml:space="preserve">Antenna characteristic of a typical </w:t>
      </w:r>
      <w:r w:rsidRPr="00FC7F72">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4A7B16" w:rsidRPr="00FC7F72" w14:paraId="6263697E" w14:textId="77777777" w:rsidTr="001C605F">
        <w:trPr>
          <w:jc w:val="center"/>
        </w:trPr>
        <w:tc>
          <w:tcPr>
            <w:tcW w:w="3209" w:type="dxa"/>
          </w:tcPr>
          <w:p w14:paraId="34B42F87" w14:textId="77777777" w:rsidR="004A7B16" w:rsidRPr="00FC7F72" w:rsidRDefault="004A7B16" w:rsidP="001C605F">
            <w:pPr>
              <w:pStyle w:val="Tablehead"/>
            </w:pPr>
            <w:r w:rsidRPr="00FC7F72">
              <w:t>Antenna types</w:t>
            </w:r>
          </w:p>
        </w:tc>
        <w:tc>
          <w:tcPr>
            <w:tcW w:w="3210" w:type="dxa"/>
          </w:tcPr>
          <w:p w14:paraId="7F90149F" w14:textId="77777777" w:rsidR="004A7B16" w:rsidRPr="00FC7F72" w:rsidRDefault="004A7B16" w:rsidP="001C605F">
            <w:pPr>
              <w:pStyle w:val="Tablehead"/>
            </w:pPr>
            <w:r w:rsidRPr="00FC7F72">
              <w:t>Gain</w:t>
            </w:r>
            <w:r w:rsidRPr="00FC7F72">
              <w:rPr>
                <w:rStyle w:val="FootnoteReference"/>
              </w:rPr>
              <w:footnoteReference w:id="8"/>
            </w:r>
          </w:p>
        </w:tc>
        <w:tc>
          <w:tcPr>
            <w:tcW w:w="3210" w:type="dxa"/>
          </w:tcPr>
          <w:p w14:paraId="55741C02" w14:textId="77777777" w:rsidR="004A7B16" w:rsidRPr="00FC7F72" w:rsidRDefault="004A7B16" w:rsidP="001C605F">
            <w:pPr>
              <w:pStyle w:val="Tablehead"/>
            </w:pPr>
            <w:r>
              <w:t>B</w:t>
            </w:r>
            <w:r w:rsidRPr="00FC7F72">
              <w:t>eamwidth in the azimuth plane.</w:t>
            </w:r>
          </w:p>
        </w:tc>
      </w:tr>
      <w:tr w:rsidR="004A7B16" w:rsidRPr="00FC7F72" w14:paraId="7E9FB7BF" w14:textId="77777777" w:rsidTr="001C605F">
        <w:trPr>
          <w:jc w:val="center"/>
        </w:trPr>
        <w:tc>
          <w:tcPr>
            <w:tcW w:w="3209" w:type="dxa"/>
            <w:vAlign w:val="center"/>
          </w:tcPr>
          <w:p w14:paraId="1AD2EEC7" w14:textId="77777777" w:rsidR="004A7B16" w:rsidRPr="00FC7F72" w:rsidRDefault="004A7B16" w:rsidP="001C605F">
            <w:pPr>
              <w:pStyle w:val="Tabletext"/>
            </w:pPr>
            <w:r w:rsidRPr="00FC7F72">
              <w:t>Various (e.g. linear slot, co-linear array, horn, flat panel etc.)</w:t>
            </w:r>
          </w:p>
        </w:tc>
        <w:tc>
          <w:tcPr>
            <w:tcW w:w="3210" w:type="dxa"/>
            <w:vAlign w:val="center"/>
          </w:tcPr>
          <w:p w14:paraId="291F0044" w14:textId="77777777" w:rsidR="004A7B16" w:rsidRPr="00FC7F72" w:rsidRDefault="004A7B16" w:rsidP="001C605F">
            <w:pPr>
              <w:pStyle w:val="gmail-m366260878566664081tabletext"/>
              <w:spacing w:before="120" w:beforeAutospacing="0" w:after="0" w:afterAutospacing="0"/>
              <w:rPr>
                <w:sz w:val="20"/>
                <w:szCs w:val="20"/>
                <w:lang w:val="en-US"/>
              </w:rPr>
            </w:pPr>
            <w:r w:rsidRPr="00FC7F72">
              <w:rPr>
                <w:rFonts w:ascii="CG Times" w:hAnsi="CG Times"/>
                <w:sz w:val="20"/>
                <w:szCs w:val="20"/>
                <w:lang w:val="en-US"/>
              </w:rPr>
              <w:t xml:space="preserve">Minimum = 2.15 </w:t>
            </w:r>
            <w:proofErr w:type="spellStart"/>
            <w:r w:rsidRPr="00FC7F72">
              <w:rPr>
                <w:rFonts w:ascii="CG Times" w:hAnsi="CG Times"/>
                <w:sz w:val="20"/>
                <w:szCs w:val="20"/>
                <w:lang w:val="en-US"/>
              </w:rPr>
              <w:t>dBi</w:t>
            </w:r>
            <w:proofErr w:type="spellEnd"/>
          </w:p>
          <w:p w14:paraId="2559FE7B" w14:textId="77777777" w:rsidR="004A7B16" w:rsidRPr="00FC7F72" w:rsidRDefault="004A7B16" w:rsidP="001C605F">
            <w:pPr>
              <w:pStyle w:val="Tabletext"/>
              <w:spacing w:before="120"/>
            </w:pPr>
            <w:r w:rsidRPr="00FC7F72">
              <w:rPr>
                <w:rFonts w:ascii="CG Times" w:hAnsi="CG Times"/>
                <w:lang w:val="en-US"/>
              </w:rPr>
              <w:t xml:space="preserve">Median = </w:t>
            </w:r>
            <w:r w:rsidRPr="00FC7F72">
              <w:t xml:space="preserve">13 </w:t>
            </w:r>
            <w:proofErr w:type="spellStart"/>
            <w:r w:rsidRPr="00FC7F72">
              <w:t>dBi</w:t>
            </w:r>
            <w:proofErr w:type="spellEnd"/>
          </w:p>
          <w:p w14:paraId="08847CFE" w14:textId="77777777" w:rsidR="004A7B16" w:rsidRPr="00FC7F72" w:rsidRDefault="004A7B16" w:rsidP="001C605F">
            <w:pPr>
              <w:pStyle w:val="Tabletext"/>
              <w:spacing w:before="120"/>
            </w:pPr>
            <w:r w:rsidRPr="00FC7F72">
              <w:rPr>
                <w:rFonts w:ascii="CG Times" w:hAnsi="CG Times"/>
                <w:lang w:val="en-US"/>
              </w:rPr>
              <w:t xml:space="preserve">Maximum: refer to footnote </w:t>
            </w:r>
            <w:r w:rsidRPr="001C605F">
              <w:rPr>
                <w:rFonts w:ascii="CG Times" w:hAnsi="CG Times"/>
                <w:highlight w:val="yellow"/>
                <w:lang w:val="en-US"/>
              </w:rPr>
              <w:t>7</w:t>
            </w:r>
            <w:r w:rsidRPr="00FC7F72">
              <w:rPr>
                <w:rFonts w:ascii="CG Times" w:hAnsi="CG Times"/>
                <w:lang w:val="en-US"/>
              </w:rPr>
              <w:t xml:space="preserve"> for information</w:t>
            </w:r>
          </w:p>
        </w:tc>
        <w:tc>
          <w:tcPr>
            <w:tcW w:w="3210" w:type="dxa"/>
            <w:vAlign w:val="center"/>
          </w:tcPr>
          <w:p w14:paraId="5DBBDA9D" w14:textId="77777777" w:rsidR="004A7B16" w:rsidRPr="00FC7F72" w:rsidRDefault="004A7B16" w:rsidP="001C605F">
            <w:pPr>
              <w:pStyle w:val="Tabletext"/>
              <w:spacing w:before="120"/>
            </w:pPr>
            <w:r w:rsidRPr="00FC7F72">
              <w:t xml:space="preserve">Median = 60° </w:t>
            </w:r>
            <w:r>
              <w:t>(-3 dB)</w:t>
            </w:r>
          </w:p>
          <w:p w14:paraId="4CCD64C5" w14:textId="3E284199" w:rsidR="004A7B16" w:rsidRPr="00FC7F72" w:rsidRDefault="004A7B16" w:rsidP="00427840">
            <w:pPr>
              <w:pStyle w:val="Tabletext"/>
              <w:spacing w:before="120"/>
            </w:pPr>
            <w:r w:rsidRPr="00FC7F72">
              <w:t xml:space="preserve">Maximum = Omnidirectional </w:t>
            </w:r>
          </w:p>
        </w:tc>
      </w:tr>
    </w:tbl>
    <w:p w14:paraId="505926F4" w14:textId="77777777" w:rsidR="004A7B16" w:rsidRPr="00FC7F72" w:rsidRDefault="004A7B16" w:rsidP="004A7B16">
      <w:pPr>
        <w:pStyle w:val="Tablefin"/>
      </w:pPr>
    </w:p>
    <w:p w14:paraId="07382F31" w14:textId="77777777" w:rsidR="004A7B16" w:rsidRPr="00FC7F72" w:rsidRDefault="004A7B16" w:rsidP="004A7B16">
      <w:pPr>
        <w:rPr>
          <w:rFonts w:cs="Arial"/>
          <w:bCs/>
        </w:rPr>
      </w:pPr>
      <w:r w:rsidRPr="00FC7F72">
        <w:rPr>
          <w:rFonts w:cs="Arial"/>
          <w:bCs/>
        </w:rPr>
        <w:t xml:space="preserve">Antennas with linear polarization are mainly used, but occasionally circular polarization can also be found. </w:t>
      </w:r>
    </w:p>
    <w:p w14:paraId="23556A02" w14:textId="3AA40910" w:rsidR="004A7B16" w:rsidRPr="00FC7F72" w:rsidRDefault="004A7B16" w:rsidP="00427840">
      <w:pPr>
        <w:pStyle w:val="Heading2"/>
      </w:pPr>
      <w:r>
        <w:t>2.3</w:t>
      </w:r>
      <w:r>
        <w:tab/>
      </w:r>
      <w:r w:rsidRPr="00FC7F72">
        <w:t>Typical amateur station power level distribution in the 1</w:t>
      </w:r>
      <w:r>
        <w:t> </w:t>
      </w:r>
      <w:r w:rsidRPr="00FC7F72">
        <w:t>240</w:t>
      </w:r>
      <w:r>
        <w:noBreakHyphen/>
      </w:r>
      <w:r w:rsidRPr="00FC7F72">
        <w:t>1</w:t>
      </w:r>
      <w:r>
        <w:t> </w:t>
      </w:r>
      <w:r w:rsidRPr="00FC7F72">
        <w:t>300</w:t>
      </w:r>
      <w:r>
        <w:t> </w:t>
      </w:r>
      <w:r w:rsidRPr="00FC7F72">
        <w:t>MHz band</w:t>
      </w:r>
    </w:p>
    <w:p w14:paraId="1ED094DD" w14:textId="77777777" w:rsidR="004A7B16" w:rsidRPr="00FC7F72" w:rsidRDefault="004A7B16" w:rsidP="004A7B16">
      <w:r w:rsidRPr="00FC7F72">
        <w:t xml:space="preserve">Typical power level distribution can be derived from published information about the stations that submit information resulting from national activity periods and reports from radiosport contests. </w:t>
      </w:r>
    </w:p>
    <w:p w14:paraId="42EB965C" w14:textId="49EA2E70" w:rsidR="004A7B16" w:rsidRPr="00FC7F72" w:rsidRDefault="00427840" w:rsidP="00427840">
      <w:pPr>
        <w:pStyle w:val="Note"/>
      </w:pPr>
      <w:r w:rsidRPr="00FC7F72">
        <w:t>NOTE</w:t>
      </w:r>
      <w:r w:rsidR="004A7B16" w:rsidRPr="00FC7F72">
        <w:t xml:space="preserve">: </w:t>
      </w:r>
      <w:r w:rsidRPr="00FC7F72">
        <w:t xml:space="preserve">In </w:t>
      </w:r>
      <w:r w:rsidR="004A7B16" w:rsidRPr="00FC7F72">
        <w:t xml:space="preserve">the following tables the power is specified differently because of the different sources of information. </w:t>
      </w:r>
    </w:p>
    <w:p w14:paraId="62F42A7A" w14:textId="77777777" w:rsidR="004A7B16" w:rsidRPr="00FC7F72" w:rsidRDefault="004A7B16" w:rsidP="004A7B16">
      <w:pPr>
        <w:pStyle w:val="Headingi"/>
      </w:pPr>
      <w:r w:rsidRPr="00FC7F72">
        <w:t>1)</w:t>
      </w:r>
      <w:r w:rsidRPr="00FC7F72">
        <w:tab/>
        <w:t>Home station and temporary “portable” station</w:t>
      </w:r>
    </w:p>
    <w:p w14:paraId="4C0E691B" w14:textId="77777777" w:rsidR="004A7B16" w:rsidRPr="00FC7F72" w:rsidRDefault="004A7B16" w:rsidP="004A7B16">
      <w:pPr>
        <w:pStyle w:val="TableNo"/>
        <w:keepLines/>
      </w:pPr>
      <w:r w:rsidRPr="00FC7F72">
        <w:t>Table 5</w:t>
      </w:r>
    </w:p>
    <w:p w14:paraId="5FE30207" w14:textId="77777777" w:rsidR="004A7B16" w:rsidRPr="00FC7F72" w:rsidRDefault="004A7B16" w:rsidP="004A7B16">
      <w:pPr>
        <w:pStyle w:val="Tabletitle"/>
      </w:pPr>
      <w:r w:rsidRPr="00FC7F72">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4A7B16" w:rsidRPr="00FC7F72" w14:paraId="7F780AC9" w14:textId="77777777" w:rsidTr="001C605F">
        <w:trPr>
          <w:jc w:val="center"/>
        </w:trPr>
        <w:tc>
          <w:tcPr>
            <w:tcW w:w="2709" w:type="dxa"/>
          </w:tcPr>
          <w:p w14:paraId="22D1C2DA" w14:textId="77777777" w:rsidR="004A7B16" w:rsidRPr="00FC7F72" w:rsidRDefault="004A7B16" w:rsidP="001C605F">
            <w:pPr>
              <w:pStyle w:val="Tablehead"/>
              <w:keepLines/>
            </w:pPr>
            <w:r w:rsidRPr="00FC7F72">
              <w:t>Transmitter power (watts)</w:t>
            </w:r>
          </w:p>
        </w:tc>
        <w:tc>
          <w:tcPr>
            <w:tcW w:w="2596" w:type="dxa"/>
          </w:tcPr>
          <w:p w14:paraId="642CE5C8" w14:textId="77777777" w:rsidR="004A7B16" w:rsidRPr="00FC7F72" w:rsidRDefault="004A7B16" w:rsidP="001C605F">
            <w:pPr>
              <w:pStyle w:val="Tablehead"/>
              <w:keepLines/>
            </w:pPr>
            <w:r w:rsidRPr="00FC7F72">
              <w:t>% home stations</w:t>
            </w:r>
          </w:p>
        </w:tc>
        <w:tc>
          <w:tcPr>
            <w:tcW w:w="2841" w:type="dxa"/>
          </w:tcPr>
          <w:p w14:paraId="29781987" w14:textId="77777777" w:rsidR="004A7B16" w:rsidRPr="00FC7F72" w:rsidRDefault="004A7B16" w:rsidP="001C605F">
            <w:pPr>
              <w:pStyle w:val="Tablehead"/>
              <w:keepLines/>
            </w:pPr>
            <w:r w:rsidRPr="00FC7F72">
              <w:t>% temporary stations</w:t>
            </w:r>
          </w:p>
        </w:tc>
      </w:tr>
      <w:tr w:rsidR="004A7B16" w:rsidRPr="00FC7F72" w14:paraId="1711B5F7" w14:textId="77777777" w:rsidTr="001C605F">
        <w:trPr>
          <w:jc w:val="center"/>
        </w:trPr>
        <w:tc>
          <w:tcPr>
            <w:tcW w:w="2709" w:type="dxa"/>
          </w:tcPr>
          <w:p w14:paraId="3B42AA72" w14:textId="77777777" w:rsidR="004A7B16" w:rsidRPr="00FC7F72" w:rsidRDefault="004A7B16" w:rsidP="001C605F">
            <w:pPr>
              <w:pStyle w:val="Tabletext"/>
              <w:keepNext/>
              <w:keepLines/>
              <w:jc w:val="center"/>
            </w:pPr>
            <w:r w:rsidRPr="00FC7F72">
              <w:t>Up to 10</w:t>
            </w:r>
          </w:p>
        </w:tc>
        <w:tc>
          <w:tcPr>
            <w:tcW w:w="2596" w:type="dxa"/>
          </w:tcPr>
          <w:p w14:paraId="0791A0C6" w14:textId="77777777" w:rsidR="004A7B16" w:rsidRPr="00FC7F72" w:rsidRDefault="004A7B16" w:rsidP="001C605F">
            <w:pPr>
              <w:pStyle w:val="Tabletext"/>
              <w:keepNext/>
              <w:keepLines/>
              <w:jc w:val="center"/>
            </w:pPr>
            <w:r w:rsidRPr="00FC7F72">
              <w:t>47%</w:t>
            </w:r>
          </w:p>
        </w:tc>
        <w:tc>
          <w:tcPr>
            <w:tcW w:w="2841" w:type="dxa"/>
          </w:tcPr>
          <w:p w14:paraId="78D178BC" w14:textId="77777777" w:rsidR="004A7B16" w:rsidRPr="00FC7F72" w:rsidRDefault="004A7B16" w:rsidP="001C605F">
            <w:pPr>
              <w:pStyle w:val="Tabletext"/>
              <w:keepNext/>
              <w:keepLines/>
              <w:jc w:val="center"/>
            </w:pPr>
            <w:r w:rsidRPr="00FC7F72">
              <w:t>61.5%</w:t>
            </w:r>
          </w:p>
        </w:tc>
      </w:tr>
      <w:tr w:rsidR="004A7B16" w:rsidRPr="00FC7F72" w14:paraId="694E55D0" w14:textId="77777777" w:rsidTr="001C605F">
        <w:trPr>
          <w:jc w:val="center"/>
        </w:trPr>
        <w:tc>
          <w:tcPr>
            <w:tcW w:w="2709" w:type="dxa"/>
          </w:tcPr>
          <w:p w14:paraId="1D7E8D57" w14:textId="77777777" w:rsidR="004A7B16" w:rsidRPr="00FC7F72" w:rsidRDefault="004A7B16" w:rsidP="001C605F">
            <w:pPr>
              <w:pStyle w:val="Tabletext"/>
              <w:keepNext/>
              <w:keepLines/>
              <w:jc w:val="center"/>
            </w:pPr>
            <w:r w:rsidRPr="00FC7F72">
              <w:t>11 – 25</w:t>
            </w:r>
          </w:p>
        </w:tc>
        <w:tc>
          <w:tcPr>
            <w:tcW w:w="2596" w:type="dxa"/>
          </w:tcPr>
          <w:p w14:paraId="1B00F675" w14:textId="77777777" w:rsidR="004A7B16" w:rsidRPr="00FC7F72" w:rsidRDefault="004A7B16" w:rsidP="001C605F">
            <w:pPr>
              <w:pStyle w:val="Tabletext"/>
              <w:keepNext/>
              <w:keepLines/>
              <w:jc w:val="center"/>
            </w:pPr>
            <w:r w:rsidRPr="00FC7F72">
              <w:t>9%</w:t>
            </w:r>
          </w:p>
        </w:tc>
        <w:tc>
          <w:tcPr>
            <w:tcW w:w="2841" w:type="dxa"/>
          </w:tcPr>
          <w:p w14:paraId="0EFBB4A8" w14:textId="77777777" w:rsidR="004A7B16" w:rsidRPr="00FC7F72" w:rsidRDefault="004A7B16" w:rsidP="001C605F">
            <w:pPr>
              <w:pStyle w:val="Tabletext"/>
              <w:keepNext/>
              <w:keepLines/>
              <w:jc w:val="center"/>
            </w:pPr>
            <w:r w:rsidRPr="00FC7F72">
              <w:t>7.5%</w:t>
            </w:r>
          </w:p>
        </w:tc>
      </w:tr>
      <w:tr w:rsidR="004A7B16" w:rsidRPr="00FC7F72" w14:paraId="132CE126" w14:textId="77777777" w:rsidTr="001C605F">
        <w:trPr>
          <w:jc w:val="center"/>
        </w:trPr>
        <w:tc>
          <w:tcPr>
            <w:tcW w:w="2709" w:type="dxa"/>
          </w:tcPr>
          <w:p w14:paraId="7D3F0305" w14:textId="77777777" w:rsidR="004A7B16" w:rsidRPr="00FC7F72" w:rsidRDefault="004A7B16" w:rsidP="001C605F">
            <w:pPr>
              <w:pStyle w:val="Tabletext"/>
              <w:keepNext/>
              <w:keepLines/>
              <w:jc w:val="center"/>
            </w:pPr>
            <w:r w:rsidRPr="00FC7F72">
              <w:t>26 – 100</w:t>
            </w:r>
          </w:p>
        </w:tc>
        <w:tc>
          <w:tcPr>
            <w:tcW w:w="2596" w:type="dxa"/>
          </w:tcPr>
          <w:p w14:paraId="7563DDAF" w14:textId="77777777" w:rsidR="004A7B16" w:rsidRPr="00FC7F72" w:rsidRDefault="004A7B16" w:rsidP="001C605F">
            <w:pPr>
              <w:pStyle w:val="Tabletext"/>
              <w:keepNext/>
              <w:keepLines/>
              <w:jc w:val="center"/>
            </w:pPr>
            <w:r w:rsidRPr="00FC7F72">
              <w:t>26%</w:t>
            </w:r>
          </w:p>
        </w:tc>
        <w:tc>
          <w:tcPr>
            <w:tcW w:w="2841" w:type="dxa"/>
          </w:tcPr>
          <w:p w14:paraId="133C80FB" w14:textId="77777777" w:rsidR="004A7B16" w:rsidRPr="00FC7F72" w:rsidRDefault="004A7B16" w:rsidP="001C605F">
            <w:pPr>
              <w:pStyle w:val="Tabletext"/>
              <w:keepNext/>
              <w:keepLines/>
              <w:jc w:val="center"/>
            </w:pPr>
            <w:r w:rsidRPr="00FC7F72">
              <w:t>7.5%</w:t>
            </w:r>
          </w:p>
        </w:tc>
      </w:tr>
      <w:tr w:rsidR="004A7B16" w:rsidRPr="00FC7F72" w14:paraId="43B7BCDA" w14:textId="77777777" w:rsidTr="001C605F">
        <w:trPr>
          <w:jc w:val="center"/>
        </w:trPr>
        <w:tc>
          <w:tcPr>
            <w:tcW w:w="2709" w:type="dxa"/>
          </w:tcPr>
          <w:p w14:paraId="3BC6189E" w14:textId="77777777" w:rsidR="004A7B16" w:rsidRPr="00FC7F72" w:rsidRDefault="004A7B16" w:rsidP="001C605F">
            <w:pPr>
              <w:pStyle w:val="Tabletext"/>
              <w:jc w:val="center"/>
            </w:pPr>
            <w:r w:rsidRPr="00FC7F72">
              <w:t>101 – 300</w:t>
            </w:r>
          </w:p>
        </w:tc>
        <w:tc>
          <w:tcPr>
            <w:tcW w:w="2596" w:type="dxa"/>
          </w:tcPr>
          <w:p w14:paraId="39AB2683" w14:textId="77777777" w:rsidR="004A7B16" w:rsidRPr="00FC7F72" w:rsidRDefault="004A7B16" w:rsidP="001C605F">
            <w:pPr>
              <w:pStyle w:val="Tabletext"/>
              <w:jc w:val="center"/>
            </w:pPr>
            <w:r w:rsidRPr="00FC7F72">
              <w:t>12%</w:t>
            </w:r>
          </w:p>
        </w:tc>
        <w:tc>
          <w:tcPr>
            <w:tcW w:w="2841" w:type="dxa"/>
          </w:tcPr>
          <w:p w14:paraId="75F14382" w14:textId="77777777" w:rsidR="004A7B16" w:rsidRPr="00FC7F72" w:rsidRDefault="004A7B16" w:rsidP="001C605F">
            <w:pPr>
              <w:pStyle w:val="Tabletext"/>
              <w:jc w:val="center"/>
            </w:pPr>
            <w:r w:rsidRPr="00FC7F72">
              <w:t>15%</w:t>
            </w:r>
          </w:p>
        </w:tc>
      </w:tr>
      <w:tr w:rsidR="004A7B16" w:rsidRPr="00FC7F72" w14:paraId="4231222D" w14:textId="77777777" w:rsidTr="001C605F">
        <w:trPr>
          <w:jc w:val="center"/>
        </w:trPr>
        <w:tc>
          <w:tcPr>
            <w:tcW w:w="2709" w:type="dxa"/>
          </w:tcPr>
          <w:p w14:paraId="7AD4BCF3" w14:textId="77777777" w:rsidR="004A7B16" w:rsidRPr="00FC7F72" w:rsidRDefault="004A7B16" w:rsidP="001C605F">
            <w:pPr>
              <w:pStyle w:val="Tabletext"/>
              <w:jc w:val="center"/>
            </w:pPr>
            <w:r w:rsidRPr="00FC7F72">
              <w:t>Over 300</w:t>
            </w:r>
          </w:p>
        </w:tc>
        <w:tc>
          <w:tcPr>
            <w:tcW w:w="2596" w:type="dxa"/>
          </w:tcPr>
          <w:p w14:paraId="4E61BA9A" w14:textId="77777777" w:rsidR="004A7B16" w:rsidRPr="00FC7F72" w:rsidRDefault="004A7B16" w:rsidP="001C605F">
            <w:pPr>
              <w:pStyle w:val="Tabletext"/>
              <w:jc w:val="center"/>
            </w:pPr>
            <w:r w:rsidRPr="00FC7F72">
              <w:t>6%</w:t>
            </w:r>
          </w:p>
        </w:tc>
        <w:tc>
          <w:tcPr>
            <w:tcW w:w="2841" w:type="dxa"/>
          </w:tcPr>
          <w:p w14:paraId="16407765" w14:textId="77777777" w:rsidR="004A7B16" w:rsidRPr="00FC7F72" w:rsidRDefault="004A7B16" w:rsidP="001C605F">
            <w:pPr>
              <w:pStyle w:val="Tabletext"/>
              <w:jc w:val="center"/>
            </w:pPr>
            <w:r w:rsidRPr="00FC7F72">
              <w:t>7.5%</w:t>
            </w:r>
          </w:p>
        </w:tc>
      </w:tr>
    </w:tbl>
    <w:p w14:paraId="71F8F2EF" w14:textId="77777777" w:rsidR="004A7B16" w:rsidRPr="00FC7F72" w:rsidRDefault="004A7B16" w:rsidP="004A7B16">
      <w:pPr>
        <w:pStyle w:val="Tablefin"/>
      </w:pPr>
    </w:p>
    <w:p w14:paraId="768CABD0" w14:textId="77777777" w:rsidR="004A7B16" w:rsidRPr="00FC7F72" w:rsidRDefault="004A7B16" w:rsidP="004A7B16">
      <w:pPr>
        <w:pStyle w:val="Headingi"/>
      </w:pPr>
      <w:r w:rsidRPr="00FC7F72">
        <w:t>2)</w:t>
      </w:r>
      <w:r w:rsidRPr="00FC7F72">
        <w:tab/>
        <w:t>Permanent installation</w:t>
      </w:r>
    </w:p>
    <w:p w14:paraId="0DA84779" w14:textId="77777777" w:rsidR="004A7B16" w:rsidRPr="00FC7F72" w:rsidRDefault="004A7B16" w:rsidP="004A7B16">
      <w:r w:rsidRPr="00FC7F72">
        <w:t>Propagation beacon and repeater station directories can be consulted to gather information on the permanent stations deployed within a territory. They are usually licensed to operate at a specific ERP. Table 6 summarises information on stations in current use extracted from published information from a number of countries:</w:t>
      </w:r>
    </w:p>
    <w:p w14:paraId="0BCA98A5" w14:textId="77777777" w:rsidR="004A7B16" w:rsidRPr="00FC7F72" w:rsidRDefault="004A7B16" w:rsidP="004A7B16">
      <w:pPr>
        <w:pStyle w:val="TableNo"/>
      </w:pPr>
      <w:r w:rsidRPr="00FC7F72">
        <w:t>Table 6</w:t>
      </w:r>
    </w:p>
    <w:p w14:paraId="764EA171" w14:textId="77777777" w:rsidR="004A7B16" w:rsidRPr="00FC7F72" w:rsidRDefault="004A7B16" w:rsidP="004A7B16">
      <w:pPr>
        <w:pStyle w:val="Tabletitle"/>
      </w:pPr>
      <w:r w:rsidRPr="00FC7F72">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4A7B16" w:rsidRPr="00FC7F72" w14:paraId="54F13B63" w14:textId="77777777" w:rsidTr="00427840">
        <w:trPr>
          <w:tblHeader/>
          <w:jc w:val="center"/>
        </w:trPr>
        <w:tc>
          <w:tcPr>
            <w:tcW w:w="2693" w:type="dxa"/>
          </w:tcPr>
          <w:p w14:paraId="41947266" w14:textId="77777777" w:rsidR="004A7B16" w:rsidRPr="00FC7F72" w:rsidRDefault="004A7B16" w:rsidP="001C605F">
            <w:pPr>
              <w:pStyle w:val="Tablehead"/>
            </w:pPr>
            <w:r w:rsidRPr="00FC7F72">
              <w:t>ERP (watts)</w:t>
            </w:r>
          </w:p>
        </w:tc>
        <w:tc>
          <w:tcPr>
            <w:tcW w:w="2880" w:type="dxa"/>
          </w:tcPr>
          <w:p w14:paraId="76F580C1" w14:textId="77777777" w:rsidR="004A7B16" w:rsidRPr="00FC7F72" w:rsidRDefault="004A7B16" w:rsidP="001C605F">
            <w:pPr>
              <w:pStyle w:val="Tablehead"/>
            </w:pPr>
            <w:r w:rsidRPr="00FC7F72">
              <w:t>% propagation beacons</w:t>
            </w:r>
          </w:p>
        </w:tc>
        <w:tc>
          <w:tcPr>
            <w:tcW w:w="2507" w:type="dxa"/>
          </w:tcPr>
          <w:p w14:paraId="435953D0" w14:textId="77777777" w:rsidR="004A7B16" w:rsidRPr="00FC7F72" w:rsidRDefault="004A7B16" w:rsidP="001C605F">
            <w:pPr>
              <w:pStyle w:val="Tablehead"/>
            </w:pPr>
            <w:r w:rsidRPr="00FC7F72">
              <w:t>% repeaters</w:t>
            </w:r>
          </w:p>
        </w:tc>
      </w:tr>
      <w:tr w:rsidR="004A7B16" w:rsidRPr="00FC7F72" w14:paraId="181F4197" w14:textId="77777777" w:rsidTr="001C605F">
        <w:trPr>
          <w:jc w:val="center"/>
        </w:trPr>
        <w:tc>
          <w:tcPr>
            <w:tcW w:w="2693" w:type="dxa"/>
          </w:tcPr>
          <w:p w14:paraId="4580233A" w14:textId="77777777" w:rsidR="004A7B16" w:rsidRPr="00FC7F72" w:rsidRDefault="004A7B16" w:rsidP="001C605F">
            <w:pPr>
              <w:pStyle w:val="Tabletext"/>
              <w:jc w:val="center"/>
            </w:pPr>
            <w:r w:rsidRPr="00FC7F72">
              <w:t>Up to 10</w:t>
            </w:r>
          </w:p>
        </w:tc>
        <w:tc>
          <w:tcPr>
            <w:tcW w:w="2880" w:type="dxa"/>
          </w:tcPr>
          <w:p w14:paraId="5FD42EE0" w14:textId="77777777" w:rsidR="004A7B16" w:rsidRPr="00FC7F72" w:rsidRDefault="004A7B16" w:rsidP="001C605F">
            <w:pPr>
              <w:pStyle w:val="Tabletext"/>
              <w:jc w:val="center"/>
            </w:pPr>
            <w:r w:rsidRPr="00FC7F72">
              <w:t>69%</w:t>
            </w:r>
          </w:p>
        </w:tc>
        <w:tc>
          <w:tcPr>
            <w:tcW w:w="2507" w:type="dxa"/>
          </w:tcPr>
          <w:p w14:paraId="6A173A2A" w14:textId="77777777" w:rsidR="004A7B16" w:rsidRPr="00FC7F72" w:rsidRDefault="004A7B16" w:rsidP="001C605F">
            <w:pPr>
              <w:pStyle w:val="Tabletext"/>
              <w:jc w:val="center"/>
            </w:pPr>
            <w:r w:rsidRPr="00FC7F72">
              <w:t>16%</w:t>
            </w:r>
          </w:p>
        </w:tc>
      </w:tr>
      <w:tr w:rsidR="004A7B16" w:rsidRPr="00FC7F72" w14:paraId="489137C5" w14:textId="77777777" w:rsidTr="001C605F">
        <w:trPr>
          <w:jc w:val="center"/>
        </w:trPr>
        <w:tc>
          <w:tcPr>
            <w:tcW w:w="2693" w:type="dxa"/>
          </w:tcPr>
          <w:p w14:paraId="0223F9A7" w14:textId="77777777" w:rsidR="004A7B16" w:rsidRPr="00FC7F72" w:rsidRDefault="004A7B16" w:rsidP="001C605F">
            <w:pPr>
              <w:pStyle w:val="Tabletext"/>
              <w:jc w:val="center"/>
            </w:pPr>
            <w:r w:rsidRPr="00FC7F72">
              <w:t>11 – 25</w:t>
            </w:r>
          </w:p>
        </w:tc>
        <w:tc>
          <w:tcPr>
            <w:tcW w:w="2880" w:type="dxa"/>
          </w:tcPr>
          <w:p w14:paraId="392D2D32" w14:textId="77777777" w:rsidR="004A7B16" w:rsidRPr="00FC7F72" w:rsidRDefault="004A7B16" w:rsidP="001C605F">
            <w:pPr>
              <w:pStyle w:val="Tabletext"/>
              <w:jc w:val="center"/>
            </w:pPr>
            <w:r w:rsidRPr="00FC7F72">
              <w:t>8%</w:t>
            </w:r>
          </w:p>
        </w:tc>
        <w:tc>
          <w:tcPr>
            <w:tcW w:w="2507" w:type="dxa"/>
          </w:tcPr>
          <w:p w14:paraId="152BB37B" w14:textId="77777777" w:rsidR="004A7B16" w:rsidRPr="00FC7F72" w:rsidRDefault="004A7B16" w:rsidP="001C605F">
            <w:pPr>
              <w:pStyle w:val="Tabletext"/>
              <w:jc w:val="center"/>
            </w:pPr>
            <w:r w:rsidRPr="00FC7F72">
              <w:t>76%</w:t>
            </w:r>
          </w:p>
        </w:tc>
      </w:tr>
      <w:tr w:rsidR="004A7B16" w:rsidRPr="00FC7F72" w14:paraId="648A7533" w14:textId="77777777" w:rsidTr="001C605F">
        <w:trPr>
          <w:jc w:val="center"/>
        </w:trPr>
        <w:tc>
          <w:tcPr>
            <w:tcW w:w="2693" w:type="dxa"/>
          </w:tcPr>
          <w:p w14:paraId="0615625A" w14:textId="77777777" w:rsidR="004A7B16" w:rsidRPr="00FC7F72" w:rsidRDefault="004A7B16" w:rsidP="001C605F">
            <w:pPr>
              <w:pStyle w:val="Tabletext"/>
              <w:jc w:val="center"/>
            </w:pPr>
            <w:r w:rsidRPr="00FC7F72">
              <w:lastRenderedPageBreak/>
              <w:t>26 – 100</w:t>
            </w:r>
          </w:p>
        </w:tc>
        <w:tc>
          <w:tcPr>
            <w:tcW w:w="2880" w:type="dxa"/>
          </w:tcPr>
          <w:p w14:paraId="7D6ACBBE" w14:textId="77777777" w:rsidR="004A7B16" w:rsidRPr="00FC7F72" w:rsidRDefault="004A7B16" w:rsidP="001C605F">
            <w:pPr>
              <w:pStyle w:val="Tabletext"/>
              <w:jc w:val="center"/>
            </w:pPr>
            <w:r w:rsidRPr="00FC7F72">
              <w:t>20%</w:t>
            </w:r>
          </w:p>
        </w:tc>
        <w:tc>
          <w:tcPr>
            <w:tcW w:w="2507" w:type="dxa"/>
          </w:tcPr>
          <w:p w14:paraId="051728F2" w14:textId="77777777" w:rsidR="004A7B16" w:rsidRPr="00FC7F72" w:rsidRDefault="004A7B16" w:rsidP="001C605F">
            <w:pPr>
              <w:pStyle w:val="Tabletext"/>
              <w:jc w:val="center"/>
            </w:pPr>
            <w:r w:rsidRPr="00FC7F72">
              <w:t>8%</w:t>
            </w:r>
          </w:p>
        </w:tc>
      </w:tr>
      <w:tr w:rsidR="004A7B16" w:rsidRPr="00FC7F72" w14:paraId="67B52127" w14:textId="77777777" w:rsidTr="001C605F">
        <w:trPr>
          <w:jc w:val="center"/>
        </w:trPr>
        <w:tc>
          <w:tcPr>
            <w:tcW w:w="2693" w:type="dxa"/>
          </w:tcPr>
          <w:p w14:paraId="2EBF0297" w14:textId="77777777" w:rsidR="004A7B16" w:rsidRPr="00FC7F72" w:rsidRDefault="004A7B16" w:rsidP="001C605F">
            <w:pPr>
              <w:pStyle w:val="Tabletext"/>
              <w:jc w:val="center"/>
            </w:pPr>
            <w:r w:rsidRPr="00FC7F72">
              <w:t>101 – 300</w:t>
            </w:r>
          </w:p>
        </w:tc>
        <w:tc>
          <w:tcPr>
            <w:tcW w:w="2880" w:type="dxa"/>
          </w:tcPr>
          <w:p w14:paraId="70D32542" w14:textId="77777777" w:rsidR="004A7B16" w:rsidRPr="00FC7F72" w:rsidRDefault="004A7B16" w:rsidP="001C605F">
            <w:pPr>
              <w:pStyle w:val="Tabletext"/>
              <w:jc w:val="center"/>
            </w:pPr>
            <w:r w:rsidRPr="00FC7F72">
              <w:t>1%</w:t>
            </w:r>
          </w:p>
        </w:tc>
        <w:tc>
          <w:tcPr>
            <w:tcW w:w="2507" w:type="dxa"/>
          </w:tcPr>
          <w:p w14:paraId="6F493CF9" w14:textId="77777777" w:rsidR="004A7B16" w:rsidRPr="00FC7F72" w:rsidRDefault="004A7B16" w:rsidP="001C605F">
            <w:pPr>
              <w:pStyle w:val="Tabletext"/>
              <w:jc w:val="center"/>
            </w:pPr>
            <w:r w:rsidRPr="00FC7F72">
              <w:t>0%</w:t>
            </w:r>
          </w:p>
        </w:tc>
      </w:tr>
      <w:tr w:rsidR="004A7B16" w:rsidRPr="00FC7F72" w14:paraId="7C577E03" w14:textId="77777777" w:rsidTr="001C605F">
        <w:trPr>
          <w:jc w:val="center"/>
        </w:trPr>
        <w:tc>
          <w:tcPr>
            <w:tcW w:w="2693" w:type="dxa"/>
          </w:tcPr>
          <w:p w14:paraId="2AC5C962" w14:textId="77777777" w:rsidR="004A7B16" w:rsidRPr="00FC7F72" w:rsidRDefault="004A7B16" w:rsidP="001C605F">
            <w:pPr>
              <w:pStyle w:val="Tabletext"/>
              <w:jc w:val="center"/>
            </w:pPr>
            <w:r w:rsidRPr="00FC7F72">
              <w:t>Over 300</w:t>
            </w:r>
          </w:p>
        </w:tc>
        <w:tc>
          <w:tcPr>
            <w:tcW w:w="2880" w:type="dxa"/>
          </w:tcPr>
          <w:p w14:paraId="00CB83E1" w14:textId="77777777" w:rsidR="004A7B16" w:rsidRPr="00FC7F72" w:rsidRDefault="004A7B16" w:rsidP="001C605F">
            <w:pPr>
              <w:pStyle w:val="Tabletext"/>
              <w:jc w:val="center"/>
            </w:pPr>
            <w:r w:rsidRPr="00FC7F72">
              <w:t>1%</w:t>
            </w:r>
          </w:p>
        </w:tc>
        <w:tc>
          <w:tcPr>
            <w:tcW w:w="2507" w:type="dxa"/>
          </w:tcPr>
          <w:p w14:paraId="1A8F08F6" w14:textId="77777777" w:rsidR="004A7B16" w:rsidRPr="00FC7F72" w:rsidRDefault="004A7B16" w:rsidP="001C605F">
            <w:pPr>
              <w:pStyle w:val="Tabletext"/>
              <w:jc w:val="center"/>
            </w:pPr>
            <w:r w:rsidRPr="00FC7F72">
              <w:t>0%</w:t>
            </w:r>
          </w:p>
        </w:tc>
      </w:tr>
    </w:tbl>
    <w:p w14:paraId="438A2AB8" w14:textId="77777777" w:rsidR="004A7B16" w:rsidRPr="00FC7F72" w:rsidRDefault="004A7B16" w:rsidP="004A7B16">
      <w:pPr>
        <w:pStyle w:val="Tablefin"/>
      </w:pPr>
    </w:p>
    <w:p w14:paraId="2695AD30" w14:textId="77777777" w:rsidR="004A7B16" w:rsidRPr="00FC7F72" w:rsidRDefault="004A7B16" w:rsidP="004A7B16">
      <w:pPr>
        <w:tabs>
          <w:tab w:val="clear" w:pos="1134"/>
          <w:tab w:val="clear" w:pos="1871"/>
          <w:tab w:val="clear" w:pos="2268"/>
        </w:tabs>
        <w:overflowPunct/>
        <w:autoSpaceDE/>
        <w:autoSpaceDN/>
        <w:adjustRightInd/>
        <w:spacing w:before="0"/>
        <w:textAlignment w:val="auto"/>
        <w:rPr>
          <w:szCs w:val="24"/>
          <w:lang w:val="en-US" w:eastAsia="de-CH"/>
        </w:rPr>
      </w:pPr>
      <w:r w:rsidRPr="00FC7F72">
        <w:rPr>
          <w:iCs/>
        </w:rPr>
        <w:t>According to the information in Table 6, no repeater is currently in use with a</w:t>
      </w:r>
      <w:r>
        <w:rPr>
          <w:iCs/>
        </w:rPr>
        <w:t>n</w:t>
      </w:r>
      <w:r w:rsidRPr="00FC7F72">
        <w:rPr>
          <w:iCs/>
        </w:rPr>
        <w:t xml:space="preserve"> ERP of more than 100 W. However, based on t</w:t>
      </w:r>
      <w:r w:rsidRPr="00FC7F72">
        <w:t xml:space="preserve">he </w:t>
      </w:r>
      <w:r w:rsidRPr="00FC7F72">
        <w:rPr>
          <w:lang w:val="en-US"/>
        </w:rPr>
        <w:t>extract from the license database of one administration on unmanned amateur radio stations parameters, it is indicated that some repeater / relay - stations are licensed to operate with a radiated power up to 380 W</w:t>
      </w:r>
      <w:r w:rsidRPr="00FC7F72">
        <w:rPr>
          <w:rStyle w:val="FootnoteReference"/>
          <w:lang w:val="en-US"/>
        </w:rPr>
        <w:footnoteReference w:id="9"/>
      </w:r>
      <w:r w:rsidRPr="00FC7F72">
        <w:rPr>
          <w:lang w:val="en-US"/>
        </w:rPr>
        <w:t xml:space="preserve"> ERP, but the operational status of these stations is unknown. Note that </w:t>
      </w:r>
      <w:r w:rsidRPr="00FC7F72">
        <w:rPr>
          <w:iCs/>
        </w:rPr>
        <w:t>there is a limit on the radiated power of unmanned stations given by national regulation and licensing conditions.</w:t>
      </w:r>
      <w:r w:rsidRPr="00FC7F72">
        <w:rPr>
          <w:szCs w:val="24"/>
          <w:lang w:val="en-US" w:eastAsia="de-CH"/>
        </w:rPr>
        <w:t xml:space="preserve"> </w:t>
      </w:r>
    </w:p>
    <w:p w14:paraId="4562A177" w14:textId="0CFE88ED" w:rsidR="004A7B16" w:rsidRPr="00FC7F72" w:rsidRDefault="004A7B16" w:rsidP="00427840">
      <w:pPr>
        <w:pStyle w:val="Heading2"/>
      </w:pPr>
      <w:r>
        <w:t>2.4</w:t>
      </w:r>
      <w:r>
        <w:tab/>
      </w:r>
      <w:r w:rsidRPr="00FC7F72">
        <w:t xml:space="preserve">Representative antenna heights </w:t>
      </w:r>
    </w:p>
    <w:p w14:paraId="73D918F6" w14:textId="77777777" w:rsidR="004A7B16" w:rsidRPr="00FC7F72" w:rsidRDefault="004A7B16" w:rsidP="004A7B16">
      <w:r w:rsidRPr="00FC7F72">
        <w:t>The following antenna heights are representative of typical amateur station installations.</w:t>
      </w:r>
    </w:p>
    <w:p w14:paraId="6A9F8130" w14:textId="77777777" w:rsidR="004A7B16" w:rsidRPr="00FC7F72" w:rsidRDefault="004A7B16" w:rsidP="004A7B16">
      <w:pPr>
        <w:pStyle w:val="enumlev1"/>
      </w:pPr>
      <w:r w:rsidRPr="00FC7F72">
        <w:t>–</w:t>
      </w:r>
      <w:r w:rsidRPr="00FC7F72">
        <w:tab/>
        <w:t>Typical antenna height for a home station = 12 m above ground level.</w:t>
      </w:r>
    </w:p>
    <w:p w14:paraId="042BF6F7" w14:textId="77777777" w:rsidR="004A7B16" w:rsidRPr="00FC7F72" w:rsidRDefault="004A7B16" w:rsidP="004A7B16">
      <w:pPr>
        <w:pStyle w:val="enumlev1"/>
      </w:pPr>
      <w:r w:rsidRPr="00FC7F72">
        <w:t>–</w:t>
      </w:r>
      <w:r w:rsidRPr="00FC7F72">
        <w:tab/>
        <w:t>Typical antenna height for a temporary station = 3 m to 15 m above ground level.</w:t>
      </w:r>
    </w:p>
    <w:p w14:paraId="25AE241E" w14:textId="77777777" w:rsidR="004A7B16" w:rsidRPr="00FC7F72" w:rsidRDefault="004A7B16" w:rsidP="004A7B16">
      <w:pPr>
        <w:pStyle w:val="enumlev1"/>
      </w:pPr>
      <w:r w:rsidRPr="00FC7F72">
        <w:t>–</w:t>
      </w:r>
      <w:r w:rsidRPr="00FC7F72">
        <w:tab/>
        <w:t>Typical height for a permanent installation station = 25 m above ground level.</w:t>
      </w:r>
    </w:p>
    <w:p w14:paraId="24AC6A31" w14:textId="77777777" w:rsidR="004A7B16" w:rsidRPr="00FC7F72" w:rsidRDefault="004A7B16" w:rsidP="004A7B16">
      <w:r w:rsidRPr="00FC7F72">
        <w:t xml:space="preserve">Permanent installation stations are often installed at an advantageous location so as to take advantage of elevated local terrain or tall structures in order to increase the effective antenna height. </w:t>
      </w:r>
    </w:p>
    <w:p w14:paraId="0572A4BC" w14:textId="68669BA5" w:rsidR="004A7B16" w:rsidRPr="00FC7F72" w:rsidRDefault="004A7B16" w:rsidP="00427840">
      <w:pPr>
        <w:pStyle w:val="Heading2"/>
        <w:rPr>
          <w:lang w:val="de-CH"/>
        </w:rPr>
      </w:pPr>
      <w:r>
        <w:rPr>
          <w:lang w:val="de-CH"/>
        </w:rPr>
        <w:t>2.5</w:t>
      </w:r>
      <w:r>
        <w:rPr>
          <w:lang w:val="de-CH"/>
        </w:rPr>
        <w:tab/>
      </w:r>
      <w:r w:rsidRPr="00FC7F72">
        <w:rPr>
          <w:lang w:val="de-CH"/>
        </w:rPr>
        <w:t>Amateur station 1 240-1 300 MHz band usage patterns</w:t>
      </w:r>
    </w:p>
    <w:p w14:paraId="1A2665FD" w14:textId="77777777" w:rsidR="004A7B16" w:rsidRPr="00FC7F72" w:rsidRDefault="004A7B16" w:rsidP="004A7B16">
      <w:r w:rsidRPr="00FC7F72">
        <w:t xml:space="preserve">For all home and temporary “portable” station applications, narrow-band or wideband, the highest number of actively transmitting amateur stations can be found during the scheduled operating and radiosport contest periods. </w:t>
      </w:r>
      <w:r>
        <w:t>T</w:t>
      </w:r>
      <w:r w:rsidRPr="00FC7F72">
        <w:t xml:space="preserve">able </w:t>
      </w:r>
      <w:r>
        <w:t xml:space="preserve">7 </w:t>
      </w:r>
      <w:r w:rsidRPr="00FC7F72">
        <w:t>summarises the total scheduled operating and contest periods scheduled in one region for a typical year. As these activities are usually formalised in the amateur operator calendars, the published national results</w:t>
      </w:r>
      <w:r w:rsidRPr="00FC7F72">
        <w:rPr>
          <w:rStyle w:val="FootnoteReference"/>
        </w:rPr>
        <w:footnoteReference w:id="10"/>
      </w:r>
      <w:r w:rsidRPr="00FC7F72">
        <w:t xml:space="preserve"> can be consulted to determine the number of transmitting stations that were active during any one activity or contest period. </w:t>
      </w:r>
    </w:p>
    <w:p w14:paraId="4E235C66" w14:textId="77777777" w:rsidR="004A7B16" w:rsidRPr="00FC7F72" w:rsidRDefault="004A7B16" w:rsidP="004A7B16">
      <w:pPr>
        <w:pStyle w:val="TableNo"/>
      </w:pPr>
      <w:r w:rsidRPr="00FC7F72">
        <w:t>Table 7</w:t>
      </w:r>
    </w:p>
    <w:p w14:paraId="3D9C8574" w14:textId="77777777" w:rsidR="004A7B16" w:rsidRPr="00FC7F72" w:rsidRDefault="004A7B16" w:rsidP="004A7B16">
      <w:pPr>
        <w:pStyle w:val="Tabletitle"/>
      </w:pPr>
      <w:r w:rsidRPr="00FC7F72">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4A7B16" w:rsidRPr="00FC7F72" w14:paraId="028D7CCD" w14:textId="77777777" w:rsidTr="00427840">
        <w:trPr>
          <w:cantSplit/>
          <w:tblHeader/>
          <w:jc w:val="center"/>
        </w:trPr>
        <w:tc>
          <w:tcPr>
            <w:tcW w:w="965" w:type="pct"/>
            <w:vAlign w:val="center"/>
          </w:tcPr>
          <w:p w14:paraId="38B88929" w14:textId="77777777" w:rsidR="004A7B16" w:rsidRPr="00FC7F72" w:rsidRDefault="004A7B16" w:rsidP="001C605F">
            <w:pPr>
              <w:pStyle w:val="Tablehead"/>
            </w:pPr>
            <w:r w:rsidRPr="00FC7F72">
              <w:t>Usage type</w:t>
            </w:r>
          </w:p>
        </w:tc>
        <w:tc>
          <w:tcPr>
            <w:tcW w:w="1017" w:type="pct"/>
            <w:vAlign w:val="center"/>
          </w:tcPr>
          <w:p w14:paraId="1A72B174" w14:textId="77777777" w:rsidR="004A7B16" w:rsidRPr="00FC7F72" w:rsidRDefault="004A7B16" w:rsidP="001C605F">
            <w:pPr>
              <w:pStyle w:val="Tablehead"/>
            </w:pPr>
            <w:r w:rsidRPr="00FC7F72">
              <w:t>Annual scheduled operating periods</w:t>
            </w:r>
          </w:p>
        </w:tc>
        <w:tc>
          <w:tcPr>
            <w:tcW w:w="1912" w:type="pct"/>
            <w:vAlign w:val="center"/>
          </w:tcPr>
          <w:p w14:paraId="3D0E7486" w14:textId="77777777" w:rsidR="004A7B16" w:rsidRPr="00FC7F72" w:rsidRDefault="004A7B16" w:rsidP="001C605F">
            <w:pPr>
              <w:pStyle w:val="Tablehead"/>
            </w:pPr>
            <w:r w:rsidRPr="00FC7F72">
              <w:t>Total active stations per scheduled operating period</w:t>
            </w:r>
          </w:p>
        </w:tc>
        <w:tc>
          <w:tcPr>
            <w:tcW w:w="1105" w:type="pct"/>
            <w:vAlign w:val="center"/>
          </w:tcPr>
          <w:p w14:paraId="6E991A29" w14:textId="77777777" w:rsidR="004A7B16" w:rsidRPr="00FC7F72" w:rsidRDefault="004A7B16" w:rsidP="001C605F">
            <w:pPr>
              <w:pStyle w:val="Tablehead"/>
            </w:pPr>
            <w:r w:rsidRPr="00FC7F72">
              <w:t>Active temporary stations per scheduled operating period</w:t>
            </w:r>
          </w:p>
        </w:tc>
      </w:tr>
      <w:tr w:rsidR="004A7B16" w:rsidRPr="00FC7F72" w14:paraId="2DD6923C" w14:textId="77777777" w:rsidTr="00427840">
        <w:trPr>
          <w:cantSplit/>
          <w:jc w:val="center"/>
        </w:trPr>
        <w:tc>
          <w:tcPr>
            <w:tcW w:w="965" w:type="pct"/>
          </w:tcPr>
          <w:p w14:paraId="08F97927" w14:textId="77777777" w:rsidR="004A7B16" w:rsidRPr="00FC7F72" w:rsidRDefault="004A7B16" w:rsidP="001C605F">
            <w:pPr>
              <w:pStyle w:val="Tabletext"/>
            </w:pPr>
            <w:r w:rsidRPr="00FC7F72">
              <w:t>Narrow-band activity period and radiosport</w:t>
            </w:r>
          </w:p>
        </w:tc>
        <w:tc>
          <w:tcPr>
            <w:tcW w:w="1017" w:type="pct"/>
          </w:tcPr>
          <w:p w14:paraId="65A974E1" w14:textId="42DD7E02" w:rsidR="004A7B16" w:rsidRPr="00FC7F72" w:rsidRDefault="004A7B16" w:rsidP="001C605F">
            <w:pPr>
              <w:pStyle w:val="Tabletext"/>
            </w:pPr>
            <w:r w:rsidRPr="00FC7F72">
              <w:t>Total, on average 108</w:t>
            </w:r>
            <w:r w:rsidR="00427840">
              <w:t> </w:t>
            </w:r>
            <w:r w:rsidRPr="00FC7F72">
              <w:t>hours over a year</w:t>
            </w:r>
          </w:p>
        </w:tc>
        <w:tc>
          <w:tcPr>
            <w:tcW w:w="1912" w:type="pct"/>
          </w:tcPr>
          <w:p w14:paraId="30F5D6EA" w14:textId="77777777" w:rsidR="004A7B16" w:rsidRPr="00FC7F72" w:rsidRDefault="004A7B16" w:rsidP="001C605F">
            <w:pPr>
              <w:pStyle w:val="Tabletext"/>
            </w:pPr>
            <w:r w:rsidRPr="00FC7F72">
              <w:t xml:space="preserve">From 9 to 140 maximum depending on the country reviewed. </w:t>
            </w:r>
          </w:p>
        </w:tc>
        <w:tc>
          <w:tcPr>
            <w:tcW w:w="1105" w:type="pct"/>
          </w:tcPr>
          <w:p w14:paraId="62428AE0" w14:textId="77777777" w:rsidR="004A7B16" w:rsidRPr="00FC7F72" w:rsidRDefault="004A7B16" w:rsidP="001C605F">
            <w:pPr>
              <w:pStyle w:val="Tabletext"/>
            </w:pPr>
            <w:r w:rsidRPr="00FC7F72">
              <w:t xml:space="preserve">15 to 20 </w:t>
            </w:r>
            <w:proofErr w:type="gramStart"/>
            <w:r w:rsidRPr="00FC7F72">
              <w:t>maximum</w:t>
            </w:r>
            <w:proofErr w:type="gramEnd"/>
            <w:r w:rsidRPr="00FC7F72">
              <w:t xml:space="preserve"> depending on the country reviewed.</w:t>
            </w:r>
          </w:p>
        </w:tc>
      </w:tr>
      <w:tr w:rsidR="004A7B16" w:rsidRPr="00FC7F72" w14:paraId="6084CCF7" w14:textId="77777777" w:rsidTr="00427840">
        <w:trPr>
          <w:cantSplit/>
          <w:jc w:val="center"/>
        </w:trPr>
        <w:tc>
          <w:tcPr>
            <w:tcW w:w="965" w:type="pct"/>
          </w:tcPr>
          <w:p w14:paraId="1BB4DFFD" w14:textId="77777777" w:rsidR="004A7B16" w:rsidRPr="00FC7F72" w:rsidRDefault="004A7B16" w:rsidP="001C605F">
            <w:pPr>
              <w:pStyle w:val="Tabletext"/>
            </w:pPr>
            <w:r w:rsidRPr="00FC7F72">
              <w:t>EME activity</w:t>
            </w:r>
          </w:p>
        </w:tc>
        <w:tc>
          <w:tcPr>
            <w:tcW w:w="1017" w:type="pct"/>
          </w:tcPr>
          <w:p w14:paraId="0501BEBC" w14:textId="77777777" w:rsidR="004A7B16" w:rsidRPr="00FC7F72" w:rsidRDefault="004A7B16" w:rsidP="001C605F">
            <w:pPr>
              <w:pStyle w:val="Tabletext"/>
            </w:pPr>
            <w:r w:rsidRPr="00FC7F72">
              <w:t>5 × 24-hour contest periods</w:t>
            </w:r>
          </w:p>
        </w:tc>
        <w:tc>
          <w:tcPr>
            <w:tcW w:w="1912" w:type="pct"/>
          </w:tcPr>
          <w:p w14:paraId="2EFEF343" w14:textId="77777777" w:rsidR="004A7B16" w:rsidRPr="00FC7F72" w:rsidRDefault="004A7B16" w:rsidP="001C605F">
            <w:pPr>
              <w:pStyle w:val="Tabletext"/>
            </w:pPr>
            <w:r w:rsidRPr="00FC7F72">
              <w:t xml:space="preserve">Up to 10 </w:t>
            </w:r>
            <w:proofErr w:type="gramStart"/>
            <w:r w:rsidRPr="00FC7F72">
              <w:t>maximum</w:t>
            </w:r>
            <w:proofErr w:type="gramEnd"/>
            <w:r w:rsidRPr="00FC7F72">
              <w:t xml:space="preserve"> depending on the country reviewed.</w:t>
            </w:r>
          </w:p>
          <w:p w14:paraId="05C71754" w14:textId="77777777" w:rsidR="004A7B16" w:rsidRPr="00FC7F72" w:rsidRDefault="004A7B16" w:rsidP="001C605F">
            <w:pPr>
              <w:pStyle w:val="Tabletext"/>
            </w:pPr>
            <w:r w:rsidRPr="00FC7F72">
              <w:t>(Maximum &lt; 70 across the European area)</w:t>
            </w:r>
          </w:p>
        </w:tc>
        <w:tc>
          <w:tcPr>
            <w:tcW w:w="1105" w:type="pct"/>
          </w:tcPr>
          <w:p w14:paraId="41D697A8" w14:textId="77777777" w:rsidR="004A7B16" w:rsidRPr="00FC7F72" w:rsidRDefault="004A7B16" w:rsidP="001C605F">
            <w:pPr>
              <w:pStyle w:val="Tabletext"/>
            </w:pPr>
            <w:r w:rsidRPr="00FC7F72">
              <w:t>None</w:t>
            </w:r>
          </w:p>
        </w:tc>
      </w:tr>
      <w:tr w:rsidR="004A7B16" w:rsidRPr="00FC7F72" w14:paraId="798FDBED" w14:textId="77777777" w:rsidTr="00427840">
        <w:trPr>
          <w:cantSplit/>
          <w:jc w:val="center"/>
        </w:trPr>
        <w:tc>
          <w:tcPr>
            <w:tcW w:w="965" w:type="pct"/>
          </w:tcPr>
          <w:p w14:paraId="61B7FDC4" w14:textId="77777777" w:rsidR="004A7B16" w:rsidRPr="00FC7F72" w:rsidRDefault="004A7B16" w:rsidP="001C605F">
            <w:pPr>
              <w:pStyle w:val="Tabletext"/>
            </w:pPr>
            <w:r w:rsidRPr="00FC7F72">
              <w:lastRenderedPageBreak/>
              <w:t xml:space="preserve">Wideband </w:t>
            </w:r>
            <w:r>
              <w:t xml:space="preserve">(typically ATV) </w:t>
            </w:r>
            <w:r w:rsidRPr="00FC7F72">
              <w:t xml:space="preserve">activity period and radiosport </w:t>
            </w:r>
          </w:p>
        </w:tc>
        <w:tc>
          <w:tcPr>
            <w:tcW w:w="1017" w:type="pct"/>
          </w:tcPr>
          <w:p w14:paraId="6A8F2077" w14:textId="6A7E2837" w:rsidR="004A7B16" w:rsidRPr="00FC7F72" w:rsidRDefault="004A7B16" w:rsidP="001C605F">
            <w:pPr>
              <w:pStyle w:val="Tabletext"/>
            </w:pPr>
            <w:r w:rsidRPr="00FC7F72">
              <w:t>Total, on average 120</w:t>
            </w:r>
            <w:r w:rsidR="00427840">
              <w:t> </w:t>
            </w:r>
            <w:r w:rsidRPr="00FC7F72">
              <w:t>hours over a year</w:t>
            </w:r>
          </w:p>
        </w:tc>
        <w:tc>
          <w:tcPr>
            <w:tcW w:w="1912" w:type="pct"/>
          </w:tcPr>
          <w:p w14:paraId="0FDD7463" w14:textId="77777777" w:rsidR="004A7B16" w:rsidRPr="00FC7F72" w:rsidRDefault="004A7B16" w:rsidP="001C605F">
            <w:pPr>
              <w:pStyle w:val="Tabletext"/>
            </w:pPr>
            <w:r w:rsidRPr="00FC7F72">
              <w:t>From 1 to 24 maximum depending on the country reviewed.</w:t>
            </w:r>
          </w:p>
          <w:p w14:paraId="3DC6B6CF" w14:textId="77777777" w:rsidR="004A7B16" w:rsidRPr="00FC7F72" w:rsidRDefault="004A7B16" w:rsidP="001C605F">
            <w:pPr>
              <w:pStyle w:val="Tabletext"/>
            </w:pPr>
            <w:r w:rsidRPr="00FC7F72">
              <w:t>(Maximum &lt; 100 across the European area)</w:t>
            </w:r>
          </w:p>
        </w:tc>
        <w:tc>
          <w:tcPr>
            <w:tcW w:w="1105" w:type="pct"/>
          </w:tcPr>
          <w:p w14:paraId="0B5FE98F" w14:textId="77777777" w:rsidR="004A7B16" w:rsidRPr="00FC7F72" w:rsidRDefault="004A7B16" w:rsidP="001C605F">
            <w:pPr>
              <w:pStyle w:val="Tabletext"/>
            </w:pPr>
            <w:r w:rsidRPr="00FC7F72">
              <w:t xml:space="preserve">10 </w:t>
            </w:r>
            <w:proofErr w:type="gramStart"/>
            <w:r w:rsidRPr="00FC7F72">
              <w:t>maximum</w:t>
            </w:r>
            <w:proofErr w:type="gramEnd"/>
            <w:r w:rsidRPr="00FC7F72">
              <w:t xml:space="preserve"> depending on the country reviewed.</w:t>
            </w:r>
          </w:p>
        </w:tc>
      </w:tr>
    </w:tbl>
    <w:p w14:paraId="1EF51028" w14:textId="77777777" w:rsidR="004A7B16" w:rsidRPr="00FC7F72" w:rsidRDefault="004A7B16" w:rsidP="004A7B16">
      <w:pPr>
        <w:pStyle w:val="Tablefin"/>
      </w:pPr>
    </w:p>
    <w:p w14:paraId="3A798827" w14:textId="77777777" w:rsidR="004A7B16" w:rsidRPr="00FC7F72" w:rsidRDefault="004A7B16" w:rsidP="004A7B16">
      <w:r w:rsidRPr="00FC7F72">
        <w:t xml:space="preserve">Permanent installation stations present a different scenario when considering the operational time. </w:t>
      </w:r>
      <w:r w:rsidRPr="00FC7F72">
        <w:rPr>
          <w:rFonts w:cs="Arial"/>
          <w:bCs/>
        </w:rPr>
        <w:t xml:space="preserve">Unmanned amateur radio stations are more or less in continuous operation, while manned stations only transmit intermittently. </w:t>
      </w:r>
      <w:r w:rsidRPr="00FC7F72">
        <w:t xml:space="preserve">Propagation beacon and repeater station directories from a representative region can be consulted to develop the summary presented in </w:t>
      </w:r>
      <w:r>
        <w:t>T</w:t>
      </w:r>
      <w:r w:rsidRPr="00FC7F72">
        <w:t>able</w:t>
      </w:r>
      <w:r>
        <w:t xml:space="preserve"> 8</w:t>
      </w:r>
      <w:r w:rsidRPr="00FC7F72">
        <w:t xml:space="preserve">. </w:t>
      </w:r>
    </w:p>
    <w:p w14:paraId="63690DCB" w14:textId="77777777" w:rsidR="004A7B16" w:rsidRPr="00FC7F72" w:rsidRDefault="004A7B16" w:rsidP="00427840">
      <w:pPr>
        <w:pStyle w:val="TableNo"/>
      </w:pPr>
      <w:r w:rsidRPr="00427840">
        <w:t>Table</w:t>
      </w:r>
      <w:r w:rsidRPr="00FC7F72">
        <w:t xml:space="preserve"> 8</w:t>
      </w:r>
    </w:p>
    <w:p w14:paraId="5043057A" w14:textId="77777777" w:rsidR="004A7B16" w:rsidRPr="00FC7F72" w:rsidRDefault="004A7B16" w:rsidP="00427840">
      <w:pPr>
        <w:pStyle w:val="Tabletitle"/>
      </w:pPr>
      <w:r w:rsidRPr="00FC7F72">
        <w:t xml:space="preserve">Permanent Installation </w:t>
      </w:r>
      <w:r w:rsidRPr="00427840">
        <w:t>station</w:t>
      </w:r>
      <w:r w:rsidRPr="00FC7F72">
        <w:t xml:space="preserve">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2972"/>
        <w:gridCol w:w="3647"/>
        <w:gridCol w:w="3010"/>
      </w:tblGrid>
      <w:tr w:rsidR="004A7B16" w:rsidRPr="00FC7F72" w14:paraId="2B01E71C" w14:textId="77777777" w:rsidTr="00427840">
        <w:trPr>
          <w:cantSplit/>
          <w:jc w:val="center"/>
        </w:trPr>
        <w:tc>
          <w:tcPr>
            <w:tcW w:w="1543" w:type="pct"/>
          </w:tcPr>
          <w:p w14:paraId="36360644" w14:textId="77777777" w:rsidR="004A7B16" w:rsidRPr="00FC7F72" w:rsidRDefault="004A7B16" w:rsidP="001C605F">
            <w:pPr>
              <w:pStyle w:val="Tablehead"/>
              <w:keepLines/>
            </w:pPr>
            <w:r w:rsidRPr="00FC7F72">
              <w:t>Usage type</w:t>
            </w:r>
          </w:p>
        </w:tc>
        <w:tc>
          <w:tcPr>
            <w:tcW w:w="1894" w:type="pct"/>
          </w:tcPr>
          <w:p w14:paraId="519B3C96" w14:textId="77777777" w:rsidR="004A7B16" w:rsidRPr="00FC7F72" w:rsidRDefault="004A7B16" w:rsidP="001C605F">
            <w:pPr>
              <w:pStyle w:val="Tablehead"/>
              <w:keepLines/>
            </w:pPr>
            <w:r w:rsidRPr="00FC7F72">
              <w:t>Annual operation</w:t>
            </w:r>
          </w:p>
        </w:tc>
        <w:tc>
          <w:tcPr>
            <w:tcW w:w="1563" w:type="pct"/>
          </w:tcPr>
          <w:p w14:paraId="4B70372F" w14:textId="77777777" w:rsidR="004A7B16" w:rsidRPr="00FC7F72" w:rsidRDefault="004A7B16" w:rsidP="001C605F">
            <w:pPr>
              <w:pStyle w:val="Tablehead"/>
              <w:keepLines/>
            </w:pPr>
            <w:r w:rsidRPr="00FC7F72">
              <w:t>Active installations</w:t>
            </w:r>
          </w:p>
        </w:tc>
      </w:tr>
      <w:tr w:rsidR="004A7B16" w:rsidRPr="00FC7F72" w14:paraId="536287D3" w14:textId="77777777" w:rsidTr="00427840">
        <w:trPr>
          <w:cantSplit/>
          <w:jc w:val="center"/>
        </w:trPr>
        <w:tc>
          <w:tcPr>
            <w:tcW w:w="1543" w:type="pct"/>
          </w:tcPr>
          <w:p w14:paraId="030BD945" w14:textId="77777777" w:rsidR="004A7B16" w:rsidRPr="00FC7F72" w:rsidRDefault="004A7B16" w:rsidP="00427840">
            <w:pPr>
              <w:pStyle w:val="Tabletext"/>
            </w:pPr>
            <w:r w:rsidRPr="00FC7F72">
              <w:t xml:space="preserve">Narrow-band </w:t>
            </w:r>
            <w:r w:rsidRPr="00427840">
              <w:t>propagation</w:t>
            </w:r>
            <w:r w:rsidRPr="00FC7F72">
              <w:t xml:space="preserve"> beacons</w:t>
            </w:r>
          </w:p>
        </w:tc>
        <w:tc>
          <w:tcPr>
            <w:tcW w:w="1894" w:type="pct"/>
          </w:tcPr>
          <w:p w14:paraId="789AD31A" w14:textId="77777777" w:rsidR="004A7B16" w:rsidRPr="00FC7F72" w:rsidRDefault="004A7B16" w:rsidP="001C605F">
            <w:pPr>
              <w:pStyle w:val="Tabletext"/>
              <w:keepNext/>
              <w:keepLines/>
            </w:pPr>
            <w:r w:rsidRPr="00FC7F72">
              <w:t>Transmitting continuously usually.</w:t>
            </w:r>
          </w:p>
        </w:tc>
        <w:tc>
          <w:tcPr>
            <w:tcW w:w="1563" w:type="pct"/>
          </w:tcPr>
          <w:p w14:paraId="66A17EA3" w14:textId="77777777" w:rsidR="004A7B16" w:rsidRPr="00FC7F72" w:rsidRDefault="004A7B16" w:rsidP="001C605F">
            <w:pPr>
              <w:pStyle w:val="Tabletext"/>
              <w:keepNext/>
              <w:keepLines/>
            </w:pPr>
            <w:r w:rsidRPr="00FC7F72">
              <w:t xml:space="preserve">From 4 to 20 depending on the country reviewed. </w:t>
            </w:r>
          </w:p>
          <w:p w14:paraId="5C841D3D" w14:textId="77777777" w:rsidR="004A7B16" w:rsidRPr="00FC7F72" w:rsidRDefault="004A7B16" w:rsidP="001C605F">
            <w:pPr>
              <w:pStyle w:val="Tabletext"/>
              <w:keepNext/>
              <w:keepLines/>
            </w:pPr>
            <w:r w:rsidRPr="00FC7F72">
              <w:t>Region 1 = 88 in total.</w:t>
            </w:r>
          </w:p>
        </w:tc>
      </w:tr>
      <w:tr w:rsidR="004A7B16" w:rsidRPr="00FC7F72" w14:paraId="491BE6FA" w14:textId="77777777" w:rsidTr="00427840">
        <w:trPr>
          <w:cantSplit/>
          <w:jc w:val="center"/>
        </w:trPr>
        <w:tc>
          <w:tcPr>
            <w:tcW w:w="1543" w:type="pct"/>
          </w:tcPr>
          <w:p w14:paraId="06017B41" w14:textId="77777777" w:rsidR="004A7B16" w:rsidRPr="00FC7F72" w:rsidRDefault="004A7B16" w:rsidP="001C605F">
            <w:pPr>
              <w:pStyle w:val="Tabletext"/>
              <w:keepNext/>
              <w:keepLines/>
            </w:pPr>
            <w:r w:rsidRPr="00FC7F72">
              <w:t>Narrow-band repeaters</w:t>
            </w:r>
          </w:p>
        </w:tc>
        <w:tc>
          <w:tcPr>
            <w:tcW w:w="1894" w:type="pct"/>
          </w:tcPr>
          <w:p w14:paraId="01E218AD" w14:textId="77777777" w:rsidR="004A7B16" w:rsidRPr="00FC7F72" w:rsidRDefault="004A7B16" w:rsidP="001C605F">
            <w:pPr>
              <w:pStyle w:val="Tabletext"/>
              <w:keepNext/>
              <w:keepLines/>
            </w:pPr>
            <w:r w:rsidRPr="00FC7F72">
              <w:t>Low and only when activated on the input frequency by a user station.</w:t>
            </w:r>
          </w:p>
          <w:p w14:paraId="59D950D4" w14:textId="77777777" w:rsidR="004A7B16" w:rsidRPr="00FC7F72" w:rsidRDefault="004A7B16" w:rsidP="001C605F">
            <w:pPr>
              <w:pStyle w:val="Tabletext"/>
              <w:keepNext/>
              <w:keepLines/>
            </w:pPr>
            <w:r w:rsidRPr="00FC7F72">
              <w:t>May transmit more regularly if a beacon mode is present.</w:t>
            </w:r>
          </w:p>
        </w:tc>
        <w:tc>
          <w:tcPr>
            <w:tcW w:w="1563" w:type="pct"/>
          </w:tcPr>
          <w:p w14:paraId="00FEC6C3" w14:textId="77777777" w:rsidR="004A7B16" w:rsidRPr="00FC7F72" w:rsidRDefault="004A7B16" w:rsidP="001C605F">
            <w:pPr>
              <w:pStyle w:val="Tabletext"/>
              <w:keepNext/>
              <w:keepLines/>
            </w:pPr>
            <w:r w:rsidRPr="00FC7F72">
              <w:t>From 9 to 19 depending on the country reviewed.</w:t>
            </w:r>
          </w:p>
        </w:tc>
      </w:tr>
      <w:tr w:rsidR="004A7B16" w:rsidRPr="00FC7F72" w14:paraId="1FD89B97" w14:textId="77777777" w:rsidTr="00427840">
        <w:trPr>
          <w:cantSplit/>
          <w:jc w:val="center"/>
        </w:trPr>
        <w:tc>
          <w:tcPr>
            <w:tcW w:w="1543" w:type="pct"/>
          </w:tcPr>
          <w:p w14:paraId="4E78F13E" w14:textId="77777777" w:rsidR="004A7B16" w:rsidRPr="00FC7F72" w:rsidRDefault="004A7B16" w:rsidP="001C605F">
            <w:pPr>
              <w:pStyle w:val="Tabletext"/>
            </w:pPr>
            <w:r w:rsidRPr="00FC7F72">
              <w:t>ATV repeaters (the users are usually home stations)</w:t>
            </w:r>
          </w:p>
        </w:tc>
        <w:tc>
          <w:tcPr>
            <w:tcW w:w="1894" w:type="pct"/>
          </w:tcPr>
          <w:p w14:paraId="10CBB676" w14:textId="77777777" w:rsidR="004A7B16" w:rsidRPr="00FC7F72" w:rsidRDefault="004A7B16" w:rsidP="001C605F">
            <w:pPr>
              <w:pStyle w:val="Tabletext"/>
            </w:pPr>
            <w:r w:rsidRPr="00FC7F72">
              <w:t>Low and only when activated on the input frequency by a user station in a random and sporadic manner.</w:t>
            </w:r>
          </w:p>
          <w:p w14:paraId="722385A9" w14:textId="77777777" w:rsidR="004A7B16" w:rsidRPr="00FC7F72" w:rsidRDefault="004A7B16" w:rsidP="001C605F">
            <w:pPr>
              <w:pStyle w:val="Tabletext"/>
            </w:pPr>
            <w:r w:rsidRPr="00FC7F72">
              <w:t>May transmit more regularly if a beacon mode is present.</w:t>
            </w:r>
          </w:p>
        </w:tc>
        <w:tc>
          <w:tcPr>
            <w:tcW w:w="1563" w:type="pct"/>
          </w:tcPr>
          <w:p w14:paraId="57CB9875" w14:textId="77777777" w:rsidR="004A7B16" w:rsidRPr="00FC7F72" w:rsidRDefault="004A7B16" w:rsidP="001C605F">
            <w:pPr>
              <w:pStyle w:val="Tabletext"/>
            </w:pPr>
            <w:r w:rsidRPr="00FC7F72">
              <w:t xml:space="preserve">From 10 to 18 depending on the country reviewed. </w:t>
            </w:r>
          </w:p>
          <w:p w14:paraId="38A4A848" w14:textId="77777777" w:rsidR="004A7B16" w:rsidRPr="00FC7F72" w:rsidRDefault="004A7B16" w:rsidP="001C605F">
            <w:pPr>
              <w:pStyle w:val="Tabletext"/>
            </w:pPr>
            <w:r w:rsidRPr="00FC7F72">
              <w:t>5 to 10 users within the local coverage area transmitting one at a time.</w:t>
            </w:r>
          </w:p>
        </w:tc>
      </w:tr>
    </w:tbl>
    <w:p w14:paraId="2E569941" w14:textId="77777777" w:rsidR="00427840" w:rsidRDefault="00427840" w:rsidP="00427840">
      <w:pPr>
        <w:pStyle w:val="Tablefin"/>
      </w:pPr>
    </w:p>
    <w:p w14:paraId="53D5A3A1" w14:textId="76BC3BFF" w:rsidR="004A7B16" w:rsidRPr="00FC7F72" w:rsidRDefault="004A7B16" w:rsidP="00427840">
      <w:pPr>
        <w:pStyle w:val="Heading2"/>
      </w:pPr>
      <w:r>
        <w:t>2.6</w:t>
      </w:r>
      <w:r>
        <w:tab/>
      </w:r>
      <w:r w:rsidRPr="00FC7F72">
        <w:t xml:space="preserve">Activity factors of amateur transmitting stations in the </w:t>
      </w:r>
      <w:r w:rsidRPr="00FC7F72">
        <w:rPr>
          <w:lang w:val="en-US"/>
        </w:rPr>
        <w:t>1</w:t>
      </w:r>
      <w:r>
        <w:rPr>
          <w:lang w:val="en-US"/>
        </w:rPr>
        <w:t> </w:t>
      </w:r>
      <w:r w:rsidRPr="00FC7F72">
        <w:rPr>
          <w:lang w:val="en-US"/>
        </w:rPr>
        <w:t>240</w:t>
      </w:r>
      <w:r>
        <w:rPr>
          <w:lang w:val="en-US"/>
        </w:rPr>
        <w:noBreakHyphen/>
      </w:r>
      <w:r w:rsidRPr="00FC7F72">
        <w:rPr>
          <w:lang w:val="en-US"/>
        </w:rPr>
        <w:t>1</w:t>
      </w:r>
      <w:r w:rsidRPr="008F075C">
        <w:t> </w:t>
      </w:r>
      <w:r w:rsidRPr="00FC7F72">
        <w:rPr>
          <w:lang w:val="en-US"/>
        </w:rPr>
        <w:t>300</w:t>
      </w:r>
      <w:r>
        <w:rPr>
          <w:lang w:val="en-US"/>
        </w:rPr>
        <w:t> </w:t>
      </w:r>
      <w:r w:rsidRPr="00FC7F72">
        <w:rPr>
          <w:lang w:val="en-US"/>
        </w:rPr>
        <w:t>MHz band</w:t>
      </w:r>
    </w:p>
    <w:p w14:paraId="45F34509" w14:textId="77777777" w:rsidR="004A7B16" w:rsidRPr="00FC7F72" w:rsidRDefault="004A7B16" w:rsidP="004A7B16">
      <w:r w:rsidRPr="00FC7F72">
        <w:t xml:space="preserve">Activity factor considers the amount of time that any </w:t>
      </w:r>
      <w:proofErr w:type="gramStart"/>
      <w:r w:rsidRPr="00FC7F72">
        <w:t>particular station</w:t>
      </w:r>
      <w:proofErr w:type="gramEnd"/>
      <w:r w:rsidRPr="00FC7F72">
        <w:t xml:space="preserve">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20AC332D" w14:textId="77777777" w:rsidR="004A7B16" w:rsidRPr="00E951AC" w:rsidRDefault="004A7B16" w:rsidP="004A7B16">
      <w:pPr>
        <w:rPr>
          <w:spacing w:val="-4"/>
        </w:rPr>
      </w:pPr>
      <w:r w:rsidRPr="00E951AC">
        <w:rPr>
          <w:spacing w:val="-4"/>
        </w:rPr>
        <w:t>Maximum Activity Factor for home station and temporary “portable” stations = 50% and typically less.</w:t>
      </w:r>
    </w:p>
    <w:p w14:paraId="09341513" w14:textId="77777777" w:rsidR="004A7B16" w:rsidRPr="00FC7F72" w:rsidRDefault="004A7B16" w:rsidP="004A7B16">
      <w:r w:rsidRPr="00FC7F72">
        <w:t>Any permanent installation station operating in a beacon mode will exhibit a 100% activity factor.</w:t>
      </w:r>
    </w:p>
    <w:p w14:paraId="2E193792" w14:textId="2B70FEB5" w:rsidR="004A7B16" w:rsidRPr="00FC7F72" w:rsidRDefault="004A7B16" w:rsidP="00427840">
      <w:pPr>
        <w:pStyle w:val="Heading2"/>
      </w:pPr>
      <w:r>
        <w:t>2.7</w:t>
      </w:r>
      <w:r>
        <w:tab/>
      </w:r>
      <w:r w:rsidRPr="00FC7F72">
        <w:t xml:space="preserve">User density of amateur transmitting stations in the </w:t>
      </w:r>
      <w:r w:rsidRPr="00FC7F72">
        <w:rPr>
          <w:lang w:val="en-US"/>
        </w:rPr>
        <w:t>1 240-1 300 MHz band</w:t>
      </w:r>
    </w:p>
    <w:p w14:paraId="1875A253" w14:textId="77777777" w:rsidR="004A7B16" w:rsidRPr="00FC7F72" w:rsidRDefault="004A7B16" w:rsidP="004A7B16">
      <w:pPr>
        <w:pStyle w:val="Headingi"/>
      </w:pPr>
      <w:r w:rsidRPr="00FC7F72">
        <w:t>1)</w:t>
      </w:r>
      <w:r w:rsidRPr="00FC7F72">
        <w:tab/>
        <w:t xml:space="preserve">Home station and temporary “portable” station </w:t>
      </w:r>
    </w:p>
    <w:p w14:paraId="73E10C29" w14:textId="77777777" w:rsidR="004A7B16" w:rsidRPr="00FC7F72" w:rsidRDefault="004A7B16" w:rsidP="004A7B16">
      <w:pPr>
        <w:pStyle w:val="enumlev1"/>
      </w:pPr>
      <w:r w:rsidRPr="00FC7F72">
        <w:t>–</w:t>
      </w:r>
      <w:r w:rsidRPr="00FC7F72">
        <w:tab/>
        <w:t>For narrow-band activity periods the maximum density of transmitting stations = 0.000 2 </w:t>
      </w:r>
      <w:r>
        <w:t>stations/</w:t>
      </w:r>
      <w:r w:rsidRPr="00FC7F72">
        <w:t>km</w:t>
      </w:r>
      <w:r w:rsidRPr="00FC7F72">
        <w:rPr>
          <w:vertAlign w:val="superscript"/>
        </w:rPr>
        <w:t>2</w:t>
      </w:r>
      <w:r>
        <w:t>.</w:t>
      </w:r>
    </w:p>
    <w:p w14:paraId="1B9C8213" w14:textId="77777777" w:rsidR="004A7B16" w:rsidRPr="00FC7F72" w:rsidRDefault="004A7B16" w:rsidP="004A7B16">
      <w:pPr>
        <w:pStyle w:val="enumlev1"/>
      </w:pPr>
      <w:r w:rsidRPr="00FC7F72">
        <w:t>–</w:t>
      </w:r>
      <w:r w:rsidRPr="00FC7F72">
        <w:tab/>
        <w:t>For wideband activity periods the maximum density of transmitting stations = 0.000 1 </w:t>
      </w:r>
      <w:r>
        <w:t>stations/</w:t>
      </w:r>
      <w:r w:rsidRPr="00FC7F72">
        <w:t>km</w:t>
      </w:r>
      <w:r w:rsidRPr="00FC7F72">
        <w:rPr>
          <w:vertAlign w:val="superscript"/>
        </w:rPr>
        <w:t>2</w:t>
      </w:r>
      <w:r>
        <w:t>.</w:t>
      </w:r>
      <w:r w:rsidRPr="00FC7F72">
        <w:t xml:space="preserve"> </w:t>
      </w:r>
    </w:p>
    <w:p w14:paraId="5E36CC12" w14:textId="77777777" w:rsidR="004A7B16" w:rsidRPr="00FC7F72" w:rsidRDefault="004A7B16" w:rsidP="004A7B16">
      <w:pPr>
        <w:pStyle w:val="enumlev1"/>
      </w:pPr>
      <w:r w:rsidRPr="00FC7F72">
        <w:t>–</w:t>
      </w:r>
      <w:r w:rsidRPr="00FC7F72">
        <w:tab/>
        <w:t xml:space="preserve">For EME operations the maximum density of transmitting stations = </w:t>
      </w:r>
      <w:r>
        <w:br/>
      </w:r>
      <w:r w:rsidRPr="00FC7F72">
        <w:t xml:space="preserve">0.000 013 </w:t>
      </w:r>
      <w:r>
        <w:t>stations/</w:t>
      </w:r>
      <w:r w:rsidRPr="00FC7F72">
        <w:t>km</w:t>
      </w:r>
      <w:r w:rsidRPr="00FC7F72">
        <w:rPr>
          <w:vertAlign w:val="superscript"/>
        </w:rPr>
        <w:t>2</w:t>
      </w:r>
      <w:r>
        <w:t>.</w:t>
      </w:r>
      <w:r w:rsidRPr="00FC7F72">
        <w:t xml:space="preserve"> </w:t>
      </w:r>
    </w:p>
    <w:p w14:paraId="773FBF14" w14:textId="77777777" w:rsidR="004A7B16" w:rsidRPr="00FC7F72" w:rsidRDefault="004A7B16" w:rsidP="004A7B16">
      <w:r w:rsidRPr="00FC7F72">
        <w:t>Recognising that not all active stations may submit a record of their activities, a 33% uplift has been added to the total active stations per scheduled operating period from Table 7.</w:t>
      </w:r>
    </w:p>
    <w:p w14:paraId="63925BB9" w14:textId="77777777" w:rsidR="004A7B16" w:rsidRPr="00FC7F72" w:rsidRDefault="004A7B16" w:rsidP="004A7B16">
      <w:pPr>
        <w:pStyle w:val="Headingi"/>
      </w:pPr>
      <w:r w:rsidRPr="00FC7F72">
        <w:lastRenderedPageBreak/>
        <w:t>2)</w:t>
      </w:r>
      <w:r w:rsidRPr="00FC7F72">
        <w:tab/>
        <w:t>Permanent installation</w:t>
      </w:r>
    </w:p>
    <w:p w14:paraId="00D5B2FC" w14:textId="77777777" w:rsidR="004A7B16" w:rsidRPr="00FC7F72" w:rsidRDefault="004A7B16" w:rsidP="004A7B16">
      <w:pPr>
        <w:pStyle w:val="enumlev1"/>
      </w:pPr>
      <w:r w:rsidRPr="00FC7F72">
        <w:t>–</w:t>
      </w:r>
      <w:r w:rsidRPr="00FC7F72">
        <w:tab/>
        <w:t xml:space="preserve">For narrow-band data and voice repeaters the average density of transmitting stations = 0.000 3 </w:t>
      </w:r>
      <w:r>
        <w:t>stations/</w:t>
      </w:r>
      <w:r w:rsidRPr="00FC7F72">
        <w:t>km</w:t>
      </w:r>
      <w:r w:rsidRPr="00FC7F72">
        <w:rPr>
          <w:vertAlign w:val="superscript"/>
        </w:rPr>
        <w:t>2</w:t>
      </w:r>
      <w:r>
        <w:t>.</w:t>
      </w:r>
      <w:r w:rsidRPr="00FC7F72">
        <w:t xml:space="preserve"> </w:t>
      </w:r>
    </w:p>
    <w:p w14:paraId="21401ACE" w14:textId="77777777" w:rsidR="004A7B16" w:rsidRPr="00FC7F72" w:rsidRDefault="004A7B16" w:rsidP="004A7B16">
      <w:pPr>
        <w:pStyle w:val="enumlev1"/>
      </w:pPr>
      <w:r w:rsidRPr="00FC7F72">
        <w:t>–</w:t>
      </w:r>
      <w:r w:rsidRPr="00FC7F72">
        <w:tab/>
        <w:t>For wideband ATV repeaters, the average density of transmitting stations = 0.000 1 </w:t>
      </w:r>
      <w:r>
        <w:t>stations/</w:t>
      </w:r>
      <w:r w:rsidRPr="00FC7F72">
        <w:t>km</w:t>
      </w:r>
      <w:r w:rsidRPr="00FC7F72">
        <w:rPr>
          <w:vertAlign w:val="superscript"/>
        </w:rPr>
        <w:t>2</w:t>
      </w:r>
      <w:r>
        <w:t>.</w:t>
      </w:r>
      <w:r w:rsidRPr="00FC7F72">
        <w:t xml:space="preserve"> </w:t>
      </w:r>
    </w:p>
    <w:p w14:paraId="33511F96" w14:textId="77777777" w:rsidR="004A7B16" w:rsidRDefault="004A7B16" w:rsidP="004A7B16">
      <w:pPr>
        <w:pStyle w:val="enumlev1"/>
      </w:pPr>
      <w:r w:rsidRPr="00FC7F72">
        <w:t>–</w:t>
      </w:r>
      <w:r w:rsidRPr="00FC7F72">
        <w:tab/>
        <w:t xml:space="preserve">For propagation radio beacon stations, the average density of transmitting stations = 0.000 1 </w:t>
      </w:r>
      <w:r>
        <w:t>stations/</w:t>
      </w:r>
      <w:r w:rsidRPr="00FC7F72">
        <w:t>km</w:t>
      </w:r>
      <w:r w:rsidRPr="00FC7F72">
        <w:rPr>
          <w:vertAlign w:val="superscript"/>
        </w:rPr>
        <w:t>2</w:t>
      </w:r>
      <w:r>
        <w:t>.</w:t>
      </w:r>
      <w:r w:rsidRPr="00FC7F72">
        <w:t xml:space="preserve"> </w:t>
      </w:r>
    </w:p>
    <w:p w14:paraId="07F25608" w14:textId="758CB0F7" w:rsidR="00F157BC" w:rsidRPr="00A327B0" w:rsidRDefault="00BD3CF9" w:rsidP="00696A7B">
      <w:pPr>
        <w:pStyle w:val="Heading1"/>
      </w:pPr>
      <w:r>
        <w:t>3</w:t>
      </w:r>
      <w:r>
        <w:tab/>
      </w:r>
      <w:r w:rsidR="00F157BC" w:rsidRPr="00A327B0">
        <w:t>To be determined</w:t>
      </w:r>
    </w:p>
    <w:p w14:paraId="52AD5724" w14:textId="5E0F3BAC" w:rsidR="00F157BC" w:rsidRPr="00696A7B" w:rsidRDefault="005D3EAD" w:rsidP="00696A7B">
      <w:pPr>
        <w:pStyle w:val="EditorsNote"/>
      </w:pPr>
      <w:r w:rsidRPr="005D3EAD">
        <w:rPr>
          <w:highlight w:val="yellow"/>
        </w:rPr>
        <w:t>[</w:t>
      </w:r>
      <w:r w:rsidR="00F157BC" w:rsidRPr="005D3EAD">
        <w:rPr>
          <w:highlight w:val="yellow"/>
        </w:rPr>
        <w:t xml:space="preserve">Editor’s note: </w:t>
      </w:r>
      <w:r w:rsidR="00F157BC" w:rsidRPr="005D3EAD">
        <w:rPr>
          <w:rFonts w:eastAsia="MS Mincho"/>
          <w:highlight w:val="yellow"/>
        </w:rPr>
        <w:t>Put stuff here…</w:t>
      </w:r>
      <w:r w:rsidR="00F157BC" w:rsidRPr="005D3EAD">
        <w:rPr>
          <w:highlight w:val="yellow"/>
        </w:rPr>
        <w:t xml:space="preserve"> input contributions needed, maybe WP 4C study results.</w:t>
      </w:r>
      <w:r w:rsidRPr="005D3EAD">
        <w:rPr>
          <w:highlight w:val="yellow"/>
        </w:rPr>
        <w:t>]</w:t>
      </w:r>
    </w:p>
    <w:p w14:paraId="02741FB5" w14:textId="77777777" w:rsidR="00F157BC" w:rsidRPr="00A327B0" w:rsidRDefault="00F157BC" w:rsidP="006E79D1">
      <w:pPr>
        <w:rPr>
          <w:lang w:eastAsia="ja-JP"/>
        </w:rPr>
      </w:pPr>
      <w:bookmarkStart w:id="10" w:name="_Toc42678840"/>
      <w:bookmarkStart w:id="11" w:name="_Toc58238736"/>
      <w:bookmarkStart w:id="12" w:name="_Toc74315853"/>
      <w:r w:rsidRPr="00A327B0">
        <w:rPr>
          <w:lang w:eastAsia="ja-JP"/>
        </w:rPr>
        <w:t>…</w:t>
      </w:r>
    </w:p>
    <w:p w14:paraId="3BF12704" w14:textId="7194C3F4" w:rsidR="00F157BC" w:rsidRPr="00A327B0" w:rsidRDefault="005A67A5" w:rsidP="00BD3CF9">
      <w:pPr>
        <w:pStyle w:val="Heading1"/>
      </w:pPr>
      <w:r>
        <w:rPr>
          <w:lang w:eastAsia="ja-JP"/>
        </w:rPr>
        <w:t>X</w:t>
      </w:r>
      <w:r w:rsidR="00F157BC" w:rsidRPr="00A327B0">
        <w:tab/>
      </w:r>
      <w:r w:rsidR="00F157BC" w:rsidRPr="00A327B0">
        <w:rPr>
          <w:lang w:eastAsia="ja-JP"/>
        </w:rPr>
        <w:t xml:space="preserve">Conclusion </w:t>
      </w:r>
      <w:r w:rsidR="00F157BC" w:rsidRPr="00A327B0">
        <w:t xml:space="preserve"> </w:t>
      </w:r>
    </w:p>
    <w:bookmarkEnd w:id="8"/>
    <w:bookmarkEnd w:id="10"/>
    <w:bookmarkEnd w:id="11"/>
    <w:bookmarkEnd w:id="12"/>
    <w:p w14:paraId="0A7ED1A8" w14:textId="77777777" w:rsidR="00F157BC" w:rsidRPr="00A327B0" w:rsidRDefault="00F157BC" w:rsidP="006E79D1"/>
    <w:p w14:paraId="52E03E08" w14:textId="77777777" w:rsidR="006E79D1" w:rsidRPr="00A327B0" w:rsidRDefault="00F157BC" w:rsidP="00F157BC">
      <w:pPr>
        <w:jc w:val="center"/>
        <w:rPr>
          <w:b/>
        </w:rPr>
      </w:pPr>
      <w:r w:rsidRPr="00A327B0">
        <w:t>______________</w:t>
      </w:r>
    </w:p>
    <w:sectPr w:rsidR="006E79D1" w:rsidRPr="00A327B0"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2577C" w14:textId="77777777" w:rsidR="007E7FE2" w:rsidRDefault="007E7FE2">
      <w:r>
        <w:separator/>
      </w:r>
    </w:p>
  </w:endnote>
  <w:endnote w:type="continuationSeparator" w:id="0">
    <w:p w14:paraId="502A2ECB" w14:textId="77777777" w:rsidR="007E7FE2" w:rsidRDefault="007E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894F" w14:textId="4DA45F5B" w:rsidR="006E79D1" w:rsidRPr="002F7CB3" w:rsidRDefault="005D3EAD" w:rsidP="00A327B0">
    <w:pPr>
      <w:pStyle w:val="Footer"/>
      <w:rPr>
        <w:lang w:val="en-US"/>
      </w:rPr>
    </w:pPr>
    <w:fldSimple w:instr=" FILENAME \p \* MERGEFORMAT ">
      <w:r w:rsidR="004117B5" w:rsidRPr="004117B5">
        <w:rPr>
          <w:lang w:val="en-US"/>
        </w:rPr>
        <w:t>M</w:t>
      </w:r>
      <w:r w:rsidR="004117B5">
        <w:t>:\BRSGD\TEXT2019\SG05\WP5A\200\221\221N10e.docx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DEAB" w14:textId="6C69E830" w:rsidR="006E79D1" w:rsidRPr="00F43C8B" w:rsidRDefault="00F43C8B" w:rsidP="00F43C8B">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4117B5">
      <w:rPr>
        <w:caps/>
        <w:noProof/>
        <w:sz w:val="16"/>
        <w:lang w:val="en-US"/>
      </w:rPr>
      <w:t>M:\BRSGD\TEXT2019\SG05\WP5A\200\221\221N10e.docx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FE34" w14:textId="77777777" w:rsidR="007E7FE2" w:rsidRDefault="007E7FE2">
      <w:r>
        <w:t>____________________</w:t>
      </w:r>
    </w:p>
  </w:footnote>
  <w:footnote w:type="continuationSeparator" w:id="0">
    <w:p w14:paraId="1E4F3C1F" w14:textId="77777777" w:rsidR="007E7FE2" w:rsidRDefault="007E7FE2">
      <w:r>
        <w:continuationSeparator/>
      </w:r>
    </w:p>
  </w:footnote>
  <w:footnote w:id="1">
    <w:p w14:paraId="4A359F29" w14:textId="56EF8885" w:rsidR="004A7B16" w:rsidRPr="00FC7F72" w:rsidRDefault="004A7B16" w:rsidP="004A7B16">
      <w:pPr>
        <w:pStyle w:val="FootnoteText"/>
        <w:rPr>
          <w:lang w:val="en-AU"/>
        </w:rPr>
      </w:pPr>
      <w:r w:rsidRPr="00FC7F72">
        <w:rPr>
          <w:rStyle w:val="FootnoteReference"/>
        </w:rPr>
        <w:footnoteRef/>
      </w:r>
      <w:r w:rsidR="004117B5">
        <w:tab/>
      </w:r>
      <w:r w:rsidRPr="00FC7F72">
        <w:rPr>
          <w:lang w:val="en-AU"/>
        </w:rPr>
        <w:t xml:space="preserve">See the </w:t>
      </w:r>
      <w:hyperlink r:id="rId1" w:history="1">
        <w:r w:rsidRPr="00FC7F72">
          <w:rPr>
            <w:rStyle w:val="Hyperlink"/>
            <w:lang w:val="en-AU"/>
          </w:rPr>
          <w:t>ITU Amateur and amateur-satellite</w:t>
        </w:r>
      </w:hyperlink>
      <w:r w:rsidRPr="00FC7F72">
        <w:rPr>
          <w:lang w:val="en-AU"/>
        </w:rPr>
        <w:t xml:space="preserve"> handbook for further details of </w:t>
      </w:r>
      <w:proofErr w:type="spellStart"/>
      <w:r w:rsidRPr="00FC7F72">
        <w:rPr>
          <w:lang w:val="en-AU"/>
        </w:rPr>
        <w:t>radiosport</w:t>
      </w:r>
      <w:proofErr w:type="spellEnd"/>
      <w:r w:rsidRPr="00FC7F72">
        <w:rPr>
          <w:lang w:val="en-AU"/>
        </w:rPr>
        <w:t xml:space="preserve"> activities.</w:t>
      </w:r>
    </w:p>
  </w:footnote>
  <w:footnote w:id="2">
    <w:p w14:paraId="0627CC0A" w14:textId="68473C1E" w:rsidR="004A7B16" w:rsidRPr="00FC7F72" w:rsidRDefault="004A7B16" w:rsidP="004A7B16">
      <w:pPr>
        <w:pStyle w:val="FootnoteText"/>
        <w:rPr>
          <w:lang w:val="en-US"/>
        </w:rPr>
      </w:pPr>
      <w:r w:rsidRPr="00FC7F72">
        <w:rPr>
          <w:rStyle w:val="FootnoteReference"/>
        </w:rPr>
        <w:footnoteRef/>
      </w:r>
      <w:r w:rsidR="004117B5">
        <w:tab/>
      </w:r>
      <w:r w:rsidRPr="00FC7F72">
        <w:rPr>
          <w:lang w:val="en-US"/>
        </w:rPr>
        <w:t>Slow Scan Television (SSTV) is an imaging protocol which us issued to transmit images at a relatively low speed by using a frequency modulated subcarrier or digital encoding. Such transmissions are designed to fit within the bandwidth of a voice channel.</w:t>
      </w:r>
    </w:p>
  </w:footnote>
  <w:footnote w:id="3">
    <w:p w14:paraId="3FCB5939" w14:textId="4499D4F4" w:rsidR="004A7B16" w:rsidRPr="004117B5" w:rsidRDefault="004A7B16" w:rsidP="004A7B16">
      <w:pPr>
        <w:pStyle w:val="FootnoteText"/>
        <w:rPr>
          <w:lang w:val="en-US"/>
        </w:rPr>
      </w:pPr>
      <w:r w:rsidRPr="00FC7F72">
        <w:rPr>
          <w:rStyle w:val="FootnoteReference"/>
        </w:rPr>
        <w:footnoteRef/>
      </w:r>
      <w:r w:rsidR="004117B5">
        <w:tab/>
      </w:r>
      <w:r w:rsidRPr="004117B5">
        <w:rPr>
          <w:spacing w:val="-2"/>
          <w:lang w:val="en-US"/>
        </w:rPr>
        <w:t xml:space="preserve">See </w:t>
      </w:r>
      <w:hyperlink r:id="rId2" w:history="1">
        <w:r w:rsidRPr="004117B5">
          <w:rPr>
            <w:rStyle w:val="Hyperlink"/>
            <w:spacing w:val="-2"/>
          </w:rPr>
          <w:t>Recommendation ITU-R M.2034-0</w:t>
        </w:r>
      </w:hyperlink>
      <w:r w:rsidRPr="004117B5">
        <w:rPr>
          <w:spacing w:val="-2"/>
        </w:rPr>
        <w:t xml:space="preserve"> which establishes a telegraphic alphabet and transmission </w:t>
      </w:r>
      <w:r w:rsidRPr="004117B5">
        <w:t>protocols for phase shift keying at 31 baud (PSK31) in the amateur and amateur-satellite services.</w:t>
      </w:r>
    </w:p>
  </w:footnote>
  <w:footnote w:id="4">
    <w:p w14:paraId="772AC562" w14:textId="77777777" w:rsidR="004A7B16" w:rsidRPr="00FC7F72" w:rsidRDefault="004A7B16" w:rsidP="004A7B16">
      <w:pPr>
        <w:pStyle w:val="FootnoteText"/>
        <w:rPr>
          <w:lang w:val="en-US"/>
        </w:rPr>
      </w:pPr>
      <w:r w:rsidRPr="00FC7F72">
        <w:rPr>
          <w:rStyle w:val="FootnoteReference"/>
        </w:rPr>
        <w:footnoteRef/>
      </w:r>
      <w:r w:rsidRPr="00FC7F72">
        <w:tab/>
      </w:r>
      <w:r w:rsidRPr="00FC7F72">
        <w:rPr>
          <w:lang w:val="en-US"/>
        </w:rPr>
        <w:t>These WSJT applications consist of a number of highly structured data modes which send a limited amount of data with strong Forward Error Correction which allows the data to be recovered at very low signal-to-noise ratios. WSJT modes – Weak Signal Joe Taylor – are named after their inventor Dr. Joe Taylor.</w:t>
      </w:r>
    </w:p>
  </w:footnote>
  <w:footnote w:id="5">
    <w:p w14:paraId="3EE32D19" w14:textId="6C39D4EE" w:rsidR="004A7B16" w:rsidRPr="00FC7F72" w:rsidRDefault="004A7B16" w:rsidP="004A7B16">
      <w:pPr>
        <w:pStyle w:val="FootnoteText"/>
        <w:rPr>
          <w:lang w:val="en-AU"/>
        </w:rPr>
      </w:pPr>
      <w:r w:rsidRPr="00FC7F72">
        <w:rPr>
          <w:rStyle w:val="FootnoteReference"/>
        </w:rPr>
        <w:footnoteRef/>
      </w:r>
      <w:r w:rsidR="004117B5">
        <w:tab/>
      </w:r>
      <w:r w:rsidRPr="00FC7F72">
        <w:t>D-STAR (Digital Smart Technologies for Amateur Radio) is a digital voice and data protocol specification for amateur radio. The system was developed in the late 1990s by the Japan Amateur Radio League and uses minimum-shift keying in its packet-based standard.</w:t>
      </w:r>
    </w:p>
  </w:footnote>
  <w:footnote w:id="6">
    <w:p w14:paraId="2C45F286" w14:textId="77777777" w:rsidR="004A7B16" w:rsidRPr="00B47CD0" w:rsidRDefault="004A7B16" w:rsidP="004A7B16">
      <w:pPr>
        <w:pStyle w:val="FootnoteText"/>
        <w:rPr>
          <w:lang w:val="en-US"/>
        </w:rPr>
      </w:pPr>
      <w:r>
        <w:rPr>
          <w:rStyle w:val="FootnoteReference"/>
        </w:rPr>
        <w:footnoteRef/>
      </w:r>
      <w:r>
        <w:tab/>
      </w:r>
      <w:r w:rsidRPr="00FC7F72">
        <w:rPr>
          <w:lang w:val="en-US"/>
        </w:rPr>
        <w:t xml:space="preserve">Earth-Moon-Earth (EME)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7">
    <w:p w14:paraId="1275BB60" w14:textId="0D317A29" w:rsidR="004A7B16" w:rsidRPr="00FC7F72" w:rsidRDefault="004A7B16" w:rsidP="004A7B16">
      <w:pPr>
        <w:pStyle w:val="FootnoteText"/>
        <w:rPr>
          <w:lang w:val="en-US"/>
        </w:rPr>
      </w:pPr>
      <w:r>
        <w:rPr>
          <w:rStyle w:val="FootnoteReference"/>
        </w:rPr>
        <w:footnoteRef/>
      </w:r>
      <w:r w:rsidR="004117B5">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 xml:space="preserve">extract from the database of one administration on unmanned amateur radio stations parameters, the antenna </w:t>
      </w:r>
      <w:proofErr w:type="gramStart"/>
      <w:r w:rsidRPr="00FC7F72">
        <w:rPr>
          <w:color w:val="000000" w:themeColor="text1"/>
          <w:lang w:val="en-US"/>
        </w:rPr>
        <w:t>gain</w:t>
      </w:r>
      <w:proofErr w:type="gramEnd"/>
      <w:r w:rsidRPr="00FC7F72">
        <w:rPr>
          <w:color w:val="000000" w:themeColor="text1"/>
          <w:lang w:val="en-US"/>
        </w:rPr>
        <w:t xml:space="preserve">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 </w:t>
      </w:r>
      <w:proofErr w:type="spellStart"/>
      <w:r w:rsidRPr="00FC7F72">
        <w:rPr>
          <w:color w:val="000000" w:themeColor="text1"/>
          <w:lang w:val="en-US"/>
        </w:rPr>
        <w:t>dBi</w:t>
      </w:r>
      <w:proofErr w:type="spellEnd"/>
      <w:r w:rsidRPr="00FC7F72">
        <w:rPr>
          <w:color w:val="000000" w:themeColor="text1"/>
          <w:lang w:val="en-US"/>
        </w:rPr>
        <w:t>, 11.2</w:t>
      </w:r>
      <w:r w:rsidR="00427840">
        <w:rPr>
          <w:color w:val="000000" w:themeColor="text1"/>
          <w:lang w:val="en-US"/>
        </w:rPr>
        <w:t> </w:t>
      </w:r>
      <w:proofErr w:type="spellStart"/>
      <w:r w:rsidRPr="00FC7F72">
        <w:rPr>
          <w:color w:val="000000" w:themeColor="text1"/>
          <w:lang w:val="en-US"/>
        </w:rPr>
        <w:t>dBi</w:t>
      </w:r>
      <w:proofErr w:type="spellEnd"/>
      <w:r w:rsidRPr="00FC7F72">
        <w:rPr>
          <w:color w:val="000000" w:themeColor="text1"/>
          <w:lang w:val="en-US"/>
        </w:rPr>
        <w:t xml:space="preserve"> and 12.7 </w:t>
      </w:r>
      <w:proofErr w:type="spellStart"/>
      <w:r w:rsidRPr="00FC7F72">
        <w:rPr>
          <w:color w:val="000000" w:themeColor="text1"/>
          <w:lang w:val="en-US"/>
        </w:rPr>
        <w:t>dBi</w:t>
      </w:r>
      <w:proofErr w:type="spellEnd"/>
      <w:r w:rsidRPr="00FC7F72">
        <w:rPr>
          <w:color w:val="000000" w:themeColor="text1"/>
          <w:lang w:val="en-US"/>
        </w:rPr>
        <w:t xml:space="preserve">. Minimum and maximum gain are found to be 2.15 </w:t>
      </w:r>
      <w:proofErr w:type="spellStart"/>
      <w:r w:rsidRPr="00FC7F72">
        <w:rPr>
          <w:color w:val="000000" w:themeColor="text1"/>
          <w:lang w:val="en-US"/>
        </w:rPr>
        <w:t>dBi</w:t>
      </w:r>
      <w:proofErr w:type="spellEnd"/>
      <w:r w:rsidRPr="00FC7F72">
        <w:rPr>
          <w:color w:val="000000" w:themeColor="text1"/>
          <w:lang w:val="en-US"/>
        </w:rPr>
        <w:t xml:space="preserve"> and 21.5 </w:t>
      </w:r>
      <w:proofErr w:type="spellStart"/>
      <w:r w:rsidRPr="00FC7F72">
        <w:rPr>
          <w:color w:val="000000" w:themeColor="text1"/>
          <w:lang w:val="en-US"/>
        </w:rPr>
        <w:t>dBi</w:t>
      </w:r>
      <w:proofErr w:type="spellEnd"/>
      <w:r w:rsidRPr="00FC7F72">
        <w:rPr>
          <w:color w:val="000000" w:themeColor="text1"/>
          <w:lang w:val="en-US"/>
        </w:rPr>
        <w:t xml:space="preserve">. However, a gain of 21.5 </w:t>
      </w:r>
      <w:proofErr w:type="spellStart"/>
      <w:r w:rsidRPr="00FC7F72">
        <w:rPr>
          <w:color w:val="000000" w:themeColor="text1"/>
          <w:lang w:val="en-US"/>
        </w:rPr>
        <w:t>dBi</w:t>
      </w:r>
      <w:proofErr w:type="spellEnd"/>
      <w:r w:rsidRPr="00FC7F72">
        <w:rPr>
          <w:color w:val="000000" w:themeColor="text1"/>
          <w:lang w:val="en-US"/>
        </w:rPr>
        <w:t xml:space="preserve"> is exceptionally high in this application. It should be noted, that those installations mostly operate in hilly and mountainous areas.</w:t>
      </w:r>
    </w:p>
  </w:footnote>
  <w:footnote w:id="8">
    <w:p w14:paraId="49A20A4C" w14:textId="4CC66650" w:rsidR="004A7B16" w:rsidRPr="00FC7F72" w:rsidRDefault="004A7B16" w:rsidP="004A7B16">
      <w:pPr>
        <w:pStyle w:val="FootnoteText"/>
        <w:rPr>
          <w:lang w:val="en-US"/>
        </w:rPr>
      </w:pPr>
      <w:r w:rsidRPr="009E2E12">
        <w:rPr>
          <w:rStyle w:val="FootnoteReference"/>
        </w:rPr>
        <w:footnoteRef/>
      </w:r>
      <w:r w:rsidR="00427840">
        <w:tab/>
      </w:r>
      <w:r w:rsidRPr="00FC7F72">
        <w:rPr>
          <w:lang w:val="en-US"/>
        </w:rPr>
        <w:t xml:space="preserve">Feeder loss not included which may be up to 3 </w:t>
      </w:r>
      <w:proofErr w:type="spellStart"/>
      <w:r w:rsidRPr="00FC7F72">
        <w:rPr>
          <w:lang w:val="en-US"/>
        </w:rPr>
        <w:t>dB</w:t>
      </w:r>
      <w:r w:rsidR="00427840">
        <w:rPr>
          <w:lang w:val="en-US"/>
        </w:rPr>
        <w:t>.</w:t>
      </w:r>
      <w:proofErr w:type="spellEnd"/>
    </w:p>
  </w:footnote>
  <w:footnote w:id="9">
    <w:p w14:paraId="6871D6D4" w14:textId="65959A16" w:rsidR="004A7B16" w:rsidRPr="00427840" w:rsidRDefault="004A7B16" w:rsidP="00427840">
      <w:pPr>
        <w:tabs>
          <w:tab w:val="clear" w:pos="1134"/>
          <w:tab w:val="left" w:pos="284"/>
        </w:tabs>
        <w:rPr>
          <w:rStyle w:val="FootnoteTextChar"/>
          <w:spacing w:val="-2"/>
          <w:lang w:val="en-US"/>
        </w:rPr>
      </w:pPr>
      <w:r w:rsidRPr="00FC7F72">
        <w:rPr>
          <w:rStyle w:val="FootnoteReference"/>
        </w:rPr>
        <w:footnoteRef/>
      </w:r>
      <w:r w:rsidR="00427840">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0">
    <w:p w14:paraId="724B7F52" w14:textId="77777777" w:rsidR="004A7B16" w:rsidRDefault="004A7B16" w:rsidP="004A7B16">
      <w:pPr>
        <w:pStyle w:val="FootnoteText"/>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4DDAE" w14:textId="77777777" w:rsidR="006E79D1" w:rsidRDefault="006E79D1" w:rsidP="00A327B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9A92CFC" w14:textId="4E89C16E" w:rsidR="006E79D1" w:rsidRDefault="006E79D1" w:rsidP="00A327B0">
    <w:pPr>
      <w:pStyle w:val="Header"/>
      <w:rPr>
        <w:lang w:val="en-US"/>
      </w:rPr>
    </w:pPr>
    <w:r>
      <w:rPr>
        <w:lang w:val="en-US"/>
      </w:rPr>
      <w:t>5A/</w:t>
    </w:r>
    <w:r w:rsidR="00696A7B">
      <w:rPr>
        <w:lang w:val="en-US"/>
      </w:rPr>
      <w:t>221(Annex 10)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82013E"/>
    <w:multiLevelType w:val="multilevel"/>
    <w:tmpl w:val="8766C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E267A"/>
    <w:multiLevelType w:val="hybridMultilevel"/>
    <w:tmpl w:val="83AAAA1E"/>
    <w:lvl w:ilvl="0" w:tplc="ED266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C1D5F"/>
    <w:multiLevelType w:val="hybridMultilevel"/>
    <w:tmpl w:val="A26A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2F4188"/>
    <w:multiLevelType w:val="multilevel"/>
    <w:tmpl w:val="DACE9904"/>
    <w:lvl w:ilvl="0">
      <w:start w:val="2"/>
      <w:numFmt w:val="decimal"/>
      <w:suff w:val="space"/>
      <w:lvlText w:val="ANNEX %1:"/>
      <w:lvlJc w:val="left"/>
      <w:pPr>
        <w:ind w:left="993" w:firstLine="0"/>
      </w:pPr>
      <w:rPr>
        <w:rFonts w:ascii="Times New Roman" w:hAnsi="Times New Roman" w:cs="Times New Roman" w:hint="default"/>
        <w:b/>
        <w:bCs w:val="0"/>
        <w:i w:val="0"/>
        <w:iCs w:val="0"/>
        <w:smallCaps w:val="0"/>
        <w:strike w:val="0"/>
        <w:dstrike w:val="0"/>
        <w:vanish w:val="0"/>
        <w:webHidden w:val="0"/>
        <w:color w:val="D2232A"/>
        <w:spacing w:val="0"/>
        <w:position w:val="0"/>
        <w:sz w:val="24"/>
        <w:szCs w:val="24"/>
        <w:u w:val="none"/>
        <w:effect w:val="none"/>
        <w:vertAlign w:val="baseline"/>
        <w:em w:val="none"/>
        <w:specVanish w:val="0"/>
      </w:rPr>
    </w:lvl>
    <w:lvl w:ilvl="1">
      <w:start w:val="1"/>
      <w:numFmt w:val="decimal"/>
      <w:suff w:val="space"/>
      <w:lvlText w:val="A%1.%2"/>
      <w:lvlJc w:val="left"/>
      <w:pPr>
        <w:ind w:left="576" w:hanging="576"/>
      </w:pPr>
    </w:lvl>
    <w:lvl w:ilvl="2">
      <w:start w:val="1"/>
      <w:numFmt w:val="decimal"/>
      <w:lvlText w:val="A%1.%2.%3"/>
      <w:lvlJc w:val="left"/>
      <w:pPr>
        <w:tabs>
          <w:tab w:val="num" w:pos="720"/>
        </w:tabs>
        <w:ind w:left="720" w:hanging="720"/>
      </w:pPr>
    </w:lvl>
    <w:lvl w:ilvl="3">
      <w:start w:val="1"/>
      <w:numFmt w:val="decimal"/>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1A1586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A0A7C33"/>
    <w:multiLevelType w:val="hybridMultilevel"/>
    <w:tmpl w:val="81E804EC"/>
    <w:lvl w:ilvl="0" w:tplc="2718434E">
      <w:start w:val="1"/>
      <w:numFmt w:val="decimal"/>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31D2CAF"/>
    <w:multiLevelType w:val="multilevel"/>
    <w:tmpl w:val="67C69F3A"/>
    <w:lvl w:ilvl="0">
      <w:start w:val="1"/>
      <w:numFmt w:val="decimal"/>
      <w:lvlText w:val="%1"/>
      <w:lvlJc w:val="left"/>
      <w:pPr>
        <w:ind w:left="360" w:hanging="360"/>
      </w:pPr>
      <w:rPr>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8" w15:restartNumberingAfterBreak="0">
    <w:nsid w:val="35066F29"/>
    <w:multiLevelType w:val="multilevel"/>
    <w:tmpl w:val="8E40D2B0"/>
    <w:lvl w:ilvl="0">
      <w:numFmt w:val="bullet"/>
      <w:lvlText w:val=""/>
      <w:lvlJc w:val="left"/>
      <w:pPr>
        <w:ind w:left="425" w:hanging="425"/>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417620C3"/>
    <w:multiLevelType w:val="hybridMultilevel"/>
    <w:tmpl w:val="F3D2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4F93"/>
    <w:multiLevelType w:val="multilevel"/>
    <w:tmpl w:val="E3ACBBFC"/>
    <w:lvl w:ilvl="0">
      <w:start w:val="1"/>
      <w:numFmt w:val="decimal"/>
      <w:lvlText w:val="[%1]"/>
      <w:lvlJc w:val="left"/>
      <w:pPr>
        <w:ind w:left="360" w:hanging="360"/>
      </w:pPr>
      <w:rPr>
        <w:rFonts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46E6242A"/>
    <w:multiLevelType w:val="hybridMultilevel"/>
    <w:tmpl w:val="9146C086"/>
    <w:lvl w:ilvl="0" w:tplc="5D1C976A">
      <w:start w:val="1"/>
      <w:numFmt w:val="decimal"/>
      <w:lvlText w:val="[%1]"/>
      <w:lvlJc w:val="left"/>
      <w:pPr>
        <w:tabs>
          <w:tab w:val="num" w:pos="397"/>
        </w:tabs>
        <w:ind w:left="397" w:hanging="397"/>
      </w:pPr>
      <w:rPr>
        <w:rFonts w:ascii="Arial" w:hAnsi="Arial" w:cs="Times New Roman" w:hint="default"/>
        <w:b w:val="0"/>
        <w:i w:val="0"/>
        <w:color w:val="D2232A"/>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6FA1A7F"/>
    <w:multiLevelType w:val="multilevel"/>
    <w:tmpl w:val="0D26EE66"/>
    <w:lvl w:ilvl="0">
      <w:numFmt w:val="bullet"/>
      <w:lvlText w:val=""/>
      <w:lvlJc w:val="left"/>
      <w:pPr>
        <w:ind w:left="425" w:hanging="425"/>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470676EE"/>
    <w:multiLevelType w:val="hybridMultilevel"/>
    <w:tmpl w:val="917A7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15" w15:restartNumberingAfterBreak="0">
    <w:nsid w:val="55740411"/>
    <w:multiLevelType w:val="hybridMultilevel"/>
    <w:tmpl w:val="56EAB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2A3F73"/>
    <w:multiLevelType w:val="hybridMultilevel"/>
    <w:tmpl w:val="64765FC6"/>
    <w:lvl w:ilvl="0" w:tplc="209C76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96615"/>
    <w:multiLevelType w:val="hybridMultilevel"/>
    <w:tmpl w:val="6F86FC62"/>
    <w:lvl w:ilvl="0" w:tplc="ABECF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F1767D"/>
    <w:multiLevelType w:val="multilevel"/>
    <w:tmpl w:val="FCEC7FBC"/>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cs="Times New Roman"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cs="Times New Roman" w:hint="default"/>
      </w:rPr>
    </w:lvl>
    <w:lvl w:ilvl="8">
      <w:start w:val="1"/>
      <w:numFmt w:val="bullet"/>
      <w:lvlText w:val=""/>
      <w:lvlJc w:val="left"/>
      <w:pPr>
        <w:tabs>
          <w:tab w:val="num" w:pos="5459"/>
        </w:tabs>
        <w:ind w:left="5459" w:hanging="360"/>
      </w:pPr>
      <w:rPr>
        <w:rFonts w:ascii="Wingdings" w:hAnsi="Wingdings" w:hint="default"/>
      </w:rPr>
    </w:lvl>
  </w:abstractNum>
  <w:abstractNum w:abstractNumId="19" w15:restartNumberingAfterBreak="0">
    <w:nsid w:val="74E67A7F"/>
    <w:multiLevelType w:val="multilevel"/>
    <w:tmpl w:val="C57A84DA"/>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3212E4"/>
    <w:multiLevelType w:val="multilevel"/>
    <w:tmpl w:val="A724997C"/>
    <w:lvl w:ilvl="0">
      <w:start w:val="1"/>
      <w:numFmt w:val="decimal"/>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B621F01"/>
    <w:multiLevelType w:val="multilevel"/>
    <w:tmpl w:val="2034D866"/>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22" w15:restartNumberingAfterBreak="0">
    <w:nsid w:val="7C366B58"/>
    <w:multiLevelType w:val="hybridMultilevel"/>
    <w:tmpl w:val="B1BE3260"/>
    <w:lvl w:ilvl="0" w:tplc="1DF24DDE">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16"/>
  </w:num>
  <w:num w:numId="23">
    <w:abstractNumId w:val="22"/>
  </w:num>
  <w:num w:numId="24">
    <w:abstractNumId w:val="3"/>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AU"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BC"/>
    <w:rsid w:val="000069D4"/>
    <w:rsid w:val="000174AD"/>
    <w:rsid w:val="000356AB"/>
    <w:rsid w:val="00047A1D"/>
    <w:rsid w:val="000604B9"/>
    <w:rsid w:val="000873BC"/>
    <w:rsid w:val="000A7D55"/>
    <w:rsid w:val="000C12C8"/>
    <w:rsid w:val="000C2E8E"/>
    <w:rsid w:val="000E0E7C"/>
    <w:rsid w:val="000F1B4B"/>
    <w:rsid w:val="00124F90"/>
    <w:rsid w:val="0012744F"/>
    <w:rsid w:val="00131178"/>
    <w:rsid w:val="00156F66"/>
    <w:rsid w:val="00163271"/>
    <w:rsid w:val="001717B1"/>
    <w:rsid w:val="00172122"/>
    <w:rsid w:val="00182528"/>
    <w:rsid w:val="0018500B"/>
    <w:rsid w:val="00196A19"/>
    <w:rsid w:val="001A3074"/>
    <w:rsid w:val="00202DC1"/>
    <w:rsid w:val="002116EE"/>
    <w:rsid w:val="002309D8"/>
    <w:rsid w:val="00266589"/>
    <w:rsid w:val="00292C59"/>
    <w:rsid w:val="002A7FE2"/>
    <w:rsid w:val="002B0BE3"/>
    <w:rsid w:val="002D0BF7"/>
    <w:rsid w:val="002E1B4F"/>
    <w:rsid w:val="002E71D7"/>
    <w:rsid w:val="002F2E67"/>
    <w:rsid w:val="002F7CB3"/>
    <w:rsid w:val="00315546"/>
    <w:rsid w:val="00330567"/>
    <w:rsid w:val="003619D3"/>
    <w:rsid w:val="00386A9D"/>
    <w:rsid w:val="00391081"/>
    <w:rsid w:val="003B2789"/>
    <w:rsid w:val="003C13CE"/>
    <w:rsid w:val="003C697E"/>
    <w:rsid w:val="003E2518"/>
    <w:rsid w:val="003E3933"/>
    <w:rsid w:val="003E7CEF"/>
    <w:rsid w:val="003F0D77"/>
    <w:rsid w:val="003F119A"/>
    <w:rsid w:val="00403135"/>
    <w:rsid w:val="004046AE"/>
    <w:rsid w:val="004117B5"/>
    <w:rsid w:val="00427840"/>
    <w:rsid w:val="004A0D69"/>
    <w:rsid w:val="004A7B16"/>
    <w:rsid w:val="004B1EF7"/>
    <w:rsid w:val="004B3FAD"/>
    <w:rsid w:val="004C5749"/>
    <w:rsid w:val="00501DCA"/>
    <w:rsid w:val="00513A47"/>
    <w:rsid w:val="005408DF"/>
    <w:rsid w:val="00573344"/>
    <w:rsid w:val="00581979"/>
    <w:rsid w:val="00583F9B"/>
    <w:rsid w:val="00594CA2"/>
    <w:rsid w:val="005A2EBA"/>
    <w:rsid w:val="005A67A5"/>
    <w:rsid w:val="005B0D29"/>
    <w:rsid w:val="005C0A1D"/>
    <w:rsid w:val="005D3EAD"/>
    <w:rsid w:val="005E5C10"/>
    <w:rsid w:val="005F2C78"/>
    <w:rsid w:val="006144E4"/>
    <w:rsid w:val="00650299"/>
    <w:rsid w:val="00655DDA"/>
    <w:rsid w:val="00655FC5"/>
    <w:rsid w:val="00675902"/>
    <w:rsid w:val="00696A7B"/>
    <w:rsid w:val="006E5889"/>
    <w:rsid w:val="006E79D1"/>
    <w:rsid w:val="007A0912"/>
    <w:rsid w:val="007E7FE2"/>
    <w:rsid w:val="0080538C"/>
    <w:rsid w:val="008109A0"/>
    <w:rsid w:val="00814E0A"/>
    <w:rsid w:val="00822581"/>
    <w:rsid w:val="008309DD"/>
    <w:rsid w:val="0083227A"/>
    <w:rsid w:val="00866900"/>
    <w:rsid w:val="00876A8A"/>
    <w:rsid w:val="00881BA1"/>
    <w:rsid w:val="008C2302"/>
    <w:rsid w:val="008C26B8"/>
    <w:rsid w:val="008C46A9"/>
    <w:rsid w:val="008F208F"/>
    <w:rsid w:val="00982084"/>
    <w:rsid w:val="00995963"/>
    <w:rsid w:val="009B61EB"/>
    <w:rsid w:val="009C1FB0"/>
    <w:rsid w:val="009C2064"/>
    <w:rsid w:val="009D1697"/>
    <w:rsid w:val="009E4ACC"/>
    <w:rsid w:val="009F3A46"/>
    <w:rsid w:val="009F6520"/>
    <w:rsid w:val="00A014F8"/>
    <w:rsid w:val="00A327B0"/>
    <w:rsid w:val="00A5173C"/>
    <w:rsid w:val="00A61AEF"/>
    <w:rsid w:val="00A83224"/>
    <w:rsid w:val="00A95B49"/>
    <w:rsid w:val="00AD2345"/>
    <w:rsid w:val="00AF173A"/>
    <w:rsid w:val="00B066A4"/>
    <w:rsid w:val="00B07A13"/>
    <w:rsid w:val="00B4279B"/>
    <w:rsid w:val="00B45FC9"/>
    <w:rsid w:val="00B76F35"/>
    <w:rsid w:val="00B81138"/>
    <w:rsid w:val="00BC7CCF"/>
    <w:rsid w:val="00BD3CF9"/>
    <w:rsid w:val="00BE470B"/>
    <w:rsid w:val="00C57A91"/>
    <w:rsid w:val="00CC01C2"/>
    <w:rsid w:val="00CF21F2"/>
    <w:rsid w:val="00D02712"/>
    <w:rsid w:val="00D046A7"/>
    <w:rsid w:val="00D214D0"/>
    <w:rsid w:val="00D6546B"/>
    <w:rsid w:val="00DB178B"/>
    <w:rsid w:val="00DC17D3"/>
    <w:rsid w:val="00DD4BED"/>
    <w:rsid w:val="00DE39F0"/>
    <w:rsid w:val="00DF0AF3"/>
    <w:rsid w:val="00DF4E2B"/>
    <w:rsid w:val="00DF7E9F"/>
    <w:rsid w:val="00E050F1"/>
    <w:rsid w:val="00E27D7E"/>
    <w:rsid w:val="00E42E13"/>
    <w:rsid w:val="00E56D5C"/>
    <w:rsid w:val="00E6257C"/>
    <w:rsid w:val="00E63C59"/>
    <w:rsid w:val="00EE76EC"/>
    <w:rsid w:val="00F157BC"/>
    <w:rsid w:val="00F24A74"/>
    <w:rsid w:val="00F25662"/>
    <w:rsid w:val="00F43C8B"/>
    <w:rsid w:val="00F45805"/>
    <w:rsid w:val="00F75ECE"/>
    <w:rsid w:val="00FA124A"/>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AD1D24"/>
  <w15:docId w15:val="{92A2865F-3A40-4DC0-9468-BDD30D96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7BC"/>
    <w:rPr>
      <w:rFonts w:ascii="Times New Roman" w:hAnsi="Times New Roman"/>
      <w:b/>
      <w:sz w:val="28"/>
      <w:lang w:val="en-GB" w:eastAsia="en-US"/>
    </w:rPr>
  </w:style>
  <w:style w:type="character" w:customStyle="1" w:styleId="Heading2Char">
    <w:name w:val="Heading 2 Char"/>
    <w:basedOn w:val="DefaultParagraphFont"/>
    <w:link w:val="Heading2"/>
    <w:rsid w:val="00F157BC"/>
    <w:rPr>
      <w:rFonts w:ascii="Times New Roman" w:hAnsi="Times New Roman"/>
      <w:b/>
      <w:sz w:val="24"/>
      <w:lang w:val="en-GB" w:eastAsia="en-US"/>
    </w:rPr>
  </w:style>
  <w:style w:type="character" w:customStyle="1" w:styleId="Heading3Char">
    <w:name w:val="Heading 3 Char"/>
    <w:basedOn w:val="DefaultParagraphFont"/>
    <w:link w:val="Heading3"/>
    <w:rsid w:val="00F157BC"/>
    <w:rPr>
      <w:rFonts w:ascii="Times New Roman" w:hAnsi="Times New Roman"/>
      <w:b/>
      <w:sz w:val="24"/>
      <w:lang w:val="en-GB" w:eastAsia="en-US"/>
    </w:rPr>
  </w:style>
  <w:style w:type="character" w:customStyle="1" w:styleId="Heading4Char">
    <w:name w:val="Heading 4 Char"/>
    <w:basedOn w:val="DefaultParagraphFont"/>
    <w:link w:val="Heading4"/>
    <w:rsid w:val="00F157BC"/>
    <w:rPr>
      <w:rFonts w:ascii="Times New Roman" w:hAnsi="Times New Roman"/>
      <w:b/>
      <w:sz w:val="24"/>
      <w:lang w:val="en-GB" w:eastAsia="en-US"/>
    </w:rPr>
  </w:style>
  <w:style w:type="character" w:customStyle="1" w:styleId="Heading5Char">
    <w:name w:val="Heading 5 Char"/>
    <w:basedOn w:val="DefaultParagraphFont"/>
    <w:link w:val="Heading5"/>
    <w:rsid w:val="00F157BC"/>
    <w:rPr>
      <w:rFonts w:ascii="Times New Roman" w:hAnsi="Times New Roman"/>
      <w:b/>
      <w:sz w:val="24"/>
      <w:lang w:val="en-GB" w:eastAsia="en-US"/>
    </w:rPr>
  </w:style>
  <w:style w:type="character" w:customStyle="1" w:styleId="Heading6Char">
    <w:name w:val="Heading 6 Char"/>
    <w:basedOn w:val="DefaultParagraphFont"/>
    <w:link w:val="Heading6"/>
    <w:rsid w:val="00F157BC"/>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157BC"/>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157BC"/>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157BC"/>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A83224"/>
    <w:pPr>
      <w:spacing w:before="360"/>
    </w:pPr>
  </w:style>
  <w:style w:type="character" w:customStyle="1" w:styleId="NormalaftertitleChar">
    <w:name w:val="Normal_after_title Char"/>
    <w:basedOn w:val="DefaultParagraphFont"/>
    <w:link w:val="Normalaftertitle"/>
    <w:locked/>
    <w:rsid w:val="00F157BC"/>
    <w:rPr>
      <w:rFonts w:ascii="Times New Roman" w:hAnsi="Times New Roman"/>
      <w:sz w:val="24"/>
      <w:lang w:val="en-GB" w:eastAsia="en-US"/>
    </w:r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character" w:customStyle="1" w:styleId="ArtNoChar">
    <w:name w:val="Art_No Char"/>
    <w:link w:val="ArtNo"/>
    <w:locked/>
    <w:rsid w:val="00F157BC"/>
    <w:rPr>
      <w:rFonts w:ascii="Times New Roman" w:hAnsi="Times New Roman"/>
      <w:caps/>
      <w:sz w:val="28"/>
      <w:lang w:val="en-GB" w:eastAsia="en-US"/>
    </w:rPr>
  </w:style>
  <w:style w:type="paragraph" w:customStyle="1" w:styleId="Arttitle">
    <w:name w:val="Art_title"/>
    <w:basedOn w:val="Normal"/>
    <w:next w:val="Normal"/>
    <w:link w:val="ArttitleCar"/>
    <w:rsid w:val="008F208F"/>
    <w:pPr>
      <w:keepNext/>
      <w:keepLines/>
      <w:spacing w:before="240"/>
      <w:jc w:val="center"/>
    </w:pPr>
    <w:rPr>
      <w:b/>
      <w:sz w:val="28"/>
    </w:rPr>
  </w:style>
  <w:style w:type="character" w:customStyle="1" w:styleId="ArttitleCar">
    <w:name w:val="Art_title Car"/>
    <w:link w:val="Arttitle"/>
    <w:locked/>
    <w:rsid w:val="00F157BC"/>
    <w:rPr>
      <w:rFonts w:ascii="Times New Roman" w:hAnsi="Times New Roman"/>
      <w:b/>
      <w:sz w:val="28"/>
      <w:lang w:val="en-GB" w:eastAsia="en-US"/>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styleId="NormalIndent">
    <w:name w:val="Normal Indent"/>
    <w:basedOn w:val="Normal"/>
    <w:link w:val="NormalIndentChar"/>
    <w:rsid w:val="008F208F"/>
    <w:pPr>
      <w:ind w:left="1134"/>
    </w:pPr>
  </w:style>
  <w:style w:type="character" w:customStyle="1" w:styleId="NormalIndentChar">
    <w:name w:val="Normal Indent Char"/>
    <w:basedOn w:val="DefaultParagraphFont"/>
    <w:link w:val="NormalIndent"/>
    <w:locked/>
    <w:rsid w:val="00F157BC"/>
    <w:rPr>
      <w:rFonts w:ascii="Times New Roman" w:hAnsi="Times New Roman"/>
      <w:sz w:val="24"/>
      <w:lang w:val="en-GB" w:eastAsia="en-US"/>
    </w:rPr>
  </w:style>
  <w:style w:type="character" w:customStyle="1" w:styleId="EquationlegendChar">
    <w:name w:val="Equation_legend Char"/>
    <w:link w:val="Equationlegend"/>
    <w:locked/>
    <w:rsid w:val="00F157BC"/>
    <w:rPr>
      <w:rFonts w:ascii="Times New Roman" w:hAnsi="Times New Roman"/>
      <w:sz w:val="24"/>
      <w:lang w:val="en-GB" w:eastAsia="en-US"/>
    </w:rPr>
  </w:style>
  <w:style w:type="paragraph" w:customStyle="1" w:styleId="Figurelegend">
    <w:name w:val="Figure_legend"/>
    <w:basedOn w:val="Normal"/>
    <w:uiPriority w:val="99"/>
    <w:rsid w:val="007A0912"/>
    <w:pPr>
      <w:spacing w:before="20" w:after="24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F157BC"/>
    <w:rPr>
      <w:rFonts w:ascii="Times New Roman" w:hAnsi="Times New Roman"/>
      <w:lang w:val="en-GB" w:eastAsia="en-US"/>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aliases w:val="footer odd,footer,fo,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uiPriority w:val="99"/>
    <w:rsid w:val="00F75ECE"/>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encabezado"/>
    <w:basedOn w:val="Normal"/>
    <w:link w:val="HeaderChar"/>
    <w:uiPriority w:val="99"/>
    <w:rsid w:val="008F208F"/>
    <w:pPr>
      <w:spacing w:before="0"/>
      <w:jc w:val="center"/>
    </w:pPr>
    <w:rPr>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har"/>
    <w:rsid w:val="00A83224"/>
    <w:pPr>
      <w:keepNext/>
      <w:keepLines/>
      <w:spacing w:before="480" w:after="80"/>
      <w:jc w:val="center"/>
    </w:pPr>
    <w:rPr>
      <w:caps/>
      <w:sz w:val="28"/>
    </w:rPr>
  </w:style>
  <w:style w:type="character" w:customStyle="1" w:styleId="AnnexNoChar">
    <w:name w:val="Annex_No Char"/>
    <w:link w:val="AnnexNo"/>
    <w:locked/>
    <w:rsid w:val="00F157BC"/>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8F208F"/>
    <w:pPr>
      <w:spacing w:before="280"/>
    </w:pPr>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character" w:customStyle="1" w:styleId="Rectitle0">
    <w:name w:val="Rec_title Знак"/>
    <w:basedOn w:val="DefaultParagraphFont"/>
    <w:link w:val="Rectitle"/>
    <w:locked/>
    <w:rsid w:val="00F157BC"/>
    <w:rPr>
      <w:rFonts w:ascii="Times New Roman Bold" w:hAnsi="Times New Roman Bold"/>
      <w:b/>
      <w:sz w:val="28"/>
      <w:lang w:val="en-GB" w:eastAsia="en-US"/>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arattere"/>
    <w:rsid w:val="008F208F"/>
    <w:pPr>
      <w:spacing w:before="840"/>
      <w:jc w:val="center"/>
    </w:pPr>
    <w:rPr>
      <w:b/>
      <w:sz w:val="28"/>
    </w:rPr>
  </w:style>
  <w:style w:type="character" w:customStyle="1" w:styleId="SourceCarattere">
    <w:name w:val="Source Carattere"/>
    <w:basedOn w:val="DefaultParagraphFont"/>
    <w:link w:val="Source"/>
    <w:locked/>
    <w:rsid w:val="00F157BC"/>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F157BC"/>
    <w:rPr>
      <w:rFonts w:ascii="Times New Roman Bold" w:hAnsi="Times New Roman Bold" w:cs="Times New Roman Bold"/>
      <w:b/>
      <w:lang w:val="en-GB" w:eastAsia="en-US"/>
    </w:rPr>
  </w:style>
  <w:style w:type="paragraph" w:customStyle="1" w:styleId="Tablelegend">
    <w:name w:val="Table_legend"/>
    <w:basedOn w:val="Normal"/>
    <w:link w:val="TablelegendChar"/>
    <w:rsid w:val="001717B1"/>
    <w:pPr>
      <w:tabs>
        <w:tab w:val="left" w:pos="284"/>
        <w:tab w:val="left" w:pos="567"/>
        <w:tab w:val="left" w:pos="851"/>
      </w:tabs>
      <w:spacing w:before="40" w:after="40"/>
    </w:pPr>
    <w:rPr>
      <w:sz w:val="18"/>
    </w:rPr>
  </w:style>
  <w:style w:type="character" w:customStyle="1" w:styleId="TablelegendChar">
    <w:name w:val="Table_legend Char"/>
    <w:link w:val="Tablelegend"/>
    <w:locked/>
    <w:rsid w:val="00F157BC"/>
    <w:rPr>
      <w:rFonts w:ascii="Times New Roman" w:hAnsi="Times New Roman"/>
      <w:sz w:val="18"/>
      <w:lang w:val="en-GB" w:eastAsia="en-US"/>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character" w:customStyle="1" w:styleId="TableNoChar">
    <w:name w:val="Table_No Char"/>
    <w:link w:val="TableNo"/>
    <w:locked/>
    <w:rsid w:val="00F157BC"/>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F157BC"/>
    <w:rPr>
      <w:rFonts w:ascii="Times New Roman Bold" w:hAnsi="Times New Roman Bold"/>
      <w:b/>
      <w:lang w:val="en-GB" w:eastAsia="en-US"/>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character" w:customStyle="1" w:styleId="Title1Carattere">
    <w:name w:val="Title 1 Carattere"/>
    <w:basedOn w:val="SourceCarattere"/>
    <w:link w:val="Title1"/>
    <w:locked/>
    <w:rsid w:val="00F157BC"/>
    <w:rPr>
      <w:rFonts w:ascii="Times New Roman" w:hAnsi="Times New Roman"/>
      <w:b w:val="0"/>
      <w:caps/>
      <w:sz w:val="28"/>
      <w:lang w:val="en-GB" w:eastAsia="en-U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character" w:customStyle="1" w:styleId="TOC1Char">
    <w:name w:val="TOC 1 Char"/>
    <w:aliases w:val="ECC Index 1 Char"/>
    <w:basedOn w:val="DefaultParagraphFont"/>
    <w:link w:val="TOC1"/>
    <w:locked/>
    <w:rsid w:val="00F157BC"/>
    <w:rPr>
      <w:rFonts w:ascii="Times New Roman" w:hAnsi="Times New Roman"/>
      <w:sz w:val="24"/>
      <w:lang w:val="en-GB" w:eastAsia="en-US"/>
    </w:rPr>
  </w:style>
  <w:style w:type="paragraph" w:styleId="TOC2">
    <w:name w:val="toc 2"/>
    <w:aliases w:val="ECC Index 2"/>
    <w:basedOn w:val="TOC1"/>
    <w:uiPriority w:val="99"/>
    <w:qFormat/>
    <w:rsid w:val="008F208F"/>
    <w:pPr>
      <w:spacing w:before="120"/>
    </w:pPr>
  </w:style>
  <w:style w:type="paragraph" w:styleId="TOC3">
    <w:name w:val="toc 3"/>
    <w:aliases w:val="ECC Index 3"/>
    <w:basedOn w:val="TOC2"/>
    <w:uiPriority w:val="99"/>
    <w:qFormat/>
    <w:rsid w:val="008F208F"/>
  </w:style>
  <w:style w:type="paragraph" w:styleId="TOC4">
    <w:name w:val="toc 4"/>
    <w:aliases w:val="ECC Index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F157BC"/>
    <w:rPr>
      <w:rFonts w:ascii="Times New Roman" w:hAnsi="Times New Roman"/>
      <w:b/>
      <w:sz w:val="24"/>
      <w:lang w:val="en-GB" w:eastAsia="en-US"/>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1A3074"/>
    <w:pPr>
      <w:spacing w:after="240"/>
      <w:jc w:val="center"/>
    </w:pPr>
  </w:style>
  <w:style w:type="character" w:customStyle="1" w:styleId="FigureChar">
    <w:name w:val="Figure Char"/>
    <w:basedOn w:val="DefaultParagraphFont"/>
    <w:link w:val="Figure"/>
    <w:locked/>
    <w:rsid w:val="00F157BC"/>
    <w:rPr>
      <w:rFonts w:ascii="Times New Roman" w:hAnsi="Times New Roman"/>
      <w:sz w:val="24"/>
      <w:lang w:val="en-GB" w:eastAsia="en-US"/>
    </w:r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rsid w:val="001A3074"/>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rsid w:val="00E63C59"/>
  </w:style>
  <w:style w:type="paragraph" w:customStyle="1" w:styleId="Proposal">
    <w:name w:val="Proposal"/>
    <w:basedOn w:val="Normal"/>
    <w:next w:val="Normal"/>
    <w:link w:val="ProposalChar"/>
    <w:rsid w:val="008F208F"/>
    <w:pPr>
      <w:keepNext/>
      <w:spacing w:before="240"/>
    </w:pPr>
    <w:rPr>
      <w:rFonts w:hAnsi="Times New Roman Bold"/>
      <w:b/>
    </w:rPr>
  </w:style>
  <w:style w:type="character" w:customStyle="1" w:styleId="ProposalChar">
    <w:name w:val="Proposal Char"/>
    <w:link w:val="Proposal"/>
    <w:locked/>
    <w:rsid w:val="00F157BC"/>
    <w:rPr>
      <w:rFonts w:ascii="Times New Roman" w:hAnsi="Times New Roman Bold"/>
      <w:b/>
      <w:sz w:val="24"/>
      <w:lang w:val="en-GB" w:eastAsia="en-US"/>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A83224"/>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uiPriority w:val="99"/>
    <w:qFormat/>
    <w:rsid w:val="008F208F"/>
  </w:style>
  <w:style w:type="paragraph" w:customStyle="1" w:styleId="Committee">
    <w:name w:val="Committee"/>
    <w:basedOn w:val="Normal"/>
    <w:uiPriority w:val="99"/>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uiPriority w:val="99"/>
    <w:qFormat/>
    <w:rsid w:val="008F208F"/>
    <w:rPr>
      <w:lang w:val="en-US"/>
    </w:rPr>
  </w:style>
  <w:style w:type="paragraph" w:customStyle="1" w:styleId="Part1">
    <w:name w:val="Part_1"/>
    <w:basedOn w:val="Section1"/>
    <w:next w:val="Section1"/>
    <w:uiPriority w:val="99"/>
    <w:qFormat/>
    <w:rsid w:val="008F208F"/>
  </w:style>
  <w:style w:type="paragraph" w:customStyle="1" w:styleId="Subsection1">
    <w:name w:val="Subsection_1"/>
    <w:basedOn w:val="Section1"/>
    <w:next w:val="Normalaftertitle0"/>
    <w:uiPriority w:val="99"/>
    <w:qFormat/>
    <w:rsid w:val="008F208F"/>
  </w:style>
  <w:style w:type="paragraph" w:customStyle="1" w:styleId="Volumetitle">
    <w:name w:val="Volume_title"/>
    <w:basedOn w:val="Normal"/>
    <w:uiPriority w:val="99"/>
    <w:qFormat/>
    <w:rsid w:val="008F208F"/>
    <w:pPr>
      <w:jc w:val="center"/>
    </w:pPr>
    <w:rPr>
      <w:b/>
      <w:bCs/>
      <w:sz w:val="28"/>
      <w:szCs w:val="28"/>
    </w:rPr>
  </w:style>
  <w:style w:type="paragraph" w:customStyle="1" w:styleId="Headingsplit">
    <w:name w:val="Heading_split"/>
    <w:basedOn w:val="Headingi"/>
    <w:uiPriority w:val="99"/>
    <w:qFormat/>
    <w:rsid w:val="008C2302"/>
    <w:rPr>
      <w:lang w:val="en-US"/>
    </w:rPr>
  </w:style>
  <w:style w:type="paragraph" w:customStyle="1" w:styleId="Normalsplit">
    <w:name w:val="Normal_split"/>
    <w:basedOn w:val="Normal"/>
    <w:uiPriority w:val="99"/>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uiPriority w:val="99"/>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uiPriority w:val="99"/>
    <w:qFormat/>
    <w:rsid w:val="005B0D29"/>
  </w:style>
  <w:style w:type="paragraph" w:customStyle="1" w:styleId="Methodheading2">
    <w:name w:val="Method_heading2"/>
    <w:basedOn w:val="Heading2"/>
    <w:next w:val="Normal"/>
    <w:uiPriority w:val="99"/>
    <w:qFormat/>
    <w:rsid w:val="005B0D29"/>
  </w:style>
  <w:style w:type="paragraph" w:customStyle="1" w:styleId="Methodheading3">
    <w:name w:val="Method_heading3"/>
    <w:basedOn w:val="Heading3"/>
    <w:next w:val="Normal"/>
    <w:uiPriority w:val="99"/>
    <w:qFormat/>
    <w:rsid w:val="005B0D29"/>
  </w:style>
  <w:style w:type="paragraph" w:customStyle="1" w:styleId="Methodheading4">
    <w:name w:val="Method_heading4"/>
    <w:basedOn w:val="Heading4"/>
    <w:next w:val="Normal"/>
    <w:uiPriority w:val="99"/>
    <w:qFormat/>
    <w:rsid w:val="005B0D29"/>
  </w:style>
  <w:style w:type="paragraph" w:customStyle="1" w:styleId="MethodHeadingb">
    <w:name w:val="Method_Headingb"/>
    <w:basedOn w:val="Headingb"/>
    <w:next w:val="Normal"/>
    <w:uiPriority w:val="99"/>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paragraph" w:styleId="Signature">
    <w:name w:val="Signature"/>
    <w:basedOn w:val="Normal"/>
    <w:link w:val="SignatureChar"/>
    <w:uiPriority w:val="99"/>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655DDA"/>
    <w:rPr>
      <w:rFonts w:ascii="Times New Roman" w:hAnsi="Times New Roman"/>
      <w:sz w:val="24"/>
      <w:lang w:val="en-GB" w:eastAsia="en-US"/>
    </w:rPr>
  </w:style>
  <w:style w:type="character" w:styleId="Hyperlink">
    <w:name w:val="Hyperlink"/>
    <w:basedOn w:val="DefaultParagraphFont"/>
    <w:unhideWhenUsed/>
    <w:rsid w:val="00F157BC"/>
    <w:rPr>
      <w:color w:val="0000FF" w:themeColor="hyperlink"/>
      <w:u w:val="single"/>
    </w:rPr>
  </w:style>
  <w:style w:type="table" w:styleId="TableGrid">
    <w:name w:val="Table Grid"/>
    <w:basedOn w:val="TableNormal"/>
    <w:rsid w:val="00F157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57BC"/>
    <w:rPr>
      <w:color w:val="800080" w:themeColor="followedHyperlink"/>
      <w:u w:val="single"/>
    </w:rPr>
  </w:style>
  <w:style w:type="paragraph" w:styleId="HTMLPreformatted">
    <w:name w:val="HTML Preformatted"/>
    <w:basedOn w:val="Normal"/>
    <w:link w:val="HTMLPreformattedChar"/>
    <w:uiPriority w:val="99"/>
    <w:semiHidden/>
    <w:unhideWhenUsed/>
    <w:rsid w:val="00F157B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F157BC"/>
    <w:rPr>
      <w:rFonts w:ascii="Courier New" w:eastAsia="Batang" w:hAnsi="Courier New" w:cs="Courier New"/>
      <w:lang w:val="ru-RU" w:eastAsia="ru-RU"/>
    </w:rPr>
  </w:style>
  <w:style w:type="paragraph" w:styleId="NormalWeb">
    <w:name w:val="Normal (Web)"/>
    <w:basedOn w:val="Normal"/>
    <w:uiPriority w:val="99"/>
    <w:semiHidden/>
    <w:unhideWhenUsed/>
    <w:rsid w:val="00F157BC"/>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 w:type="paragraph" w:styleId="TOC9">
    <w:name w:val="toc 9"/>
    <w:basedOn w:val="Normal"/>
    <w:next w:val="Normal"/>
    <w:autoRedefine/>
    <w:uiPriority w:val="39"/>
    <w:semiHidden/>
    <w:unhideWhenUsed/>
    <w:rsid w:val="00F157BC"/>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val="en-US" w:eastAsia="zh-CN"/>
    </w:rPr>
  </w:style>
  <w:style w:type="paragraph" w:styleId="CommentText">
    <w:name w:val="annotation text"/>
    <w:basedOn w:val="Normal"/>
    <w:link w:val="CommentTextChar"/>
    <w:uiPriority w:val="99"/>
    <w:semiHidden/>
    <w:unhideWhenUsed/>
    <w:rsid w:val="00F157BC"/>
    <w:pPr>
      <w:widowControl w:val="0"/>
      <w:tabs>
        <w:tab w:val="clear" w:pos="1134"/>
        <w:tab w:val="clear" w:pos="1871"/>
        <w:tab w:val="clear" w:pos="2268"/>
      </w:tabs>
      <w:overflowPunct/>
      <w:autoSpaceDE/>
      <w:adjustRightInd/>
      <w:spacing w:before="0"/>
      <w:jc w:val="both"/>
      <w:textAlignment w:val="auto"/>
    </w:pPr>
    <w:rPr>
      <w:rFonts w:asciiTheme="minorHAnsi" w:eastAsiaTheme="minorEastAsia" w:hAnsiTheme="minorHAnsi" w:cstheme="minorBidi"/>
      <w:kern w:val="2"/>
      <w:sz w:val="20"/>
      <w:lang w:val="en-US" w:eastAsia="ja-JP"/>
    </w:rPr>
  </w:style>
  <w:style w:type="character" w:customStyle="1" w:styleId="CommentTextChar">
    <w:name w:val="Comment Text Char"/>
    <w:basedOn w:val="DefaultParagraphFont"/>
    <w:link w:val="CommentText"/>
    <w:uiPriority w:val="99"/>
    <w:semiHidden/>
    <w:rsid w:val="00F157BC"/>
    <w:rPr>
      <w:rFonts w:asciiTheme="minorHAnsi" w:eastAsiaTheme="minorEastAsia" w:hAnsiTheme="minorHAnsi" w:cstheme="minorBidi"/>
      <w:kern w:val="2"/>
      <w:lang w:eastAsia="ja-JP"/>
    </w:rPr>
  </w:style>
  <w:style w:type="paragraph" w:styleId="Caption">
    <w:name w:val="caption"/>
    <w:aliases w:val="ECC Caption"/>
    <w:basedOn w:val="Normal"/>
    <w:next w:val="Normal"/>
    <w:uiPriority w:val="99"/>
    <w:semiHidden/>
    <w:unhideWhenUsed/>
    <w:qFormat/>
    <w:rsid w:val="00F157BC"/>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lang w:val="en-US"/>
    </w:rPr>
  </w:style>
  <w:style w:type="paragraph" w:styleId="EndnoteText">
    <w:name w:val="endnote text"/>
    <w:basedOn w:val="Normal"/>
    <w:link w:val="EndnoteTextChar"/>
    <w:uiPriority w:val="99"/>
    <w:semiHidden/>
    <w:unhideWhenUsed/>
    <w:rsid w:val="00F157BC"/>
    <w:pPr>
      <w:tabs>
        <w:tab w:val="clear" w:pos="1134"/>
        <w:tab w:val="clear" w:pos="1871"/>
        <w:tab w:val="clear" w:pos="2268"/>
        <w:tab w:val="left" w:pos="794"/>
        <w:tab w:val="left" w:pos="1191"/>
        <w:tab w:val="left" w:pos="1588"/>
        <w:tab w:val="left" w:pos="1985"/>
      </w:tabs>
      <w:suppressAutoHyphens/>
      <w:adjustRightInd/>
      <w:spacing w:before="0"/>
      <w:jc w:val="both"/>
      <w:textAlignment w:val="auto"/>
    </w:pPr>
    <w:rPr>
      <w:rFonts w:eastAsiaTheme="minorEastAsia"/>
      <w:sz w:val="20"/>
      <w:lang w:val="fr-FR"/>
    </w:rPr>
  </w:style>
  <w:style w:type="character" w:customStyle="1" w:styleId="EndnoteTextChar">
    <w:name w:val="Endnote Text Char"/>
    <w:basedOn w:val="DefaultParagraphFont"/>
    <w:link w:val="EndnoteText"/>
    <w:uiPriority w:val="99"/>
    <w:semiHidden/>
    <w:rsid w:val="00F157BC"/>
    <w:rPr>
      <w:rFonts w:ascii="Times New Roman" w:eastAsiaTheme="minorEastAsia" w:hAnsi="Times New Roman"/>
      <w:lang w:val="fr-FR" w:eastAsia="en-US"/>
    </w:rPr>
  </w:style>
  <w:style w:type="paragraph" w:styleId="ListBullet">
    <w:name w:val="List Bullet"/>
    <w:basedOn w:val="Normal"/>
    <w:uiPriority w:val="99"/>
    <w:semiHidden/>
    <w:unhideWhenUsed/>
    <w:rsid w:val="004046AE"/>
    <w:pPr>
      <w:tabs>
        <w:tab w:val="clear" w:pos="1134"/>
        <w:tab w:val="clear" w:pos="1871"/>
        <w:tab w:val="clear" w:pos="2268"/>
      </w:tabs>
      <w:suppressAutoHyphens/>
      <w:adjustRightInd/>
      <w:spacing w:before="0" w:after="180"/>
      <w:ind w:left="568" w:hanging="284"/>
      <w:textAlignment w:val="auto"/>
    </w:pPr>
    <w:rPr>
      <w:rFonts w:eastAsia="SimSun"/>
      <w:sz w:val="20"/>
    </w:rPr>
  </w:style>
  <w:style w:type="paragraph" w:styleId="List2">
    <w:name w:val="List 2"/>
    <w:basedOn w:val="Normal"/>
    <w:uiPriority w:val="99"/>
    <w:semiHidden/>
    <w:unhideWhenUsed/>
    <w:rsid w:val="00F157BC"/>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paragraph" w:styleId="Title">
    <w:name w:val="Title"/>
    <w:basedOn w:val="Normal"/>
    <w:next w:val="Normal"/>
    <w:link w:val="TitleChar"/>
    <w:uiPriority w:val="99"/>
    <w:qFormat/>
    <w:rsid w:val="00F157BC"/>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uiPriority w:val="99"/>
    <w:rsid w:val="00F157BC"/>
    <w:rPr>
      <w:rFonts w:ascii="Cambria" w:eastAsia="SimSun" w:hAnsi="Cambria"/>
      <w:b/>
      <w:bCs/>
      <w:sz w:val="32"/>
      <w:szCs w:val="32"/>
      <w:lang w:eastAsia="en-US"/>
    </w:rPr>
  </w:style>
  <w:style w:type="paragraph" w:styleId="BodyText">
    <w:name w:val="Body Text"/>
    <w:basedOn w:val="Normal"/>
    <w:link w:val="BodyTextChar"/>
    <w:uiPriority w:val="99"/>
    <w:semiHidden/>
    <w:unhideWhenUsed/>
    <w:rsid w:val="00F157BC"/>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val="en-US" w:eastAsia="ja-JP"/>
    </w:rPr>
  </w:style>
  <w:style w:type="character" w:customStyle="1" w:styleId="BodyTextChar">
    <w:name w:val="Body Text Char"/>
    <w:basedOn w:val="DefaultParagraphFont"/>
    <w:link w:val="BodyText"/>
    <w:uiPriority w:val="99"/>
    <w:semiHidden/>
    <w:rsid w:val="00F157BC"/>
    <w:rPr>
      <w:rFonts w:ascii="LMMNHP+BookmanOldStyle" w:eastAsia="Batang" w:hAnsi="LMMNHP+BookmanOldStyle"/>
      <w:color w:val="000000"/>
      <w:kern w:val="3"/>
      <w:sz w:val="24"/>
      <w:szCs w:val="24"/>
      <w:lang w:eastAsia="ja-JP"/>
    </w:rPr>
  </w:style>
  <w:style w:type="paragraph" w:styleId="BodyTextIndent">
    <w:name w:val="Body Text Indent"/>
    <w:basedOn w:val="Normal"/>
    <w:link w:val="BodyTextIndentChar"/>
    <w:uiPriority w:val="99"/>
    <w:semiHidden/>
    <w:unhideWhenUsed/>
    <w:rsid w:val="00F157BC"/>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uiPriority w:val="99"/>
    <w:semiHidden/>
    <w:rsid w:val="00F157BC"/>
    <w:rPr>
      <w:rFonts w:ascii="Times New Roman" w:eastAsia="SimSun" w:hAnsi="Times New Roman"/>
      <w:sz w:val="24"/>
      <w:lang w:val="en-GB" w:eastAsia="en-US"/>
    </w:rPr>
  </w:style>
  <w:style w:type="paragraph" w:styleId="BodyTextFirstIndent">
    <w:name w:val="Body Text First Indent"/>
    <w:basedOn w:val="Normal"/>
    <w:link w:val="BodyTextFirstIndentChar"/>
    <w:uiPriority w:val="99"/>
    <w:unhideWhenUsed/>
    <w:rsid w:val="00F157BC"/>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uiPriority w:val="99"/>
    <w:rsid w:val="00F157BC"/>
    <w:rPr>
      <w:rFonts w:ascii="Arial" w:eastAsia="SimSun" w:hAnsi="Arial"/>
      <w:color w:val="000000"/>
      <w:kern w:val="3"/>
      <w:sz w:val="21"/>
      <w:szCs w:val="21"/>
      <w:lang w:val="en-GB" w:eastAsia="en-US"/>
    </w:rPr>
  </w:style>
  <w:style w:type="paragraph" w:styleId="BodyText2">
    <w:name w:val="Body Text 2"/>
    <w:basedOn w:val="Normal"/>
    <w:link w:val="BodyText2Char"/>
    <w:uiPriority w:val="99"/>
    <w:semiHidden/>
    <w:unhideWhenUsed/>
    <w:rsid w:val="00F157BC"/>
    <w:pPr>
      <w:widowControl w:val="0"/>
      <w:tabs>
        <w:tab w:val="clear" w:pos="1134"/>
        <w:tab w:val="clear" w:pos="1871"/>
        <w:tab w:val="clear" w:pos="2268"/>
      </w:tabs>
      <w:suppressAutoHyphens/>
      <w:overflowPunct/>
      <w:autoSpaceDE/>
      <w:adjustRightInd/>
      <w:spacing w:before="0"/>
      <w:jc w:val="both"/>
      <w:textAlignment w:val="auto"/>
    </w:pPr>
    <w:rPr>
      <w:rFonts w:eastAsia="SimSun"/>
      <w:lang w:val="en-US"/>
    </w:rPr>
  </w:style>
  <w:style w:type="character" w:customStyle="1" w:styleId="BodyText2Char">
    <w:name w:val="Body Text 2 Char"/>
    <w:basedOn w:val="DefaultParagraphFont"/>
    <w:link w:val="BodyText2"/>
    <w:uiPriority w:val="99"/>
    <w:semiHidden/>
    <w:rsid w:val="00F157BC"/>
    <w:rPr>
      <w:rFonts w:ascii="Times New Roman" w:eastAsia="SimSun" w:hAnsi="Times New Roman"/>
      <w:sz w:val="24"/>
      <w:lang w:eastAsia="en-US"/>
    </w:rPr>
  </w:style>
  <w:style w:type="paragraph" w:styleId="BodyTextIndent2">
    <w:name w:val="Body Text Indent 2"/>
    <w:basedOn w:val="Normal"/>
    <w:link w:val="BodyTextIndent2Char"/>
    <w:uiPriority w:val="99"/>
    <w:semiHidden/>
    <w:unhideWhenUsed/>
    <w:rsid w:val="00F157BC"/>
    <w:pPr>
      <w:tabs>
        <w:tab w:val="clear" w:pos="1134"/>
        <w:tab w:val="clear" w:pos="1871"/>
        <w:tab w:val="clear" w:pos="2268"/>
        <w:tab w:val="left" w:pos="720"/>
        <w:tab w:val="left" w:pos="1191"/>
        <w:tab w:val="left" w:pos="1588"/>
        <w:tab w:val="left" w:pos="1985"/>
      </w:tabs>
      <w:suppressAutoHyphens/>
      <w:adjustRightInd/>
      <w:ind w:left="720" w:hanging="720"/>
      <w:jc w:val="both"/>
      <w:textAlignment w:val="auto"/>
    </w:pPr>
    <w:rPr>
      <w:rFonts w:eastAsia="Batang"/>
      <w:szCs w:val="24"/>
    </w:rPr>
  </w:style>
  <w:style w:type="character" w:customStyle="1" w:styleId="BodyTextIndent2Char">
    <w:name w:val="Body Text Indent 2 Char"/>
    <w:basedOn w:val="DefaultParagraphFont"/>
    <w:link w:val="BodyTextIndent2"/>
    <w:uiPriority w:val="99"/>
    <w:semiHidden/>
    <w:rsid w:val="00F157BC"/>
    <w:rPr>
      <w:rFonts w:ascii="Times New Roman" w:eastAsia="Batang" w:hAnsi="Times New Roman"/>
      <w:sz w:val="24"/>
      <w:szCs w:val="24"/>
      <w:lang w:val="en-GB" w:eastAsia="en-US"/>
    </w:rPr>
  </w:style>
  <w:style w:type="paragraph" w:styleId="DocumentMap">
    <w:name w:val="Document Map"/>
    <w:basedOn w:val="Normal"/>
    <w:link w:val="DocumentMapChar"/>
    <w:uiPriority w:val="99"/>
    <w:semiHidden/>
    <w:unhideWhenUsed/>
    <w:rsid w:val="00F157BC"/>
    <w:pPr>
      <w:suppressAutoHyphens/>
      <w:adjustRightInd/>
      <w:textAlignment w:val="auto"/>
    </w:pPr>
    <w:rPr>
      <w:rFonts w:ascii="MS UI Gothic" w:eastAsia="MS UI Gothic" w:hAnsi="MS UI Gothic"/>
      <w:sz w:val="18"/>
      <w:szCs w:val="18"/>
    </w:rPr>
  </w:style>
  <w:style w:type="character" w:customStyle="1" w:styleId="DocumentMapChar">
    <w:name w:val="Document Map Char"/>
    <w:basedOn w:val="DefaultParagraphFont"/>
    <w:link w:val="DocumentMap"/>
    <w:uiPriority w:val="99"/>
    <w:semiHidden/>
    <w:rsid w:val="00F157BC"/>
    <w:rPr>
      <w:rFonts w:ascii="MS UI Gothic" w:eastAsia="MS UI Gothic" w:hAnsi="MS UI Gothic"/>
      <w:sz w:val="18"/>
      <w:szCs w:val="18"/>
      <w:lang w:val="en-GB" w:eastAsia="en-US"/>
    </w:rPr>
  </w:style>
  <w:style w:type="paragraph" w:styleId="CommentSubject">
    <w:name w:val="annotation subject"/>
    <w:basedOn w:val="CommentText"/>
    <w:next w:val="CommentText"/>
    <w:link w:val="CommentSubjectChar"/>
    <w:uiPriority w:val="99"/>
    <w:semiHidden/>
    <w:unhideWhenUsed/>
    <w:rsid w:val="00F157BC"/>
    <w:pPr>
      <w:widowControl/>
      <w:suppressAutoHyphens/>
      <w:jc w:val="left"/>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F157BC"/>
    <w:rPr>
      <w:rFonts w:ascii="Times New Roman" w:eastAsiaTheme="minorEastAsia" w:hAnsi="Times New Roman" w:cstheme="minorBidi"/>
      <w:b/>
      <w:bCs/>
      <w:kern w:val="2"/>
      <w:lang w:val="en-GB" w:eastAsia="ja-JP"/>
    </w:rPr>
  </w:style>
  <w:style w:type="paragraph" w:styleId="BalloonText">
    <w:name w:val="Balloon Text"/>
    <w:basedOn w:val="Normal"/>
    <w:link w:val="BalloonTextChar"/>
    <w:uiPriority w:val="99"/>
    <w:semiHidden/>
    <w:unhideWhenUsed/>
    <w:rsid w:val="00F157BC"/>
    <w:pPr>
      <w:spacing w:before="0"/>
      <w:textAlignment w:val="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57BC"/>
    <w:rPr>
      <w:rFonts w:asciiTheme="majorHAnsi" w:eastAsiaTheme="majorEastAsia" w:hAnsiTheme="majorHAnsi" w:cstheme="majorBidi"/>
      <w:sz w:val="18"/>
      <w:szCs w:val="18"/>
      <w:lang w:val="en-GB" w:eastAsia="en-US"/>
    </w:rPr>
  </w:style>
  <w:style w:type="paragraph" w:styleId="NoSpacing">
    <w:name w:val="No Spacing"/>
    <w:uiPriority w:val="1"/>
    <w:qFormat/>
    <w:rsid w:val="00F157BC"/>
    <w:pPr>
      <w:tabs>
        <w:tab w:val="left" w:pos="1134"/>
        <w:tab w:val="left" w:pos="1871"/>
        <w:tab w:val="left" w:pos="2268"/>
      </w:tabs>
      <w:suppressAutoHyphens/>
      <w:overflowPunct w:val="0"/>
      <w:autoSpaceDE w:val="0"/>
      <w:autoSpaceDN w:val="0"/>
    </w:pPr>
    <w:rPr>
      <w:rFonts w:ascii="Times New Roman" w:eastAsia="Batang" w:hAnsi="Times New Roman"/>
      <w:sz w:val="24"/>
      <w:lang w:val="en-GB" w:eastAsia="en-US"/>
    </w:rPr>
  </w:style>
  <w:style w:type="paragraph" w:styleId="Revision">
    <w:name w:val="Revision"/>
    <w:uiPriority w:val="99"/>
    <w:semiHidden/>
    <w:rsid w:val="00F157BC"/>
    <w:rPr>
      <w:rFonts w:ascii="Times New Roman" w:eastAsiaTheme="minorEastAsia" w:hAnsi="Times New Roman"/>
      <w:sz w:val="24"/>
      <w:lang w:val="en-GB" w:eastAsia="en-US"/>
    </w:rPr>
  </w:style>
  <w:style w:type="paragraph" w:styleId="ListParagraph">
    <w:name w:val="List Paragraph"/>
    <w:basedOn w:val="Normal"/>
    <w:uiPriority w:val="34"/>
    <w:qFormat/>
    <w:rsid w:val="00F157BC"/>
    <w:pPr>
      <w:ind w:left="720"/>
      <w:contextualSpacing/>
      <w:textAlignment w:val="auto"/>
    </w:pPr>
    <w:rPr>
      <w:rFonts w:eastAsia="MS Mincho"/>
    </w:rPr>
  </w:style>
  <w:style w:type="paragraph" w:styleId="TOCHeading">
    <w:name w:val="TOC Heading"/>
    <w:basedOn w:val="Heading1"/>
    <w:next w:val="Normal"/>
    <w:uiPriority w:val="39"/>
    <w:semiHidden/>
    <w:unhideWhenUsed/>
    <w:qFormat/>
    <w:rsid w:val="00F157BC"/>
    <w:pPr>
      <w:suppressAutoHyphens/>
      <w:adjustRightInd/>
      <w:spacing w:before="480"/>
      <w:ind w:left="0" w:firstLine="0"/>
      <w:textAlignment w:val="auto"/>
    </w:pPr>
    <w:rPr>
      <w:rFonts w:ascii="Cambria" w:eastAsia="SimSun" w:hAnsi="Cambria"/>
      <w:bCs/>
      <w:color w:val="365F91"/>
      <w:szCs w:val="28"/>
    </w:rPr>
  </w:style>
  <w:style w:type="character" w:styleId="CommentReference">
    <w:name w:val="annotation reference"/>
    <w:basedOn w:val="DefaultParagraphFont"/>
    <w:semiHidden/>
    <w:unhideWhenUsed/>
    <w:rsid w:val="00F157BC"/>
    <w:rPr>
      <w:sz w:val="18"/>
      <w:szCs w:val="18"/>
    </w:rPr>
  </w:style>
  <w:style w:type="character" w:styleId="PlaceholderText">
    <w:name w:val="Placeholder Text"/>
    <w:basedOn w:val="DefaultParagraphFont"/>
    <w:uiPriority w:val="99"/>
    <w:semiHidden/>
    <w:rsid w:val="00F157BC"/>
    <w:rPr>
      <w:color w:val="808080"/>
    </w:rPr>
  </w:style>
  <w:style w:type="character" w:styleId="SubtleEmphasis">
    <w:name w:val="Subtle Emphasis"/>
    <w:uiPriority w:val="19"/>
    <w:qFormat/>
    <w:rsid w:val="00F157BC"/>
    <w:rPr>
      <w:i/>
      <w:iCs/>
      <w:color w:val="808080"/>
    </w:rPr>
  </w:style>
  <w:style w:type="character" w:styleId="IntenseReference">
    <w:name w:val="Intense Reference"/>
    <w:aliases w:val="cover page 'Report No'"/>
    <w:basedOn w:val="DefaultParagraphFont"/>
    <w:qFormat/>
    <w:rsid w:val="00F157BC"/>
    <w:rPr>
      <w:b/>
      <w:bCs/>
      <w:caps w:val="0"/>
      <w:smallCaps w:val="0"/>
      <w:strike w:val="0"/>
      <w:dstrike w:val="0"/>
      <w:color w:val="632423" w:themeColor="accent2" w:themeShade="80"/>
      <w:spacing w:val="5"/>
      <w:u w:val="none"/>
      <w:effect w:val="none"/>
      <w:bdr w:val="none" w:sz="0" w:space="0" w:color="auto" w:frame="1"/>
      <w:vertAlign w:val="baseline"/>
    </w:rPr>
  </w:style>
  <w:style w:type="table" w:styleId="TableSimple1">
    <w:name w:val="Table Simple 1"/>
    <w:basedOn w:val="TableNormal"/>
    <w:uiPriority w:val="99"/>
    <w:semiHidden/>
    <w:unhideWhenUsed/>
    <w:rsid w:val="00F157BC"/>
    <w:pPr>
      <w:spacing w:before="240" w:after="240"/>
      <w:jc w:val="both"/>
      <w:textboxTightWrap w:val="allLines"/>
    </w:pPr>
    <w:rPr>
      <w:rFonts w:ascii="Arial" w:eastAsiaTheme="minorEastAsia" w:hAnsi="Arial"/>
      <w:lang w:val="da-DK"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
    <w:name w:val="Colorful Grid"/>
    <w:basedOn w:val="TableNormal"/>
    <w:uiPriority w:val="73"/>
    <w:semiHidden/>
    <w:unhideWhenUsed/>
    <w:rsid w:val="00F157BC"/>
    <w:pPr>
      <w:jc w:val="both"/>
    </w:pPr>
    <w:rPr>
      <w:rFonts w:ascii="Arial" w:eastAsiaTheme="minorEastAsia" w:hAnsi="Arial"/>
      <w:color w:val="000000" w:themeColor="text1"/>
      <w:lang w:val="da-DK"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semiHidden/>
    <w:unhideWhenUsed/>
    <w:rsid w:val="00F157BC"/>
    <w:pPr>
      <w:jc w:val="both"/>
    </w:pPr>
    <w:rPr>
      <w:rFonts w:ascii="Arial" w:eastAsiaTheme="minorEastAsia" w:hAnsi="Arial"/>
      <w:color w:val="000000" w:themeColor="text1"/>
      <w:lang w:val="da-DK"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UnresolvedMention">
    <w:name w:val="Unresolved Mention"/>
    <w:basedOn w:val="DefaultParagraphFont"/>
    <w:uiPriority w:val="99"/>
    <w:semiHidden/>
    <w:unhideWhenUsed/>
    <w:rsid w:val="006E79D1"/>
    <w:rPr>
      <w:color w:val="605E5C"/>
      <w:shd w:val="clear" w:color="auto" w:fill="E1DFDD"/>
    </w:rPr>
  </w:style>
  <w:style w:type="character" w:customStyle="1" w:styleId="ECCHLbold">
    <w:name w:val="ECC HL bold"/>
    <w:uiPriority w:val="1"/>
    <w:qFormat/>
    <w:rsid w:val="004A7B16"/>
    <w:rPr>
      <w:b/>
      <w:bCs w:val="0"/>
    </w:rPr>
  </w:style>
  <w:style w:type="paragraph" w:customStyle="1" w:styleId="gmail-m366260878566664081tabletext">
    <w:name w:val="gmail-m_366260878566664081tabletext"/>
    <w:basedOn w:val="Normal"/>
    <w:rsid w:val="004A7B16"/>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735A-76D1-40AE-A9D4-E5E5CC45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17</TotalTime>
  <Pages>8</Pages>
  <Words>2284</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Limousin, Catherine</cp:lastModifiedBy>
  <cp:revision>3</cp:revision>
  <cp:lastPrinted>2008-02-21T14:04:00Z</cp:lastPrinted>
  <dcterms:created xsi:type="dcterms:W3CDTF">2020-11-23T09:01:00Z</dcterms:created>
  <dcterms:modified xsi:type="dcterms:W3CDTF">2020-11-23T09:17:00Z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