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083309D8" w14:textId="77777777" w:rsidTr="00876A8A">
        <w:trPr>
          <w:cantSplit/>
        </w:trPr>
        <w:tc>
          <w:tcPr>
            <w:tcW w:w="6487" w:type="dxa"/>
            <w:vAlign w:val="center"/>
          </w:tcPr>
          <w:p w14:paraId="301CBB35"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5946B24D" w14:textId="7EFFA54D" w:rsidR="009F6520" w:rsidRDefault="006367E3" w:rsidP="006367E3">
            <w:pPr>
              <w:shd w:val="solid" w:color="FFFFFF" w:fill="FFFFFF"/>
              <w:spacing w:before="0" w:line="240" w:lineRule="atLeast"/>
            </w:pPr>
            <w:bookmarkStart w:id="0" w:name="ditulogo"/>
            <w:bookmarkEnd w:id="0"/>
            <w:r>
              <w:rPr>
                <w:noProof/>
                <w:lang w:eastAsia="en-GB"/>
              </w:rPr>
              <w:drawing>
                <wp:inline distT="0" distB="0" distL="0" distR="0" wp14:anchorId="307583DE" wp14:editId="2750B018">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559A65EA" w14:textId="77777777" w:rsidTr="00876A8A">
        <w:trPr>
          <w:cantSplit/>
        </w:trPr>
        <w:tc>
          <w:tcPr>
            <w:tcW w:w="6487" w:type="dxa"/>
            <w:tcBorders>
              <w:bottom w:val="single" w:sz="12" w:space="0" w:color="auto"/>
            </w:tcBorders>
          </w:tcPr>
          <w:p w14:paraId="290D5D17"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0B908FC" w14:textId="77777777" w:rsidR="000069D4" w:rsidRPr="0051782D" w:rsidRDefault="000069D4" w:rsidP="00A5173C">
            <w:pPr>
              <w:shd w:val="solid" w:color="FFFFFF" w:fill="FFFFFF"/>
              <w:spacing w:before="0" w:after="48" w:line="240" w:lineRule="atLeast"/>
              <w:rPr>
                <w:sz w:val="22"/>
                <w:szCs w:val="22"/>
                <w:lang w:val="en-US"/>
              </w:rPr>
            </w:pPr>
          </w:p>
        </w:tc>
      </w:tr>
      <w:tr w:rsidR="000069D4" w14:paraId="67846595" w14:textId="77777777" w:rsidTr="00876A8A">
        <w:trPr>
          <w:cantSplit/>
        </w:trPr>
        <w:tc>
          <w:tcPr>
            <w:tcW w:w="6487" w:type="dxa"/>
            <w:tcBorders>
              <w:top w:val="single" w:sz="12" w:space="0" w:color="auto"/>
            </w:tcBorders>
          </w:tcPr>
          <w:p w14:paraId="1F44AEF5"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28F8AFFE" w14:textId="77777777" w:rsidR="000069D4" w:rsidRPr="00710D66" w:rsidRDefault="000069D4" w:rsidP="00A5173C">
            <w:pPr>
              <w:shd w:val="solid" w:color="FFFFFF" w:fill="FFFFFF"/>
              <w:spacing w:before="0" w:after="48" w:line="240" w:lineRule="atLeast"/>
              <w:rPr>
                <w:lang w:val="en-US"/>
              </w:rPr>
            </w:pPr>
          </w:p>
        </w:tc>
      </w:tr>
      <w:tr w:rsidR="000069D4" w14:paraId="4CCEF57F" w14:textId="77777777" w:rsidTr="00876A8A">
        <w:trPr>
          <w:cantSplit/>
        </w:trPr>
        <w:tc>
          <w:tcPr>
            <w:tcW w:w="6487" w:type="dxa"/>
            <w:vMerge w:val="restart"/>
          </w:tcPr>
          <w:p w14:paraId="1DC81452" w14:textId="78FC78D0" w:rsidR="006367E3" w:rsidRPr="00CF094F" w:rsidRDefault="007D1289" w:rsidP="006367E3">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sidRPr="00CF094F">
              <w:rPr>
                <w:rFonts w:ascii="Verdana" w:hAnsi="Verdana"/>
                <w:sz w:val="20"/>
                <w:lang w:val="fr-FR"/>
              </w:rPr>
              <w:t>Source:</w:t>
            </w:r>
            <w:r w:rsidRPr="00CF094F">
              <w:rPr>
                <w:rFonts w:ascii="Verdana" w:hAnsi="Verdana"/>
                <w:sz w:val="20"/>
                <w:lang w:val="fr-FR"/>
              </w:rPr>
              <w:tab/>
              <w:t xml:space="preserve">Document </w:t>
            </w:r>
            <w:proofErr w:type="spellStart"/>
            <w:r w:rsidR="00F05B71" w:rsidRPr="00CF094F">
              <w:rPr>
                <w:rFonts w:ascii="Verdana" w:hAnsi="Verdana"/>
                <w:sz w:val="20"/>
                <w:lang w:val="fr-FR"/>
              </w:rPr>
              <w:t>5A</w:t>
            </w:r>
            <w:proofErr w:type="spellEnd"/>
            <w:r w:rsidR="00F05B71" w:rsidRPr="00CF094F">
              <w:rPr>
                <w:rFonts w:ascii="Verdana" w:hAnsi="Verdana"/>
                <w:sz w:val="20"/>
                <w:lang w:val="fr-FR"/>
              </w:rPr>
              <w:t>/TEMP/75</w:t>
            </w:r>
          </w:p>
          <w:p w14:paraId="5D39FBD0" w14:textId="0F2D462D" w:rsidR="007D1289" w:rsidRPr="00CF094F" w:rsidRDefault="007D1289" w:rsidP="006367E3">
            <w:pPr>
              <w:shd w:val="solid" w:color="FFFFFF" w:fill="FFFFFF"/>
              <w:tabs>
                <w:tab w:val="clear" w:pos="1134"/>
                <w:tab w:val="clear" w:pos="1871"/>
                <w:tab w:val="clear" w:pos="2268"/>
              </w:tabs>
              <w:spacing w:before="0" w:after="240"/>
              <w:ind w:left="1134" w:hanging="1134"/>
              <w:rPr>
                <w:rFonts w:ascii="Verdana" w:hAnsi="Verdana"/>
                <w:sz w:val="20"/>
                <w:lang w:val="fr-FR"/>
              </w:rPr>
            </w:pPr>
            <w:proofErr w:type="spellStart"/>
            <w:r w:rsidRPr="00CF094F">
              <w:rPr>
                <w:rFonts w:ascii="Verdana" w:hAnsi="Verdana"/>
                <w:sz w:val="20"/>
                <w:lang w:val="fr-FR"/>
              </w:rPr>
              <w:t>Subject</w:t>
            </w:r>
            <w:proofErr w:type="spellEnd"/>
            <w:r w:rsidRPr="00CF094F">
              <w:rPr>
                <w:rFonts w:ascii="Verdana" w:hAnsi="Verdana"/>
                <w:sz w:val="20"/>
                <w:lang w:val="fr-FR"/>
              </w:rPr>
              <w:t>:</w:t>
            </w:r>
            <w:r w:rsidRPr="00CF094F">
              <w:rPr>
                <w:rFonts w:ascii="Verdana" w:hAnsi="Verdana"/>
                <w:sz w:val="20"/>
                <w:lang w:val="fr-FR"/>
              </w:rPr>
              <w:tab/>
              <w:t xml:space="preserve">Question </w:t>
            </w:r>
            <w:hyperlink r:id="rId7" w:history="1">
              <w:r w:rsidRPr="00CF094F">
                <w:rPr>
                  <w:rStyle w:val="Hyperlink"/>
                  <w:rFonts w:ascii="Verdana" w:hAnsi="Verdana"/>
                  <w:sz w:val="20"/>
                  <w:lang w:val="fr-FR"/>
                </w:rPr>
                <w:t>ITU-R 256/5</w:t>
              </w:r>
            </w:hyperlink>
          </w:p>
        </w:tc>
        <w:tc>
          <w:tcPr>
            <w:tcW w:w="3402" w:type="dxa"/>
          </w:tcPr>
          <w:p w14:paraId="78495D91" w14:textId="77777777" w:rsidR="00F05B71" w:rsidRDefault="00F05B71"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14 to</w:t>
            </w:r>
          </w:p>
          <w:p w14:paraId="147E4FFA" w14:textId="0B2EC83F" w:rsidR="000069D4" w:rsidRPr="006367E3" w:rsidRDefault="006367E3"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F05B71">
              <w:rPr>
                <w:rFonts w:ascii="Verdana" w:hAnsi="Verdana"/>
                <w:b/>
                <w:sz w:val="20"/>
                <w:lang w:eastAsia="zh-CN"/>
              </w:rPr>
              <w:t>2</w:t>
            </w:r>
            <w:r w:rsidR="009A0767">
              <w:rPr>
                <w:rFonts w:ascii="Verdana" w:hAnsi="Verdana"/>
                <w:b/>
                <w:sz w:val="20"/>
                <w:lang w:eastAsia="zh-CN"/>
              </w:rPr>
              <w:t>21</w:t>
            </w:r>
            <w:r>
              <w:rPr>
                <w:rFonts w:ascii="Verdana" w:hAnsi="Verdana"/>
                <w:b/>
                <w:sz w:val="20"/>
                <w:lang w:eastAsia="zh-CN"/>
              </w:rPr>
              <w:t>-E</w:t>
            </w:r>
          </w:p>
        </w:tc>
      </w:tr>
      <w:tr w:rsidR="000069D4" w14:paraId="12081F95" w14:textId="77777777" w:rsidTr="00876A8A">
        <w:trPr>
          <w:cantSplit/>
        </w:trPr>
        <w:tc>
          <w:tcPr>
            <w:tcW w:w="6487" w:type="dxa"/>
            <w:vMerge/>
          </w:tcPr>
          <w:p w14:paraId="3AACF482"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182D043C" w14:textId="4A3BC1D8" w:rsidR="000069D4" w:rsidRPr="006367E3" w:rsidRDefault="00F05B71" w:rsidP="00A5173C">
            <w:pPr>
              <w:shd w:val="solid" w:color="FFFFFF" w:fill="FFFFFF"/>
              <w:spacing w:before="0" w:line="240" w:lineRule="atLeast"/>
              <w:rPr>
                <w:rFonts w:ascii="Verdana" w:hAnsi="Verdana"/>
                <w:sz w:val="20"/>
                <w:lang w:eastAsia="zh-CN"/>
              </w:rPr>
            </w:pPr>
            <w:r>
              <w:rPr>
                <w:rFonts w:ascii="Verdana" w:hAnsi="Verdana"/>
                <w:b/>
                <w:sz w:val="20"/>
                <w:lang w:eastAsia="zh-CN"/>
              </w:rPr>
              <w:t>20</w:t>
            </w:r>
            <w:r w:rsidR="006367E3">
              <w:rPr>
                <w:rFonts w:ascii="Verdana" w:hAnsi="Verdana"/>
                <w:b/>
                <w:sz w:val="20"/>
                <w:lang w:eastAsia="zh-CN"/>
              </w:rPr>
              <w:t xml:space="preserve"> November 2020</w:t>
            </w:r>
          </w:p>
        </w:tc>
      </w:tr>
      <w:tr w:rsidR="000069D4" w14:paraId="137ED68F" w14:textId="77777777" w:rsidTr="00876A8A">
        <w:trPr>
          <w:cantSplit/>
        </w:trPr>
        <w:tc>
          <w:tcPr>
            <w:tcW w:w="6487" w:type="dxa"/>
            <w:vMerge/>
          </w:tcPr>
          <w:p w14:paraId="5CB049EE"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72110F24" w14:textId="2D1AE072" w:rsidR="000069D4" w:rsidRPr="006367E3" w:rsidRDefault="006367E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277E01EC" w14:textId="77777777" w:rsidTr="00D046A7">
        <w:trPr>
          <w:cantSplit/>
        </w:trPr>
        <w:tc>
          <w:tcPr>
            <w:tcW w:w="9889" w:type="dxa"/>
            <w:gridSpan w:val="2"/>
          </w:tcPr>
          <w:p w14:paraId="03F9F6CE" w14:textId="1BAF6548" w:rsidR="000069D4" w:rsidRDefault="00F05B71" w:rsidP="006367E3">
            <w:pPr>
              <w:pStyle w:val="Source"/>
              <w:rPr>
                <w:lang w:eastAsia="zh-CN"/>
              </w:rPr>
            </w:pPr>
            <w:bookmarkStart w:id="5" w:name="dsource" w:colFirst="0" w:colLast="0"/>
            <w:bookmarkEnd w:id="4"/>
            <w:r w:rsidRPr="007F75B9">
              <w:rPr>
                <w:lang w:val="en-CA" w:eastAsia="ja-JP"/>
              </w:rPr>
              <w:t>Annex 1</w:t>
            </w:r>
            <w:r>
              <w:rPr>
                <w:lang w:val="en-CA" w:eastAsia="ja-JP"/>
              </w:rPr>
              <w:t>4</w:t>
            </w:r>
            <w:r w:rsidRPr="007F75B9">
              <w:rPr>
                <w:lang w:val="en-CA" w:eastAsia="ja-JP"/>
              </w:rPr>
              <w:t xml:space="preserve"> to Working Party 5A Chairman’s Report</w:t>
            </w:r>
          </w:p>
        </w:tc>
      </w:tr>
      <w:tr w:rsidR="000069D4" w14:paraId="68747FFD" w14:textId="77777777" w:rsidTr="00D046A7">
        <w:trPr>
          <w:cantSplit/>
        </w:trPr>
        <w:tc>
          <w:tcPr>
            <w:tcW w:w="9889" w:type="dxa"/>
            <w:gridSpan w:val="2"/>
          </w:tcPr>
          <w:p w14:paraId="281C8058" w14:textId="390769D5" w:rsidR="000069D4" w:rsidRDefault="007D1289" w:rsidP="00A5173C">
            <w:pPr>
              <w:pStyle w:val="Title1"/>
              <w:rPr>
                <w:lang w:eastAsia="zh-CN"/>
              </w:rPr>
            </w:pPr>
            <w:bookmarkStart w:id="6" w:name="drec" w:colFirst="0" w:colLast="0"/>
            <w:bookmarkEnd w:id="5"/>
            <w:r w:rsidRPr="009857F0">
              <w:rPr>
                <w:lang w:eastAsia="ja-JP"/>
              </w:rPr>
              <w:t xml:space="preserve">WORKING DOCUMENT TOWARDS A PRELIMINARY DRAFT </w:t>
            </w:r>
            <w:r w:rsidRPr="009857F0">
              <w:rPr>
                <w:lang w:eastAsia="ja-JP"/>
              </w:rPr>
              <w:br/>
              <w:t>new Report ITU-R M.[</w:t>
            </w:r>
            <w:r>
              <w:rPr>
                <w:lang w:eastAsia="ja-JP"/>
              </w:rPr>
              <w:t>L</w:t>
            </w:r>
            <w:r w:rsidRPr="009857F0">
              <w:rPr>
                <w:lang w:eastAsia="ja-JP"/>
              </w:rPr>
              <w:t>MS.Conditions&gt;275GHz]</w:t>
            </w:r>
          </w:p>
        </w:tc>
      </w:tr>
      <w:tr w:rsidR="000069D4" w14:paraId="517B63B9" w14:textId="77777777" w:rsidTr="00D046A7">
        <w:trPr>
          <w:cantSplit/>
        </w:trPr>
        <w:tc>
          <w:tcPr>
            <w:tcW w:w="9889" w:type="dxa"/>
            <w:gridSpan w:val="2"/>
          </w:tcPr>
          <w:p w14:paraId="585F0CD0" w14:textId="14B251F1" w:rsidR="000069D4" w:rsidRDefault="007D1289" w:rsidP="007D1289">
            <w:pPr>
              <w:pStyle w:val="Title4"/>
              <w:rPr>
                <w:lang w:eastAsia="zh-CN"/>
              </w:rPr>
            </w:pPr>
            <w:bookmarkStart w:id="7" w:name="dtitle1" w:colFirst="0" w:colLast="0"/>
            <w:bookmarkEnd w:id="6"/>
            <w:r>
              <w:t>Assessment of m</w:t>
            </w:r>
            <w:r w:rsidRPr="009857F0">
              <w:t>itigation techniques and specific conditions to be applied to the land mobile service applications in the frequency bands 296-306 GHz, 313</w:t>
            </w:r>
            <w:r w:rsidR="00CF094F">
              <w:noBreakHyphen/>
            </w:r>
            <w:r w:rsidRPr="009857F0">
              <w:t>318</w:t>
            </w:r>
            <w:r w:rsidR="00CF094F">
              <w:t> </w:t>
            </w:r>
            <w:r w:rsidRPr="009857F0">
              <w:t>GHz and 333-356 GHz, to ensure the protection of earth exploration-satellite service (passive) applications in accordance with RR No. 5.564A</w:t>
            </w:r>
          </w:p>
        </w:tc>
      </w:tr>
    </w:tbl>
    <w:p w14:paraId="7A9C9178" w14:textId="37FB847F" w:rsidR="007D1289" w:rsidRPr="00D41DE3" w:rsidRDefault="007D1289" w:rsidP="007D1289">
      <w:pPr>
        <w:pStyle w:val="Repref"/>
      </w:pPr>
      <w:bookmarkStart w:id="8" w:name="dbreak"/>
      <w:bookmarkStart w:id="9" w:name="att1"/>
      <w:bookmarkEnd w:id="7"/>
      <w:bookmarkEnd w:id="8"/>
      <w:r w:rsidRPr="00D41DE3">
        <w:t>(</w:t>
      </w:r>
      <w:hyperlink r:id="rId8" w:history="1">
        <w:r w:rsidRPr="00F05B71">
          <w:rPr>
            <w:rStyle w:val="Hyperlink"/>
          </w:rPr>
          <w:t>Question ITU-R 256/5</w:t>
        </w:r>
      </w:hyperlink>
      <w:r w:rsidRPr="00D41DE3">
        <w:t>)</w:t>
      </w:r>
    </w:p>
    <w:p w14:paraId="164832DC" w14:textId="11B7EC09" w:rsidR="007D1289" w:rsidRPr="00D41DE3" w:rsidRDefault="007D1289" w:rsidP="007D1289">
      <w:pPr>
        <w:pStyle w:val="EditorsNote"/>
        <w:rPr>
          <w:lang w:eastAsia="zh-CN"/>
        </w:rPr>
      </w:pPr>
      <w:bookmarkStart w:id="10" w:name="_Hlk56076742"/>
      <w:bookmarkEnd w:id="9"/>
      <w:r w:rsidRPr="00832C79">
        <w:rPr>
          <w:lang w:val="en-CA"/>
        </w:rPr>
        <w:t>[Editor’s note : Discussions may take place at a future WP 5A meeting to further consider how WP</w:t>
      </w:r>
      <w:r w:rsidR="00CF094F">
        <w:rPr>
          <w:lang w:val="en-CA"/>
        </w:rPr>
        <w:t> </w:t>
      </w:r>
      <w:proofErr w:type="spellStart"/>
      <w:r w:rsidRPr="00832C79">
        <w:rPr>
          <w:lang w:val="en-CA"/>
        </w:rPr>
        <w:t>5A</w:t>
      </w:r>
      <w:proofErr w:type="spellEnd"/>
      <w:r w:rsidRPr="00832C79">
        <w:rPr>
          <w:lang w:val="en-CA"/>
        </w:rPr>
        <w:t xml:space="preserve"> and WP </w:t>
      </w:r>
      <w:proofErr w:type="spellStart"/>
      <w:r w:rsidRPr="00832C79">
        <w:rPr>
          <w:lang w:val="en-CA"/>
        </w:rPr>
        <w:t>7C</w:t>
      </w:r>
      <w:proofErr w:type="spellEnd"/>
      <w:r w:rsidRPr="00832C79">
        <w:rPr>
          <w:lang w:val="en-CA"/>
        </w:rPr>
        <w:t xml:space="preserve"> will collaborate towards the efforts to develop possible mitigation measures and specific conditions on land mobile service to protect passive services in the frequency ranges addressed by this document.]</w:t>
      </w:r>
    </w:p>
    <w:bookmarkEnd w:id="10"/>
    <w:p w14:paraId="6AD3EFB2" w14:textId="77777777" w:rsidR="007D1289" w:rsidRPr="009857F0" w:rsidRDefault="007D1289" w:rsidP="00107A11">
      <w:pPr>
        <w:pStyle w:val="Repdate"/>
        <w:rPr>
          <w:lang w:eastAsia="zh-CN"/>
        </w:rPr>
      </w:pPr>
      <w:r w:rsidRPr="009857F0">
        <w:rPr>
          <w:lang w:eastAsia="zh-CN"/>
        </w:rPr>
        <w:t>(…)</w:t>
      </w:r>
    </w:p>
    <w:p w14:paraId="5F9F6E55" w14:textId="77777777" w:rsidR="007D1289" w:rsidRPr="009857F0" w:rsidRDefault="007D1289" w:rsidP="00107A11">
      <w:pPr>
        <w:pStyle w:val="Heading1"/>
      </w:pPr>
      <w:r w:rsidRPr="009857F0">
        <w:t>1</w:t>
      </w:r>
      <w:r w:rsidRPr="009857F0">
        <w:tab/>
        <w:t>Introduction</w:t>
      </w:r>
    </w:p>
    <w:p w14:paraId="025897A9" w14:textId="77777777" w:rsidR="007D1289" w:rsidRPr="00C00E70" w:rsidRDefault="007D1289" w:rsidP="00C52F9D">
      <w:pPr>
        <w:spacing w:after="120"/>
        <w:rPr>
          <w:szCs w:val="24"/>
          <w:lang w:val="en-US" w:eastAsia="zh-CN"/>
        </w:rPr>
      </w:pPr>
      <w:bookmarkStart w:id="11" w:name="_Hlk52539134"/>
      <w:r w:rsidRPr="009857F0">
        <w:rPr>
          <w:szCs w:val="24"/>
          <w:lang w:val="en-US" w:eastAsia="zh-CN"/>
        </w:rPr>
        <w:t>The objective of this Report is to help fulfill the decisions of WRC-19 with respect</w:t>
      </w:r>
      <w:r>
        <w:rPr>
          <w:szCs w:val="24"/>
          <w:lang w:val="en-US" w:eastAsia="zh-CN"/>
        </w:rPr>
        <w:t xml:space="preserve"> to</w:t>
      </w:r>
      <w:r w:rsidRPr="009857F0">
        <w:rPr>
          <w:szCs w:val="24"/>
          <w:lang w:val="en-US" w:eastAsia="zh-CN"/>
        </w:rPr>
        <w:t xml:space="preserve"> the use of the frequency range 275-450 GHz for land-mobile service applications to address the relevant aspects of </w:t>
      </w:r>
      <w:r>
        <w:rPr>
          <w:szCs w:val="24"/>
          <w:lang w:val="en-US" w:eastAsia="zh-CN"/>
        </w:rPr>
        <w:t xml:space="preserve">RR </w:t>
      </w:r>
      <w:r w:rsidRPr="009857F0">
        <w:rPr>
          <w:szCs w:val="24"/>
          <w:lang w:val="en-US" w:eastAsia="zh-CN"/>
        </w:rPr>
        <w:t xml:space="preserve">No. </w:t>
      </w:r>
      <w:r w:rsidRPr="009857F0">
        <w:rPr>
          <w:b/>
          <w:bCs/>
          <w:szCs w:val="24"/>
          <w:lang w:val="en-US" w:eastAsia="zh-CN"/>
        </w:rPr>
        <w:t>5.564A</w:t>
      </w:r>
      <w:r w:rsidRPr="009857F0">
        <w:rPr>
          <w:szCs w:val="24"/>
          <w:lang w:val="en-US" w:eastAsia="zh-CN"/>
        </w:rPr>
        <w:t xml:space="preserve"> and study the </w:t>
      </w:r>
      <w:r w:rsidRPr="009857F0">
        <w:rPr>
          <w:szCs w:val="24"/>
          <w:lang w:eastAsia="es-CR"/>
        </w:rPr>
        <w:t>specific conditions necessary to ensure the protection of Earth exploration-satellite service (passive) applications in the frequency bands 296-306 GHz, 313</w:t>
      </w:r>
      <w:r>
        <w:rPr>
          <w:szCs w:val="24"/>
          <w:lang w:eastAsia="es-CR"/>
        </w:rPr>
        <w:noBreakHyphen/>
      </w:r>
      <w:r w:rsidRPr="009857F0">
        <w:rPr>
          <w:szCs w:val="24"/>
          <w:lang w:eastAsia="es-CR"/>
        </w:rPr>
        <w:t>318</w:t>
      </w:r>
      <w:r>
        <w:rPr>
          <w:szCs w:val="24"/>
          <w:lang w:eastAsia="es-CR"/>
        </w:rPr>
        <w:t> </w:t>
      </w:r>
      <w:r w:rsidRPr="009857F0">
        <w:rPr>
          <w:szCs w:val="24"/>
          <w:lang w:eastAsia="es-CR"/>
        </w:rPr>
        <w:t xml:space="preserve">GHz and 333-356 GHz, to be determined in accordance with RR No. </w:t>
      </w:r>
      <w:r w:rsidRPr="009857F0">
        <w:rPr>
          <w:b/>
          <w:bCs/>
          <w:szCs w:val="24"/>
          <w:lang w:eastAsia="es-CR"/>
        </w:rPr>
        <w:t>5.564A</w:t>
      </w:r>
      <w:r w:rsidRPr="009857F0">
        <w:rPr>
          <w:szCs w:val="24"/>
          <w:lang w:val="en-US" w:eastAsia="zh-CN"/>
        </w:rPr>
        <w:t>:</w:t>
      </w:r>
    </w:p>
    <w:p w14:paraId="1BBEEDA3" w14:textId="77777777" w:rsidR="007D1289" w:rsidRPr="00C00E70" w:rsidRDefault="007D1289" w:rsidP="004C5B4C">
      <w:pPr>
        <w:pStyle w:val="Note"/>
        <w:rPr>
          <w:sz w:val="20"/>
          <w:lang w:eastAsia="es-CR"/>
        </w:rPr>
      </w:pPr>
      <w:r w:rsidRPr="00C00E70">
        <w:rPr>
          <w:rStyle w:val="Artdef"/>
          <w:sz w:val="20"/>
        </w:rPr>
        <w:t>5.564A</w:t>
      </w:r>
      <w:r>
        <w:rPr>
          <w:sz w:val="20"/>
        </w:rPr>
        <w:tab/>
      </w:r>
      <w:proofErr w:type="gramStart"/>
      <w:r w:rsidRPr="00C00E70">
        <w:rPr>
          <w:sz w:val="20"/>
        </w:rPr>
        <w:t>For</w:t>
      </w:r>
      <w:proofErr w:type="gramEnd"/>
      <w:r w:rsidRPr="00C00E70">
        <w:rPr>
          <w:sz w:val="20"/>
        </w:rPr>
        <w:t xml:space="preserve"> the operation of fixed and land mobile service applications in frequency bands in the range 275-450 GHz:</w:t>
      </w:r>
    </w:p>
    <w:p w14:paraId="06AF4563" w14:textId="77777777" w:rsidR="007D1289" w:rsidRPr="00C00E70" w:rsidRDefault="007D1289" w:rsidP="004C5B4C">
      <w:pPr>
        <w:pStyle w:val="Note"/>
        <w:rPr>
          <w:sz w:val="20"/>
          <w:lang w:eastAsia="es-CR"/>
        </w:rPr>
      </w:pPr>
      <w:r w:rsidRPr="00C00E70">
        <w:rPr>
          <w:sz w:val="20"/>
          <w:lang w:eastAsia="es-CR"/>
        </w:rPr>
        <w:t xml:space="preserve">The frequency bands 275-296 GHz, 306-313 GHz, 318-333 GHz and 356-450 GHz are identified for use by administrations for the implementation of land mobile and fixed service applications, where no specific conditions are necessary to protect Earth exploration-satellite service (passive) applications. </w:t>
      </w:r>
    </w:p>
    <w:p w14:paraId="0D058FCE" w14:textId="77777777" w:rsidR="007D1289" w:rsidRPr="00C00E70" w:rsidRDefault="007D1289" w:rsidP="004C5B4C">
      <w:pPr>
        <w:pStyle w:val="Note"/>
        <w:rPr>
          <w:sz w:val="20"/>
          <w:lang w:eastAsia="es-CR"/>
        </w:rPr>
      </w:pPr>
      <w:r w:rsidRPr="00C00E70">
        <w:rPr>
          <w:sz w:val="20"/>
          <w:lang w:eastAsia="es-CR"/>
        </w:rPr>
        <w:t>The frequency bands 296-306 GHz, 313-318 GHz and 333-356 GHz may only be used by fixed and land mobile service applications when specific conditions to ensure the protection of Earth exploration-satellite service (passive) applications are determined in accordance with Resolution </w:t>
      </w:r>
      <w:r w:rsidRPr="00C00E70">
        <w:rPr>
          <w:b/>
          <w:bCs/>
          <w:sz w:val="20"/>
          <w:lang w:eastAsia="es-CR"/>
        </w:rPr>
        <w:t>731 (Rev.WRC-19)</w:t>
      </w:r>
      <w:r w:rsidRPr="00C00E70">
        <w:rPr>
          <w:sz w:val="20"/>
          <w:lang w:eastAsia="es-CR"/>
        </w:rPr>
        <w:t>.</w:t>
      </w:r>
    </w:p>
    <w:p w14:paraId="296A8517" w14:textId="77777777" w:rsidR="007D1289" w:rsidRPr="00C00E70" w:rsidRDefault="007D1289" w:rsidP="004C5B4C">
      <w:pPr>
        <w:pStyle w:val="Note"/>
        <w:rPr>
          <w:sz w:val="20"/>
          <w:lang w:eastAsia="es-CR"/>
        </w:rPr>
      </w:pPr>
      <w:r w:rsidRPr="00C00E70">
        <w:rPr>
          <w:sz w:val="20"/>
          <w:lang w:eastAsia="es-CR"/>
        </w:rPr>
        <w:t>In those portions of the frequency range 275-450 GHz where radio astronomy applications are used, specific conditions (e.g. minimum separation distances and/or avoidance angles) may be necessary to ensure protection of radio astronomy sites from land mobile and/or fixed service applications, on a case-by-case basis in accordance with Resolution</w:t>
      </w:r>
      <w:r>
        <w:rPr>
          <w:sz w:val="20"/>
          <w:lang w:eastAsia="es-CR"/>
        </w:rPr>
        <w:t> </w:t>
      </w:r>
      <w:r w:rsidRPr="00C00E70">
        <w:rPr>
          <w:b/>
          <w:bCs/>
          <w:sz w:val="20"/>
          <w:lang w:eastAsia="es-CR"/>
        </w:rPr>
        <w:t>731 (Rev.WRC-19)</w:t>
      </w:r>
      <w:r w:rsidRPr="00C00E70">
        <w:rPr>
          <w:sz w:val="20"/>
          <w:lang w:eastAsia="es-CR"/>
        </w:rPr>
        <w:t>.</w:t>
      </w:r>
    </w:p>
    <w:p w14:paraId="7680801F" w14:textId="77777777" w:rsidR="007D1289" w:rsidRDefault="007D1289" w:rsidP="004C5B4C">
      <w:pPr>
        <w:pStyle w:val="Note"/>
        <w:rPr>
          <w:rFonts w:ascii="Calibri" w:hAnsi="Calibri" w:cs="Calibri"/>
          <w:sz w:val="20"/>
        </w:rPr>
      </w:pPr>
      <w:r w:rsidRPr="00C00E70">
        <w:rPr>
          <w:sz w:val="20"/>
        </w:rPr>
        <w:t>The use of the above-mentioned frequency bands by land mobile and fixed service applications does not preclude use by, and does not establish priority over, any other applications of radio services in the range of 275-450 GHz.</w:t>
      </w:r>
      <w:r w:rsidRPr="00C00E70">
        <w:rPr>
          <w:sz w:val="14"/>
          <w:szCs w:val="14"/>
          <w:lang w:eastAsia="es-CR"/>
        </w:rPr>
        <w:t xml:space="preserve">      (WRC</w:t>
      </w:r>
      <w:r w:rsidRPr="00C00E70">
        <w:rPr>
          <w:sz w:val="14"/>
          <w:szCs w:val="14"/>
          <w:lang w:eastAsia="es-CR"/>
        </w:rPr>
        <w:noBreakHyphen/>
        <w:t>19)</w:t>
      </w:r>
    </w:p>
    <w:p w14:paraId="3AC00B04" w14:textId="77777777" w:rsidR="007D1289" w:rsidRPr="002D453E" w:rsidRDefault="007D1289" w:rsidP="002D453E">
      <w:pPr>
        <w:rPr>
          <w:lang w:eastAsia="ja-JP"/>
        </w:rPr>
      </w:pPr>
      <w:r>
        <w:rPr>
          <w:lang w:eastAsia="ja-JP"/>
        </w:rPr>
        <w:lastRenderedPageBreak/>
        <w:t xml:space="preserve">The results </w:t>
      </w:r>
      <w:r w:rsidRPr="00561E8B">
        <w:rPr>
          <w:lang w:eastAsia="ja-JP"/>
        </w:rPr>
        <w:t>of sharing and compatibility studies between LMS and FS applications planning to operate in the frequency range 275-450 GHz and passive services (radio astronomy service and Earth exploration-satellite service (passive</w:t>
      </w:r>
      <w:r>
        <w:rPr>
          <w:lang w:eastAsia="ja-JP"/>
        </w:rPr>
        <w:t>)</w:t>
      </w:r>
      <w:r w:rsidRPr="00561E8B">
        <w:rPr>
          <w:lang w:eastAsia="ja-JP"/>
        </w:rPr>
        <w:t>) that have been done pre</w:t>
      </w:r>
      <w:r>
        <w:rPr>
          <w:lang w:eastAsia="ja-JP"/>
        </w:rPr>
        <w:t>-</w:t>
      </w:r>
      <w:r w:rsidRPr="00561E8B">
        <w:rPr>
          <w:lang w:eastAsia="ja-JP"/>
        </w:rPr>
        <w:t>WRC-19</w:t>
      </w:r>
      <w:r>
        <w:rPr>
          <w:lang w:eastAsia="ja-JP"/>
        </w:rPr>
        <w:t xml:space="preserve"> </w:t>
      </w:r>
      <w:r w:rsidRPr="00561E8B">
        <w:rPr>
          <w:lang w:eastAsia="ja-JP"/>
        </w:rPr>
        <w:t xml:space="preserve">in </w:t>
      </w:r>
      <w:hyperlink r:id="rId9" w:history="1">
        <w:r w:rsidRPr="00D75A87">
          <w:t xml:space="preserve">Report </w:t>
        </w:r>
        <w:r w:rsidRPr="00561E8B">
          <w:rPr>
            <w:rStyle w:val="Hyperlink"/>
          </w:rPr>
          <w:t>ITU-R SM.2450</w:t>
        </w:r>
      </w:hyperlink>
      <w:r w:rsidRPr="00561E8B">
        <w:rPr>
          <w:rStyle w:val="Hyperlink"/>
        </w:rPr>
        <w:t xml:space="preserve"> </w:t>
      </w:r>
      <w:r w:rsidRPr="00561E8B">
        <w:rPr>
          <w:lang w:eastAsia="ja-JP"/>
        </w:rPr>
        <w:t>remain valid</w:t>
      </w:r>
      <w:r>
        <w:rPr>
          <w:lang w:eastAsia="ja-JP"/>
        </w:rPr>
        <w:t xml:space="preserve">; however, these studies conducted prior to WRC-19 </w:t>
      </w:r>
      <w:r w:rsidRPr="00561E8B">
        <w:rPr>
          <w:lang w:eastAsia="ja-JP"/>
        </w:rPr>
        <w:t xml:space="preserve">did not seek to develop </w:t>
      </w:r>
      <w:r>
        <w:rPr>
          <w:lang w:eastAsia="ja-JP"/>
        </w:rPr>
        <w:t>specific conditions</w:t>
      </w:r>
      <w:r w:rsidRPr="00561E8B">
        <w:rPr>
          <w:lang w:eastAsia="ja-JP"/>
        </w:rPr>
        <w:t xml:space="preserve"> (such as power limits, shielding requirements and/or elevation angle restrictions, etc.) that could facilitate sharing with EESS and focused on identifying spectrum for LMS/FS applications, where such restrictions would not be necessary to protect the passive services.</w:t>
      </w:r>
    </w:p>
    <w:bookmarkEnd w:id="11"/>
    <w:p w14:paraId="747365B4" w14:textId="77777777" w:rsidR="007D1289" w:rsidRPr="0016422A" w:rsidRDefault="007D1289" w:rsidP="004C5B4C">
      <w:pPr>
        <w:pStyle w:val="Heading1"/>
        <w:spacing w:after="240"/>
      </w:pPr>
      <w:r>
        <w:t>2</w:t>
      </w:r>
      <w:r w:rsidRPr="0016422A">
        <w:tab/>
        <w:t xml:space="preserve">Related Recommendations </w:t>
      </w:r>
      <w:r w:rsidRPr="004C5B4C">
        <w:t>and</w:t>
      </w:r>
      <w:r w:rsidRPr="0016422A">
        <w:t xml:space="preserve"> Reports</w:t>
      </w:r>
    </w:p>
    <w:tbl>
      <w:tblPr>
        <w:tblW w:w="9709" w:type="dxa"/>
        <w:tblLayout w:type="fixed"/>
        <w:tblCellMar>
          <w:left w:w="57" w:type="dxa"/>
          <w:right w:w="28" w:type="dxa"/>
        </w:tblCellMar>
        <w:tblLook w:val="0000" w:firstRow="0" w:lastRow="0" w:firstColumn="0" w:lastColumn="0" w:noHBand="0" w:noVBand="0"/>
      </w:tblPr>
      <w:tblGrid>
        <w:gridCol w:w="3544"/>
        <w:gridCol w:w="6165"/>
      </w:tblGrid>
      <w:tr w:rsidR="007D1289" w:rsidRPr="0016422A" w14:paraId="5B7B2CBD" w14:textId="77777777" w:rsidTr="00107A11">
        <w:tc>
          <w:tcPr>
            <w:tcW w:w="3544" w:type="dxa"/>
          </w:tcPr>
          <w:p w14:paraId="0A118EA6" w14:textId="77777777" w:rsidR="007D1289" w:rsidRPr="0016422A" w:rsidRDefault="00CF094F" w:rsidP="004C5B4C">
            <w:pPr>
              <w:keepNext/>
            </w:pPr>
            <w:hyperlink r:id="rId10" w:history="1">
              <w:r w:rsidR="007D1289" w:rsidRPr="007D1289">
                <w:t>Recommendation</w:t>
              </w:r>
              <w:r w:rsidR="007D1289" w:rsidRPr="007D1289">
                <w:rPr>
                  <w:rStyle w:val="Hyperlink"/>
                  <w:u w:val="none"/>
                </w:rPr>
                <w:t xml:space="preserve"> </w:t>
              </w:r>
              <w:r w:rsidR="007D1289" w:rsidRPr="004F7C9B">
                <w:rPr>
                  <w:rStyle w:val="Hyperlink"/>
                </w:rPr>
                <w:t>ITU-R M.1653</w:t>
              </w:r>
            </w:hyperlink>
            <w:r w:rsidR="007D1289" w:rsidRPr="0016422A">
              <w:rPr>
                <w:lang w:eastAsia="ja-JP"/>
              </w:rPr>
              <w:t>:</w:t>
            </w:r>
          </w:p>
        </w:tc>
        <w:tc>
          <w:tcPr>
            <w:tcW w:w="6165" w:type="dxa"/>
          </w:tcPr>
          <w:p w14:paraId="5E9A2B47" w14:textId="77777777" w:rsidR="007D1289" w:rsidRPr="0016422A" w:rsidRDefault="007D1289" w:rsidP="004C5B4C">
            <w:pPr>
              <w:keepNext/>
              <w:rPr>
                <w:iCs/>
              </w:rPr>
            </w:pPr>
            <w:r w:rsidRPr="0016422A">
              <w:rPr>
                <w:iCs/>
              </w:rPr>
              <w:t xml:space="preserve">Operational and deployment requirements for wireless access systems including radio local area networks in the mobile service to facilitate sharing between these systems and systems in the Earth exploration-satellite service (active) and the space research service (active) in the band 5 470-5 570 MHz within the 5 460-5 725 MHz range  </w:t>
            </w:r>
          </w:p>
        </w:tc>
      </w:tr>
      <w:tr w:rsidR="007D1289" w:rsidRPr="0016422A" w14:paraId="4490B65C" w14:textId="77777777" w:rsidTr="00107A11">
        <w:tc>
          <w:tcPr>
            <w:tcW w:w="3544" w:type="dxa"/>
          </w:tcPr>
          <w:p w14:paraId="1F7048B8" w14:textId="77777777" w:rsidR="007D1289" w:rsidRPr="00C00E70" w:rsidRDefault="00CF094F" w:rsidP="00107A11">
            <w:pPr>
              <w:rPr>
                <w:color w:val="000000" w:themeColor="text1"/>
              </w:rPr>
            </w:pPr>
            <w:hyperlink r:id="rId11" w:history="1">
              <w:r w:rsidR="007D1289" w:rsidRPr="007D1289">
                <w:t xml:space="preserve">Recommendation </w:t>
              </w:r>
              <w:r w:rsidR="007D1289" w:rsidRPr="00C00E70">
                <w:rPr>
                  <w:rStyle w:val="Hyperlink"/>
                  <w:szCs w:val="24"/>
                  <w:lang w:val="en-US"/>
                </w:rPr>
                <w:t>ITU-R M.1825</w:t>
              </w:r>
            </w:hyperlink>
            <w:r w:rsidR="007D1289">
              <w:rPr>
                <w:rStyle w:val="Hyperlink"/>
                <w:color w:val="000000" w:themeColor="text1"/>
                <w:szCs w:val="24"/>
                <w:lang w:val="en-US"/>
              </w:rPr>
              <w:t>:</w:t>
            </w:r>
          </w:p>
        </w:tc>
        <w:tc>
          <w:tcPr>
            <w:tcW w:w="6165" w:type="dxa"/>
          </w:tcPr>
          <w:p w14:paraId="31A29090" w14:textId="77777777" w:rsidR="007D1289" w:rsidRPr="0016422A" w:rsidRDefault="007D1289" w:rsidP="00107A11">
            <w:pPr>
              <w:rPr>
                <w:iCs/>
              </w:rPr>
            </w:pPr>
            <w:r>
              <w:rPr>
                <w:color w:val="000000"/>
                <w:szCs w:val="24"/>
                <w:lang w:val="en-US" w:eastAsia="zh-CN"/>
              </w:rPr>
              <w:t>Guidance on technical parameters and methodologies for sharing studies related to systems in the land mobile service</w:t>
            </w:r>
          </w:p>
        </w:tc>
      </w:tr>
      <w:tr w:rsidR="007D1289" w:rsidRPr="0016422A" w14:paraId="78B3D559" w14:textId="77777777" w:rsidTr="00107A11">
        <w:tc>
          <w:tcPr>
            <w:tcW w:w="3544" w:type="dxa"/>
          </w:tcPr>
          <w:p w14:paraId="7EB0BD49" w14:textId="77777777" w:rsidR="007D1289" w:rsidRPr="0016422A" w:rsidRDefault="00CF094F" w:rsidP="00107A11">
            <w:hyperlink r:id="rId12" w:history="1">
              <w:r w:rsidR="007D1289" w:rsidRPr="007D1289">
                <w:t xml:space="preserve">Recommendation </w:t>
              </w:r>
              <w:r w:rsidR="007D1289" w:rsidRPr="004F7C9B">
                <w:rPr>
                  <w:rStyle w:val="Hyperlink"/>
                </w:rPr>
                <w:t>ITU-R P.676</w:t>
              </w:r>
            </w:hyperlink>
            <w:r w:rsidR="007D1289" w:rsidRPr="0016422A">
              <w:t>:</w:t>
            </w:r>
          </w:p>
        </w:tc>
        <w:tc>
          <w:tcPr>
            <w:tcW w:w="6165" w:type="dxa"/>
          </w:tcPr>
          <w:p w14:paraId="5D5A9FDD" w14:textId="77777777" w:rsidR="007D1289" w:rsidRPr="0016422A" w:rsidRDefault="007D1289" w:rsidP="00107A11">
            <w:pPr>
              <w:rPr>
                <w:iCs/>
              </w:rPr>
            </w:pPr>
            <w:r w:rsidRPr="0016422A">
              <w:rPr>
                <w:iCs/>
              </w:rPr>
              <w:t>Attenuation by atmospheric gases</w:t>
            </w:r>
          </w:p>
        </w:tc>
      </w:tr>
      <w:tr w:rsidR="007D1289" w:rsidRPr="0016422A" w14:paraId="59968A31" w14:textId="77777777" w:rsidTr="00107A11">
        <w:tc>
          <w:tcPr>
            <w:tcW w:w="3544" w:type="dxa"/>
          </w:tcPr>
          <w:p w14:paraId="260C9F09" w14:textId="77777777" w:rsidR="007D1289" w:rsidRPr="0016422A" w:rsidRDefault="00CF094F" w:rsidP="00107A11">
            <w:hyperlink r:id="rId13" w:history="1">
              <w:r w:rsidR="007D1289" w:rsidRPr="007D1289">
                <w:t xml:space="preserve">Recommendation </w:t>
              </w:r>
              <w:r w:rsidR="007D1289" w:rsidRPr="004F7C9B">
                <w:rPr>
                  <w:rStyle w:val="Hyperlink"/>
                </w:rPr>
                <w:t>ITU-R P.838</w:t>
              </w:r>
            </w:hyperlink>
            <w:r w:rsidR="007D1289" w:rsidRPr="0016422A">
              <w:t>:</w:t>
            </w:r>
          </w:p>
        </w:tc>
        <w:tc>
          <w:tcPr>
            <w:tcW w:w="6165" w:type="dxa"/>
          </w:tcPr>
          <w:p w14:paraId="4D3DDEBB" w14:textId="77777777" w:rsidR="007D1289" w:rsidRPr="0016422A" w:rsidRDefault="007D1289" w:rsidP="00107A11">
            <w:pPr>
              <w:rPr>
                <w:iCs/>
              </w:rPr>
            </w:pPr>
            <w:r w:rsidRPr="0016422A">
              <w:rPr>
                <w:iCs/>
              </w:rPr>
              <w:t>Specific attenuation model for rain for use in prediction methods</w:t>
            </w:r>
          </w:p>
        </w:tc>
      </w:tr>
      <w:tr w:rsidR="007D1289" w:rsidRPr="0016422A" w14:paraId="7B69046D" w14:textId="77777777" w:rsidTr="00107A11">
        <w:tc>
          <w:tcPr>
            <w:tcW w:w="3544" w:type="dxa"/>
          </w:tcPr>
          <w:p w14:paraId="7F4066F8" w14:textId="77777777" w:rsidR="007D1289" w:rsidRPr="0016422A" w:rsidRDefault="00CF094F" w:rsidP="00107A11">
            <w:hyperlink r:id="rId14" w:history="1">
              <w:r w:rsidR="007D1289" w:rsidRPr="007D1289">
                <w:t xml:space="preserve">Recommendation </w:t>
              </w:r>
              <w:r w:rsidR="007D1289" w:rsidRPr="004F7C9B">
                <w:rPr>
                  <w:rStyle w:val="Hyperlink"/>
                </w:rPr>
                <w:t>ITU-R P.840</w:t>
              </w:r>
            </w:hyperlink>
            <w:r w:rsidR="007D1289" w:rsidRPr="0016422A">
              <w:t>:</w:t>
            </w:r>
          </w:p>
        </w:tc>
        <w:tc>
          <w:tcPr>
            <w:tcW w:w="6165" w:type="dxa"/>
          </w:tcPr>
          <w:p w14:paraId="64BB2AE2" w14:textId="77777777" w:rsidR="007D1289" w:rsidRPr="0016422A" w:rsidRDefault="007D1289" w:rsidP="00107A11">
            <w:pPr>
              <w:rPr>
                <w:iCs/>
              </w:rPr>
            </w:pPr>
            <w:r w:rsidRPr="0016422A">
              <w:rPr>
                <w:iCs/>
              </w:rPr>
              <w:t>Attenuation due to clouds and fog</w:t>
            </w:r>
          </w:p>
        </w:tc>
      </w:tr>
      <w:tr w:rsidR="007D1289" w:rsidRPr="0016422A" w14:paraId="5DE3016F" w14:textId="77777777" w:rsidTr="00107A11">
        <w:tc>
          <w:tcPr>
            <w:tcW w:w="3544" w:type="dxa"/>
          </w:tcPr>
          <w:p w14:paraId="06DBD21F" w14:textId="77777777" w:rsidR="007D1289" w:rsidRDefault="00CF094F" w:rsidP="007D1289">
            <w:hyperlink r:id="rId15" w:history="1">
              <w:r w:rsidR="007D1289" w:rsidRPr="007D1289">
                <w:t xml:space="preserve">Recommendation </w:t>
              </w:r>
              <w:r w:rsidR="007D1289">
                <w:rPr>
                  <w:rStyle w:val="Hyperlink"/>
                </w:rPr>
                <w:t>ITU-R P.2109</w:t>
              </w:r>
            </w:hyperlink>
            <w:r w:rsidR="007D1289" w:rsidRPr="0016422A">
              <w:t>:</w:t>
            </w:r>
          </w:p>
        </w:tc>
        <w:tc>
          <w:tcPr>
            <w:tcW w:w="6165" w:type="dxa"/>
          </w:tcPr>
          <w:p w14:paraId="3A18A0F1" w14:textId="77777777" w:rsidR="007D1289" w:rsidRPr="0016422A" w:rsidRDefault="007D1289" w:rsidP="00107A11">
            <w:pPr>
              <w:rPr>
                <w:iCs/>
              </w:rPr>
            </w:pPr>
            <w:r w:rsidRPr="00C00E70">
              <w:rPr>
                <w:iCs/>
              </w:rPr>
              <w:t>Prediction of building entry loss</w:t>
            </w:r>
          </w:p>
        </w:tc>
      </w:tr>
      <w:tr w:rsidR="007D1289" w:rsidRPr="0016422A" w14:paraId="46F70525" w14:textId="77777777" w:rsidTr="00107A11">
        <w:tc>
          <w:tcPr>
            <w:tcW w:w="3544" w:type="dxa"/>
          </w:tcPr>
          <w:p w14:paraId="68BAEEE4" w14:textId="77777777" w:rsidR="007D1289" w:rsidRPr="009857F0" w:rsidRDefault="00CF094F" w:rsidP="007D1289">
            <w:hyperlink r:id="rId16" w:history="1">
              <w:r w:rsidR="007D1289" w:rsidRPr="007D1289">
                <w:t xml:space="preserve">Recommendation </w:t>
              </w:r>
              <w:r w:rsidR="007D1289" w:rsidRPr="009857F0">
                <w:rPr>
                  <w:rStyle w:val="Hyperlink"/>
                </w:rPr>
                <w:t>ITU-R RS.2017</w:t>
              </w:r>
            </w:hyperlink>
            <w:r w:rsidR="007D1289" w:rsidRPr="009857F0">
              <w:rPr>
                <w:rStyle w:val="href"/>
                <w:szCs w:val="24"/>
                <w:lang w:val="en-US"/>
              </w:rPr>
              <w:t>:</w:t>
            </w:r>
          </w:p>
        </w:tc>
        <w:tc>
          <w:tcPr>
            <w:tcW w:w="6165" w:type="dxa"/>
          </w:tcPr>
          <w:p w14:paraId="666B8C6C" w14:textId="77777777" w:rsidR="007D1289" w:rsidRPr="009857F0" w:rsidRDefault="007D1289" w:rsidP="00107A11">
            <w:pPr>
              <w:rPr>
                <w:bCs/>
                <w:iCs/>
              </w:rPr>
            </w:pPr>
            <w:r w:rsidRPr="009857F0">
              <w:rPr>
                <w:bCs/>
                <w:szCs w:val="24"/>
                <w:lang w:val="en-US"/>
              </w:rPr>
              <w:t>Performance and interference criteria for satellite passive remote sensing</w:t>
            </w:r>
          </w:p>
        </w:tc>
      </w:tr>
      <w:tr w:rsidR="007D1289" w:rsidRPr="0016422A" w14:paraId="5235A3C1" w14:textId="77777777" w:rsidTr="00107A11">
        <w:tc>
          <w:tcPr>
            <w:tcW w:w="3544" w:type="dxa"/>
          </w:tcPr>
          <w:p w14:paraId="0D8D243A" w14:textId="096C88CA" w:rsidR="007D1289" w:rsidRDefault="00CF094F" w:rsidP="007D1289">
            <w:hyperlink r:id="rId17" w:history="1">
              <w:r w:rsidR="007D1289" w:rsidRPr="007D1289">
                <w:t xml:space="preserve">Report </w:t>
              </w:r>
              <w:r w:rsidR="007D1289" w:rsidRPr="008E1483">
                <w:rPr>
                  <w:rStyle w:val="Hyperlink"/>
                </w:rPr>
                <w:t>ITU-R RS.2431</w:t>
              </w:r>
            </w:hyperlink>
            <w:r w:rsidR="007D1289">
              <w:t>:</w:t>
            </w:r>
          </w:p>
        </w:tc>
        <w:tc>
          <w:tcPr>
            <w:tcW w:w="6165" w:type="dxa"/>
          </w:tcPr>
          <w:p w14:paraId="7AB378FE" w14:textId="77777777" w:rsidR="007D1289" w:rsidRPr="0016422A" w:rsidRDefault="007D1289" w:rsidP="00107A11">
            <w:pPr>
              <w:rPr>
                <w:iCs/>
              </w:rPr>
            </w:pPr>
            <w:r w:rsidRPr="008E1483">
              <w:rPr>
                <w:iCs/>
              </w:rPr>
              <w:t>Technical and operational characteristics of EESS (passive) systems in the frequency range 275-450 GHz</w:t>
            </w:r>
          </w:p>
        </w:tc>
      </w:tr>
      <w:tr w:rsidR="007D1289" w:rsidRPr="0016422A" w14:paraId="219F195C" w14:textId="77777777" w:rsidTr="00107A11">
        <w:tc>
          <w:tcPr>
            <w:tcW w:w="3544" w:type="dxa"/>
          </w:tcPr>
          <w:p w14:paraId="6ED80A23" w14:textId="77777777" w:rsidR="007D1289" w:rsidRPr="0016422A" w:rsidRDefault="00CF094F" w:rsidP="007D1289">
            <w:hyperlink r:id="rId18" w:history="1">
              <w:r w:rsidR="007D1289" w:rsidRPr="007D1289">
                <w:t xml:space="preserve">Report </w:t>
              </w:r>
              <w:r w:rsidR="007D1289" w:rsidRPr="004F7C9B">
                <w:rPr>
                  <w:rStyle w:val="Hyperlink"/>
                </w:rPr>
                <w:t>ITU-R SM.2352</w:t>
              </w:r>
            </w:hyperlink>
            <w:r w:rsidR="007D1289" w:rsidRPr="0016422A">
              <w:t>:</w:t>
            </w:r>
          </w:p>
        </w:tc>
        <w:tc>
          <w:tcPr>
            <w:tcW w:w="6165" w:type="dxa"/>
          </w:tcPr>
          <w:p w14:paraId="7109D78C" w14:textId="77777777" w:rsidR="007D1289" w:rsidRPr="0016422A" w:rsidRDefault="007D1289" w:rsidP="00107A11">
            <w:pPr>
              <w:rPr>
                <w:iCs/>
              </w:rPr>
            </w:pPr>
            <w:r w:rsidRPr="0016422A">
              <w:rPr>
                <w:iCs/>
              </w:rPr>
              <w:t>Technology trends of active services in the frequency range 275</w:t>
            </w:r>
            <w:r w:rsidRPr="0016422A">
              <w:rPr>
                <w:iCs/>
              </w:rPr>
              <w:noBreakHyphen/>
              <w:t>3 000 GHz</w:t>
            </w:r>
          </w:p>
        </w:tc>
      </w:tr>
      <w:tr w:rsidR="007D1289" w:rsidRPr="0016422A" w14:paraId="36195CE0" w14:textId="77777777" w:rsidTr="00107A11">
        <w:tc>
          <w:tcPr>
            <w:tcW w:w="3544" w:type="dxa"/>
          </w:tcPr>
          <w:p w14:paraId="6F9CAFDE" w14:textId="77777777" w:rsidR="007D1289" w:rsidRPr="00833205" w:rsidRDefault="00CF094F" w:rsidP="00107A11">
            <w:hyperlink r:id="rId19" w:history="1">
              <w:r w:rsidR="007D1289" w:rsidRPr="007D1289">
                <w:t xml:space="preserve">Report </w:t>
              </w:r>
              <w:r w:rsidR="007D1289" w:rsidRPr="004F7C9B">
                <w:rPr>
                  <w:rStyle w:val="Hyperlink"/>
                </w:rPr>
                <w:t>ITU-R SM.2450</w:t>
              </w:r>
            </w:hyperlink>
            <w:r w:rsidR="007D1289" w:rsidRPr="00833205">
              <w:t>:</w:t>
            </w:r>
          </w:p>
        </w:tc>
        <w:tc>
          <w:tcPr>
            <w:tcW w:w="6165" w:type="dxa"/>
          </w:tcPr>
          <w:p w14:paraId="6913C27E" w14:textId="77777777" w:rsidR="007D1289" w:rsidRPr="00833205" w:rsidRDefault="007D1289" w:rsidP="00107A11">
            <w:pPr>
              <w:rPr>
                <w:iCs/>
              </w:rPr>
            </w:pPr>
            <w:r w:rsidRPr="00833205">
              <w:t>Sharing and compatibility studies between land-mobile, fixed and passive services in the frequency range 275-450 GHz</w:t>
            </w:r>
          </w:p>
        </w:tc>
      </w:tr>
      <w:tr w:rsidR="007D1289" w:rsidRPr="0016422A" w14:paraId="632919EA" w14:textId="77777777" w:rsidTr="00107A11">
        <w:tc>
          <w:tcPr>
            <w:tcW w:w="3544" w:type="dxa"/>
          </w:tcPr>
          <w:p w14:paraId="060CD5F2" w14:textId="77777777" w:rsidR="007D1289" w:rsidRDefault="007D1289" w:rsidP="008F0E1E">
            <w:r w:rsidRPr="009857F0">
              <w:t>…</w:t>
            </w:r>
          </w:p>
        </w:tc>
        <w:tc>
          <w:tcPr>
            <w:tcW w:w="6165" w:type="dxa"/>
          </w:tcPr>
          <w:p w14:paraId="35784CDA" w14:textId="77777777" w:rsidR="007D1289" w:rsidRPr="00833205" w:rsidRDefault="007D1289" w:rsidP="008F0E1E"/>
        </w:tc>
      </w:tr>
    </w:tbl>
    <w:p w14:paraId="3AD4143A" w14:textId="77777777" w:rsidR="007D1289" w:rsidRPr="0016422A" w:rsidRDefault="007D1289" w:rsidP="00107A11">
      <w:pPr>
        <w:pStyle w:val="Heading1"/>
      </w:pPr>
      <w:r>
        <w:t>3</w:t>
      </w:r>
      <w:r w:rsidRPr="0016422A">
        <w:tab/>
        <w:t>List of acronyms and abbreviations</w:t>
      </w:r>
    </w:p>
    <w:tbl>
      <w:tblPr>
        <w:tblW w:w="0" w:type="auto"/>
        <w:tblLayout w:type="fixed"/>
        <w:tblCellMar>
          <w:left w:w="70" w:type="dxa"/>
          <w:right w:w="70" w:type="dxa"/>
        </w:tblCellMar>
        <w:tblLook w:val="0000" w:firstRow="0" w:lastRow="0" w:firstColumn="0" w:lastColumn="0" w:noHBand="0" w:noVBand="0"/>
      </w:tblPr>
      <w:tblGrid>
        <w:gridCol w:w="1134"/>
        <w:gridCol w:w="8476"/>
      </w:tblGrid>
      <w:tr w:rsidR="007D1289" w:rsidRPr="0016422A" w14:paraId="2922FA11" w14:textId="77777777" w:rsidTr="00107A11">
        <w:tc>
          <w:tcPr>
            <w:tcW w:w="1134" w:type="dxa"/>
          </w:tcPr>
          <w:p w14:paraId="7518D653" w14:textId="77777777" w:rsidR="007D1289" w:rsidRPr="0016422A" w:rsidRDefault="007D1289" w:rsidP="00107A11">
            <w:r>
              <w:t>…</w:t>
            </w:r>
          </w:p>
        </w:tc>
        <w:tc>
          <w:tcPr>
            <w:tcW w:w="8476" w:type="dxa"/>
          </w:tcPr>
          <w:p w14:paraId="54E32583" w14:textId="77777777" w:rsidR="007D1289" w:rsidRPr="0016422A" w:rsidRDefault="007D1289" w:rsidP="00107A11"/>
        </w:tc>
      </w:tr>
      <w:tr w:rsidR="007D1289" w:rsidRPr="0016422A" w14:paraId="4B7CCEA7" w14:textId="77777777" w:rsidTr="00107A11">
        <w:tc>
          <w:tcPr>
            <w:tcW w:w="1134" w:type="dxa"/>
          </w:tcPr>
          <w:p w14:paraId="3DE03219" w14:textId="77777777" w:rsidR="007D1289" w:rsidRPr="0016422A" w:rsidRDefault="007D1289" w:rsidP="00107A11"/>
        </w:tc>
        <w:tc>
          <w:tcPr>
            <w:tcW w:w="8476" w:type="dxa"/>
          </w:tcPr>
          <w:p w14:paraId="5CEEAD57" w14:textId="77777777" w:rsidR="007D1289" w:rsidRPr="0016422A" w:rsidRDefault="007D1289" w:rsidP="00107A11"/>
        </w:tc>
      </w:tr>
    </w:tbl>
    <w:p w14:paraId="0E10B3AA" w14:textId="77777777" w:rsidR="007D1289" w:rsidRPr="0016422A" w:rsidRDefault="007D1289" w:rsidP="00107A11">
      <w:pPr>
        <w:pStyle w:val="Heading1"/>
      </w:pPr>
      <w:r>
        <w:t>4</w:t>
      </w:r>
      <w:r w:rsidRPr="0016422A">
        <w:tab/>
      </w:r>
      <w:r w:rsidRPr="00833205">
        <w:t>System characteristics of Earth exploration-satellite service (passive) operating in the frequency range 275-450 GHz</w:t>
      </w:r>
      <w:r>
        <w:t>, relevant for the mobile service</w:t>
      </w:r>
    </w:p>
    <w:p w14:paraId="31C92FD0" w14:textId="74DBB78D" w:rsidR="007D1289" w:rsidRDefault="007D1289" w:rsidP="007D1289">
      <w:pPr>
        <w:pStyle w:val="EditorsNote"/>
      </w:pPr>
      <w:r w:rsidRPr="008E1483">
        <w:t xml:space="preserve">[Editor’s note: </w:t>
      </w:r>
      <w:r>
        <w:t>Summarize</w:t>
      </w:r>
      <w:r w:rsidRPr="008E1483">
        <w:t xml:space="preserve"> key elements from </w:t>
      </w:r>
      <w:hyperlink r:id="rId20" w:history="1">
        <w:r w:rsidRPr="00D75A87">
          <w:t xml:space="preserve">Report </w:t>
        </w:r>
        <w:r w:rsidRPr="007D1289">
          <w:rPr>
            <w:rStyle w:val="Hyperlink"/>
          </w:rPr>
          <w:t>ITU-R RS.2431</w:t>
        </w:r>
      </w:hyperlink>
      <w:r w:rsidRPr="008E1483">
        <w:t>]</w:t>
      </w:r>
    </w:p>
    <w:p w14:paraId="0E3C1B1A" w14:textId="77777777" w:rsidR="007D1289" w:rsidRPr="008E1483" w:rsidRDefault="007D1289" w:rsidP="00107A11">
      <w:pPr>
        <w:pStyle w:val="Tablefin"/>
        <w:rPr>
          <w:sz w:val="24"/>
        </w:rPr>
      </w:pPr>
      <w:r w:rsidRPr="008E1483">
        <w:rPr>
          <w:sz w:val="24"/>
        </w:rPr>
        <w:t>…</w:t>
      </w:r>
    </w:p>
    <w:p w14:paraId="32E8746F" w14:textId="77777777" w:rsidR="007D1289" w:rsidRPr="0016422A" w:rsidRDefault="007D1289" w:rsidP="00107A11">
      <w:pPr>
        <w:pStyle w:val="Heading1"/>
        <w:rPr>
          <w:lang w:eastAsia="ja-JP"/>
        </w:rPr>
      </w:pPr>
      <w:r>
        <w:rPr>
          <w:lang w:eastAsia="ja-JP"/>
        </w:rPr>
        <w:lastRenderedPageBreak/>
        <w:t>5</w:t>
      </w:r>
      <w:r w:rsidRPr="0016422A">
        <w:rPr>
          <w:lang w:eastAsia="ja-JP"/>
        </w:rPr>
        <w:tab/>
        <w:t xml:space="preserve">Overview of land-mobile </w:t>
      </w:r>
      <w:r w:rsidRPr="0016422A">
        <w:t>service</w:t>
      </w:r>
      <w:r w:rsidRPr="0016422A">
        <w:rPr>
          <w:lang w:eastAsia="ja-JP"/>
        </w:rPr>
        <w:t xml:space="preserve"> applications in the frequency range 275-450 GHz</w:t>
      </w:r>
    </w:p>
    <w:p w14:paraId="1AC7A4D0" w14:textId="77777777" w:rsidR="007D1289" w:rsidRDefault="007D1289" w:rsidP="00833205">
      <w:pPr>
        <w:rPr>
          <w:lang w:eastAsia="ja-JP"/>
        </w:rPr>
      </w:pPr>
      <w:r w:rsidRPr="0016422A">
        <w:rPr>
          <w:lang w:eastAsia="ja-JP"/>
        </w:rPr>
        <w:t xml:space="preserve">Report </w:t>
      </w:r>
      <w:r>
        <w:rPr>
          <w:lang w:eastAsia="ja-JP"/>
        </w:rPr>
        <w:t xml:space="preserve">ITU-R M.2417 </w:t>
      </w:r>
      <w:r w:rsidRPr="0016422A">
        <w:rPr>
          <w:lang w:eastAsia="ja-JP"/>
        </w:rPr>
        <w:t>provides the technical and operational characteristics of land-mobile service applications in the frequency range 275-450 GHz for sharing and compatibility studies</w:t>
      </w:r>
      <w:r>
        <w:rPr>
          <w:lang w:eastAsia="ja-JP"/>
        </w:rPr>
        <w:t>, including:</w:t>
      </w:r>
    </w:p>
    <w:p w14:paraId="780A74E9" w14:textId="08572424" w:rsidR="007D1289" w:rsidRDefault="007D1289" w:rsidP="004C5B4C">
      <w:pPr>
        <w:pStyle w:val="enumlev1"/>
        <w:rPr>
          <w:lang w:eastAsia="ja-JP"/>
        </w:rPr>
      </w:pPr>
      <w:r>
        <w:rPr>
          <w:lang w:eastAsia="ja-JP"/>
        </w:rPr>
        <w:t>–</w:t>
      </w:r>
      <w:r>
        <w:rPr>
          <w:lang w:eastAsia="ja-JP"/>
        </w:rPr>
        <w:tab/>
        <w:t>Close proximity mobile systems (CPMSs)</w:t>
      </w:r>
    </w:p>
    <w:p w14:paraId="4433F512" w14:textId="60AE1973" w:rsidR="007D1289" w:rsidRDefault="007D1289" w:rsidP="004C5B4C">
      <w:pPr>
        <w:pStyle w:val="enumlev1"/>
        <w:rPr>
          <w:lang w:eastAsia="ja-JP"/>
        </w:rPr>
      </w:pPr>
      <w:r>
        <w:rPr>
          <w:lang w:eastAsia="ja-JP"/>
        </w:rPr>
        <w:t>–</w:t>
      </w:r>
      <w:r>
        <w:rPr>
          <w:lang w:eastAsia="ja-JP"/>
        </w:rPr>
        <w:tab/>
        <w:t>KIOSK downloading mobile systems</w:t>
      </w:r>
    </w:p>
    <w:p w14:paraId="184D9912" w14:textId="097865F9" w:rsidR="007D1289" w:rsidRDefault="007D1289" w:rsidP="004C5B4C">
      <w:pPr>
        <w:pStyle w:val="enumlev1"/>
        <w:rPr>
          <w:lang w:eastAsia="ja-JP"/>
        </w:rPr>
      </w:pPr>
      <w:r>
        <w:rPr>
          <w:lang w:eastAsia="ja-JP"/>
        </w:rPr>
        <w:t>–</w:t>
      </w:r>
      <w:r>
        <w:rPr>
          <w:lang w:eastAsia="ja-JP"/>
        </w:rPr>
        <w:tab/>
        <w:t>Ticket gate downloading mobile systems</w:t>
      </w:r>
    </w:p>
    <w:p w14:paraId="73F5FFBC" w14:textId="154DAD5A" w:rsidR="007D1289" w:rsidRDefault="007D1289" w:rsidP="004C5B4C">
      <w:pPr>
        <w:pStyle w:val="enumlev1"/>
        <w:rPr>
          <w:lang w:eastAsia="ja-JP"/>
        </w:rPr>
      </w:pPr>
      <w:r>
        <w:rPr>
          <w:lang w:eastAsia="ja-JP"/>
        </w:rPr>
        <w:t>–</w:t>
      </w:r>
      <w:r>
        <w:rPr>
          <w:lang w:eastAsia="ja-JP"/>
        </w:rPr>
        <w:tab/>
        <w:t>Inter-chip communication systems</w:t>
      </w:r>
    </w:p>
    <w:p w14:paraId="3F60B1FA" w14:textId="005AC165" w:rsidR="007D1289" w:rsidRDefault="007D1289" w:rsidP="004C5B4C">
      <w:pPr>
        <w:pStyle w:val="enumlev1"/>
        <w:rPr>
          <w:lang w:eastAsia="ja-JP"/>
        </w:rPr>
      </w:pPr>
      <w:r>
        <w:rPr>
          <w:lang w:eastAsia="ja-JP"/>
        </w:rPr>
        <w:t>–</w:t>
      </w:r>
      <w:r>
        <w:rPr>
          <w:lang w:eastAsia="ja-JP"/>
        </w:rPr>
        <w:tab/>
        <w:t xml:space="preserve">Intra-device communications </w:t>
      </w:r>
    </w:p>
    <w:p w14:paraId="7B98A633" w14:textId="5EF1706D" w:rsidR="007D1289" w:rsidRPr="0016422A" w:rsidRDefault="007D1289" w:rsidP="004C5B4C">
      <w:pPr>
        <w:pStyle w:val="enumlev1"/>
        <w:rPr>
          <w:lang w:eastAsia="ja-JP"/>
        </w:rPr>
      </w:pPr>
      <w:r>
        <w:rPr>
          <w:lang w:eastAsia="ja-JP"/>
        </w:rPr>
        <w:t>–</w:t>
      </w:r>
      <w:r>
        <w:rPr>
          <w:lang w:eastAsia="ja-JP"/>
        </w:rPr>
        <w:tab/>
        <w:t>Wireless links for data centres</w:t>
      </w:r>
    </w:p>
    <w:p w14:paraId="2A2CDF53" w14:textId="77777777" w:rsidR="007D1289" w:rsidRDefault="007D1289" w:rsidP="007D1289">
      <w:r>
        <w:t>…</w:t>
      </w:r>
    </w:p>
    <w:p w14:paraId="1680431B" w14:textId="77777777" w:rsidR="007D1289" w:rsidRPr="0016422A" w:rsidRDefault="007D1289" w:rsidP="004F7C9B">
      <w:pPr>
        <w:pStyle w:val="Heading1"/>
      </w:pPr>
      <w:r>
        <w:t>6</w:t>
      </w:r>
      <w:r w:rsidRPr="0016422A">
        <w:tab/>
      </w:r>
      <w:bookmarkStart w:id="12" w:name="_Hlk52550992"/>
      <w:r w:rsidRPr="004F7C9B">
        <w:t>Mitigation techniques and specific conditions to be applied to the land mobile service applications</w:t>
      </w:r>
    </w:p>
    <w:p w14:paraId="519B0F04" w14:textId="77777777" w:rsidR="007D1289" w:rsidRPr="004F7C9B" w:rsidRDefault="007D1289" w:rsidP="004F7C9B">
      <w:pPr>
        <w:pStyle w:val="Tablefin"/>
        <w:spacing w:before="120"/>
        <w:rPr>
          <w:i/>
          <w:iCs/>
          <w:sz w:val="24"/>
        </w:rPr>
      </w:pPr>
      <w:bookmarkStart w:id="13" w:name="_Hlk52551029"/>
      <w:r w:rsidRPr="004F7C9B">
        <w:rPr>
          <w:i/>
          <w:iCs/>
          <w:sz w:val="24"/>
        </w:rPr>
        <w:t>[TBD]</w:t>
      </w:r>
    </w:p>
    <w:bookmarkEnd w:id="12"/>
    <w:bookmarkEnd w:id="13"/>
    <w:p w14:paraId="11AB2C77" w14:textId="6F730127" w:rsidR="000069D4" w:rsidRDefault="000069D4" w:rsidP="00DD4BED">
      <w:pPr>
        <w:rPr>
          <w:lang w:val="en-US" w:eastAsia="zh-CN"/>
        </w:rPr>
      </w:pPr>
    </w:p>
    <w:p w14:paraId="36C2E19C" w14:textId="77777777" w:rsidR="007D1289" w:rsidRDefault="007D1289" w:rsidP="0032202E">
      <w:pPr>
        <w:pStyle w:val="Reasons"/>
      </w:pPr>
    </w:p>
    <w:p w14:paraId="2A00232A" w14:textId="13FFC58B" w:rsidR="007D1289" w:rsidRPr="007D1289" w:rsidRDefault="007D1289" w:rsidP="007D1289">
      <w:pPr>
        <w:jc w:val="center"/>
      </w:pPr>
      <w:r>
        <w:t>______________</w:t>
      </w:r>
    </w:p>
    <w:sectPr w:rsidR="007D1289" w:rsidRPr="007D1289" w:rsidSect="00D02712">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FE9FB" w14:textId="77777777" w:rsidR="006367E3" w:rsidRDefault="006367E3">
      <w:r>
        <w:separator/>
      </w:r>
    </w:p>
  </w:endnote>
  <w:endnote w:type="continuationSeparator" w:id="0">
    <w:p w14:paraId="1681994E" w14:textId="77777777" w:rsidR="006367E3" w:rsidRDefault="0063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97A7" w14:textId="7A9C12E5" w:rsidR="00FA124A" w:rsidRPr="002F7CB3" w:rsidRDefault="009A0767">
    <w:pPr>
      <w:pStyle w:val="Footer"/>
      <w:rPr>
        <w:lang w:val="en-US"/>
      </w:rPr>
    </w:pPr>
    <w:fldSimple w:instr=" FILENAME \p \* MERGEFORMAT ">
      <w:r w:rsidR="00CF094F" w:rsidRPr="00CF094F">
        <w:rPr>
          <w:lang w:val="en-US"/>
        </w:rPr>
        <w:t>M</w:t>
      </w:r>
      <w:r w:rsidR="00CF094F">
        <w:t>:\BRSGD\TEXT2019\SG05\WP5A\200\221\221N14e.docx</w:t>
      </w:r>
    </w:fldSimple>
    <w:r w:rsidR="00FA124A" w:rsidRPr="002F7CB3">
      <w:rPr>
        <w:lang w:val="en-US"/>
      </w:rPr>
      <w:tab/>
    </w:r>
    <w:r w:rsidR="00D02712">
      <w:fldChar w:fldCharType="begin"/>
    </w:r>
    <w:r w:rsidR="00FA124A">
      <w:instrText xml:space="preserve"> savedate \@ dd.MM.yy </w:instrText>
    </w:r>
    <w:r w:rsidR="00D02712">
      <w:fldChar w:fldCharType="separate"/>
    </w:r>
    <w:r w:rsidR="00CF094F">
      <w:t>20.11.20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CF094F">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C7AF" w14:textId="63993723" w:rsidR="00FA124A" w:rsidRPr="002F7CB3" w:rsidRDefault="009A0767" w:rsidP="00E6257C">
    <w:pPr>
      <w:pStyle w:val="Footer"/>
      <w:rPr>
        <w:lang w:val="en-US"/>
      </w:rPr>
    </w:pPr>
    <w:fldSimple w:instr=" FILENAME \p \* MERGEFORMAT ">
      <w:r w:rsidR="00CF094F" w:rsidRPr="00CF094F">
        <w:rPr>
          <w:lang w:val="en-US"/>
        </w:rPr>
        <w:t>M</w:t>
      </w:r>
      <w:r w:rsidR="00CF094F">
        <w:t>:\BRSGD\TEXT2019\SG05\WP5A\200\221\221N14e.docx</w:t>
      </w:r>
    </w:fldSimple>
    <w:r w:rsidR="00FA124A" w:rsidRPr="002F7CB3">
      <w:rPr>
        <w:lang w:val="en-US"/>
      </w:rPr>
      <w:tab/>
    </w:r>
    <w:r w:rsidR="00D02712">
      <w:fldChar w:fldCharType="begin"/>
    </w:r>
    <w:r w:rsidR="00FA124A">
      <w:instrText xml:space="preserve"> savedate \@ dd.MM.yy </w:instrText>
    </w:r>
    <w:r w:rsidR="00D02712">
      <w:fldChar w:fldCharType="separate"/>
    </w:r>
    <w:r w:rsidR="00CF094F">
      <w:t>20.11.20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CF094F">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CE45A" w14:textId="77777777" w:rsidR="006367E3" w:rsidRDefault="006367E3">
      <w:r>
        <w:t>____________________</w:t>
      </w:r>
    </w:p>
  </w:footnote>
  <w:footnote w:type="continuationSeparator" w:id="0">
    <w:p w14:paraId="2019594E" w14:textId="77777777" w:rsidR="006367E3" w:rsidRDefault="0063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8A6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05F66200" w14:textId="45AE65D3" w:rsidR="00FA124A" w:rsidRDefault="006367E3">
    <w:pPr>
      <w:pStyle w:val="Header"/>
      <w:rPr>
        <w:lang w:val="en-US"/>
      </w:rPr>
    </w:pPr>
    <w:r>
      <w:rPr>
        <w:lang w:val="en-US"/>
      </w:rPr>
      <w:t>5A/</w:t>
    </w:r>
    <w:r w:rsidR="00F05B71">
      <w:rPr>
        <w:lang w:val="en-US"/>
      </w:rPr>
      <w:t>2</w:t>
    </w:r>
    <w:r w:rsidR="009A0767">
      <w:rPr>
        <w:lang w:val="en-US"/>
      </w:rPr>
      <w:t>21</w:t>
    </w:r>
    <w:r w:rsidR="00F05B71">
      <w:rPr>
        <w:lang w:val="en-US"/>
      </w:rPr>
      <w:t>(Annex 14)</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E3"/>
    <w:rsid w:val="000069D4"/>
    <w:rsid w:val="000174AD"/>
    <w:rsid w:val="000356AB"/>
    <w:rsid w:val="00047A1D"/>
    <w:rsid w:val="000604B9"/>
    <w:rsid w:val="000A7D55"/>
    <w:rsid w:val="000C12C8"/>
    <w:rsid w:val="000C2E8E"/>
    <w:rsid w:val="000E0E7C"/>
    <w:rsid w:val="000F1B4B"/>
    <w:rsid w:val="0012744F"/>
    <w:rsid w:val="00131178"/>
    <w:rsid w:val="00156F66"/>
    <w:rsid w:val="00163271"/>
    <w:rsid w:val="001717B1"/>
    <w:rsid w:val="00172122"/>
    <w:rsid w:val="00182528"/>
    <w:rsid w:val="0018500B"/>
    <w:rsid w:val="00196A19"/>
    <w:rsid w:val="001A3074"/>
    <w:rsid w:val="00202DC1"/>
    <w:rsid w:val="002116EE"/>
    <w:rsid w:val="002309D8"/>
    <w:rsid w:val="00292C59"/>
    <w:rsid w:val="002A7FE2"/>
    <w:rsid w:val="002B0BE3"/>
    <w:rsid w:val="002D0BF7"/>
    <w:rsid w:val="002E1B4F"/>
    <w:rsid w:val="002E71D7"/>
    <w:rsid w:val="002F2E67"/>
    <w:rsid w:val="002F7CB3"/>
    <w:rsid w:val="00315546"/>
    <w:rsid w:val="00330567"/>
    <w:rsid w:val="00386A9D"/>
    <w:rsid w:val="00391081"/>
    <w:rsid w:val="003B2789"/>
    <w:rsid w:val="003C13CE"/>
    <w:rsid w:val="003C697E"/>
    <w:rsid w:val="003E2518"/>
    <w:rsid w:val="003E3933"/>
    <w:rsid w:val="003E7CEF"/>
    <w:rsid w:val="003F0D77"/>
    <w:rsid w:val="003F119A"/>
    <w:rsid w:val="00403135"/>
    <w:rsid w:val="004A0D69"/>
    <w:rsid w:val="004B1EF7"/>
    <w:rsid w:val="004B20E5"/>
    <w:rsid w:val="004B3FAD"/>
    <w:rsid w:val="004C5749"/>
    <w:rsid w:val="00501DCA"/>
    <w:rsid w:val="00513A47"/>
    <w:rsid w:val="005408DF"/>
    <w:rsid w:val="00573344"/>
    <w:rsid w:val="00583F9B"/>
    <w:rsid w:val="005B0D29"/>
    <w:rsid w:val="005E5C10"/>
    <w:rsid w:val="005F2C78"/>
    <w:rsid w:val="006144E4"/>
    <w:rsid w:val="006367E3"/>
    <w:rsid w:val="00650299"/>
    <w:rsid w:val="00655DDA"/>
    <w:rsid w:val="00655FC5"/>
    <w:rsid w:val="00675902"/>
    <w:rsid w:val="007A0912"/>
    <w:rsid w:val="007D1289"/>
    <w:rsid w:val="0080538C"/>
    <w:rsid w:val="00814E0A"/>
    <w:rsid w:val="00822581"/>
    <w:rsid w:val="008309DD"/>
    <w:rsid w:val="0083227A"/>
    <w:rsid w:val="00866900"/>
    <w:rsid w:val="00876A8A"/>
    <w:rsid w:val="00881BA1"/>
    <w:rsid w:val="008C2302"/>
    <w:rsid w:val="008C26B8"/>
    <w:rsid w:val="008C46A9"/>
    <w:rsid w:val="008F208F"/>
    <w:rsid w:val="00982084"/>
    <w:rsid w:val="00995963"/>
    <w:rsid w:val="009A0767"/>
    <w:rsid w:val="009B61EB"/>
    <w:rsid w:val="009C2064"/>
    <w:rsid w:val="009C41B1"/>
    <w:rsid w:val="009D1697"/>
    <w:rsid w:val="009F3A46"/>
    <w:rsid w:val="009F6520"/>
    <w:rsid w:val="00A014F8"/>
    <w:rsid w:val="00A5173C"/>
    <w:rsid w:val="00A61AEF"/>
    <w:rsid w:val="00A83224"/>
    <w:rsid w:val="00AD2345"/>
    <w:rsid w:val="00AF173A"/>
    <w:rsid w:val="00B066A4"/>
    <w:rsid w:val="00B07A13"/>
    <w:rsid w:val="00B4279B"/>
    <w:rsid w:val="00B45FC9"/>
    <w:rsid w:val="00B76F35"/>
    <w:rsid w:val="00B81138"/>
    <w:rsid w:val="00BC7CCF"/>
    <w:rsid w:val="00BE470B"/>
    <w:rsid w:val="00C57A91"/>
    <w:rsid w:val="00CC01C2"/>
    <w:rsid w:val="00CF094F"/>
    <w:rsid w:val="00CF21F2"/>
    <w:rsid w:val="00D02712"/>
    <w:rsid w:val="00D046A7"/>
    <w:rsid w:val="00D214D0"/>
    <w:rsid w:val="00D6546B"/>
    <w:rsid w:val="00DB178B"/>
    <w:rsid w:val="00DC17D3"/>
    <w:rsid w:val="00DD4BED"/>
    <w:rsid w:val="00DE39F0"/>
    <w:rsid w:val="00DF0AF3"/>
    <w:rsid w:val="00DF7E9F"/>
    <w:rsid w:val="00E050F1"/>
    <w:rsid w:val="00E27D7E"/>
    <w:rsid w:val="00E42E13"/>
    <w:rsid w:val="00E56D5C"/>
    <w:rsid w:val="00E6257C"/>
    <w:rsid w:val="00E63C59"/>
    <w:rsid w:val="00EE76EC"/>
    <w:rsid w:val="00F05B71"/>
    <w:rsid w:val="00F24A74"/>
    <w:rsid w:val="00F25662"/>
    <w:rsid w:val="00F75ECE"/>
    <w:rsid w:val="00FA124A"/>
    <w:rsid w:val="00FC08DD"/>
    <w:rsid w:val="00FC2316"/>
    <w:rsid w:val="00FC2CFD"/>
    <w:rsid w:val="00FD6700"/>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CCDD2E"/>
  <w15:docId w15:val="{E55F2180-16A3-46E3-9658-BA2D6FC3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A83224"/>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7A0912"/>
    <w:pPr>
      <w:spacing w:before="20" w:after="24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link w:val="NoteChar"/>
    <w:rsid w:val="00F75ECE"/>
    <w:pPr>
      <w:tabs>
        <w:tab w:val="left" w:pos="284"/>
      </w:tabs>
      <w:spacing w:before="80"/>
    </w:pPr>
    <w:rPr>
      <w:sz w:val="22"/>
    </w:r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1717B1"/>
    <w:pPr>
      <w:tabs>
        <w:tab w:val="left" w:pos="284"/>
        <w:tab w:val="left" w:pos="567"/>
        <w:tab w:val="left" w:pos="851"/>
      </w:tabs>
      <w:spacing w:before="40" w:after="40"/>
    </w:pPr>
    <w:rPr>
      <w:sz w:val="18"/>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FF43C2"/>
    <w:pPr>
      <w:keepNext/>
      <w:keepLines/>
      <w:spacing w:before="160"/>
    </w:pPr>
    <w:rPr>
      <w:i/>
    </w:rPr>
  </w:style>
  <w:style w:type="paragraph" w:customStyle="1" w:styleId="Headingb">
    <w:name w:val="Heading_b"/>
    <w:basedOn w:val="Normal"/>
    <w:next w:val="Normal"/>
    <w:qFormat/>
    <w:rsid w:val="00FF43C2"/>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1A3074"/>
    <w:pPr>
      <w:spacing w:after="240"/>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1A3074"/>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A83224"/>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A83224"/>
    <w:pPr>
      <w:overflowPunct/>
      <w:autoSpaceDE/>
      <w:autoSpaceDN/>
      <w:adjustRightInd/>
      <w:spacing w:before="240"/>
      <w:jc w:val="center"/>
      <w:textAlignment w:val="auto"/>
    </w:pPr>
    <w:rPr>
      <w:sz w:val="28"/>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next w:val="Normal"/>
    <w:qFormat/>
    <w:rsid w:val="00403135"/>
    <w:pPr>
      <w:tabs>
        <w:tab w:val="clear" w:pos="1134"/>
        <w:tab w:val="clear" w:pos="1871"/>
        <w:tab w:val="clear" w:pos="2268"/>
      </w:tabs>
      <w:overflowPunct/>
      <w:autoSpaceDE/>
      <w:autoSpaceDN/>
      <w:adjustRightInd/>
      <w:textAlignment w:val="auto"/>
    </w:pPr>
    <w:rPr>
      <w:lang w:val="en-GB" w:eastAsia="zh-CN"/>
    </w:rPr>
  </w:style>
  <w:style w:type="paragraph" w:customStyle="1" w:styleId="Tablefin">
    <w:name w:val="Table_fin"/>
    <w:basedOn w:val="Normalaftertitle"/>
    <w:uiPriority w:val="99"/>
    <w:qFormat/>
    <w:rsid w:val="00EE76EC"/>
    <w:pPr>
      <w:tabs>
        <w:tab w:val="clear" w:pos="1134"/>
        <w:tab w:val="clear" w:pos="1871"/>
        <w:tab w:val="clear" w:pos="2268"/>
      </w:tabs>
      <w:spacing w:before="0"/>
    </w:pPr>
    <w:rPr>
      <w:sz w:val="20"/>
      <w:lang w:eastAsia="zh-CN"/>
    </w:rPr>
  </w:style>
  <w:style w:type="paragraph" w:customStyle="1" w:styleId="EditorsNote">
    <w:name w:val="EditorsNote"/>
    <w:basedOn w:val="Normal"/>
    <w:rsid w:val="00FF43C2"/>
    <w:pPr>
      <w:spacing w:before="240" w:after="240"/>
    </w:pPr>
    <w:rPr>
      <w:i/>
      <w:iCs/>
    </w:rPr>
  </w:style>
  <w:style w:type="character" w:customStyle="1" w:styleId="FiguretitleChar">
    <w:name w:val="Figure_title Char"/>
    <w:basedOn w:val="DefaultParagraphFont"/>
    <w:link w:val="Figuretitle"/>
    <w:rsid w:val="001A3074"/>
    <w:rPr>
      <w:rFonts w:ascii="Times New Roman Bold" w:hAnsi="Times New Roman Bold"/>
      <w:b/>
      <w:lang w:val="en-GB" w:eastAsia="en-US"/>
    </w:rPr>
  </w:style>
  <w:style w:type="paragraph" w:styleId="Signature">
    <w:name w:val="Signature"/>
    <w:basedOn w:val="Normal"/>
    <w:link w:val="SignatureChar"/>
    <w:unhideWhenUsed/>
    <w:rsid w:val="00655DDA"/>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655DDA"/>
    <w:rPr>
      <w:rFonts w:ascii="Times New Roman" w:hAnsi="Times New Roman"/>
      <w:sz w:val="24"/>
      <w:lang w:val="en-GB" w:eastAsia="en-US"/>
    </w:rPr>
  </w:style>
  <w:style w:type="character" w:styleId="Hyperlink">
    <w:name w:val="Hyperlink"/>
    <w:aliases w:val="CEO_Hyperlink"/>
    <w:basedOn w:val="DefaultParagraphFont"/>
    <w:unhideWhenUsed/>
    <w:rsid w:val="007D1289"/>
    <w:rPr>
      <w:color w:val="0000FF" w:themeColor="hyperlink"/>
      <w:u w:val="single"/>
    </w:rPr>
  </w:style>
  <w:style w:type="character" w:customStyle="1" w:styleId="enumlev1Char">
    <w:name w:val="enumlev1 Char"/>
    <w:link w:val="enumlev1"/>
    <w:locked/>
    <w:rsid w:val="007D1289"/>
    <w:rPr>
      <w:rFonts w:ascii="Times New Roman" w:hAnsi="Times New Roman"/>
      <w:sz w:val="24"/>
      <w:lang w:val="en-GB" w:eastAsia="en-US"/>
    </w:rPr>
  </w:style>
  <w:style w:type="character" w:customStyle="1" w:styleId="NoteChar">
    <w:name w:val="Note Char"/>
    <w:basedOn w:val="DefaultParagraphFont"/>
    <w:link w:val="Note"/>
    <w:locked/>
    <w:rsid w:val="007D1289"/>
    <w:rPr>
      <w:rFonts w:ascii="Times New Roman" w:hAnsi="Times New Roman"/>
      <w:sz w:val="22"/>
      <w:lang w:val="en-GB" w:eastAsia="en-US"/>
    </w:rPr>
  </w:style>
  <w:style w:type="character" w:customStyle="1" w:styleId="href">
    <w:name w:val="href"/>
    <w:basedOn w:val="DefaultParagraphFont"/>
    <w:rsid w:val="007D1289"/>
  </w:style>
  <w:style w:type="character" w:styleId="UnresolvedMention">
    <w:name w:val="Unresolved Mention"/>
    <w:basedOn w:val="DefaultParagraphFont"/>
    <w:uiPriority w:val="99"/>
    <w:semiHidden/>
    <w:unhideWhenUsed/>
    <w:rsid w:val="007D1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5.256" TargetMode="External"/><Relationship Id="rId13" Type="http://schemas.openxmlformats.org/officeDocument/2006/relationships/hyperlink" Target="https://www.itu.int/rec/R-REC-P.838/en" TargetMode="External"/><Relationship Id="rId18" Type="http://schemas.openxmlformats.org/officeDocument/2006/relationships/hyperlink" Target="https://www.itu.int/pub/R-REP-SM.2352"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itu.int/pub/R-QUE-SG05.256" TargetMode="External"/><Relationship Id="rId12" Type="http://schemas.openxmlformats.org/officeDocument/2006/relationships/hyperlink" Target="https://www.itu.int/rec/R-REC-P.676/en" TargetMode="External"/><Relationship Id="rId17" Type="http://schemas.openxmlformats.org/officeDocument/2006/relationships/hyperlink" Target="https://www.itu.int/pub/R-REP-RS.243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tu.int/rec/R-REC-RS.2017/en" TargetMode="External"/><Relationship Id="rId20" Type="http://schemas.openxmlformats.org/officeDocument/2006/relationships/hyperlink" Target="https://www.itu.int/pub/R-REP-RS.243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tu.int/rec/R-REC-M.1825/e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tu.int/rec/R-REC-P.2109" TargetMode="External"/><Relationship Id="rId23" Type="http://schemas.openxmlformats.org/officeDocument/2006/relationships/footer" Target="footer2.xml"/><Relationship Id="rId10" Type="http://schemas.openxmlformats.org/officeDocument/2006/relationships/hyperlink" Target="https://www.itu.int/rec/R-REC-M.1653/en" TargetMode="External"/><Relationship Id="rId19" Type="http://schemas.openxmlformats.org/officeDocument/2006/relationships/hyperlink" Target="https://www.itu.int/pub/R-REP-SM.2450" TargetMode="External"/><Relationship Id="rId4" Type="http://schemas.openxmlformats.org/officeDocument/2006/relationships/footnotes" Target="footnotes.xml"/><Relationship Id="rId9" Type="http://schemas.openxmlformats.org/officeDocument/2006/relationships/hyperlink" Target="https://www.itu.int/pub/R-REP-SM.2450" TargetMode="External"/><Relationship Id="rId14" Type="http://schemas.openxmlformats.org/officeDocument/2006/relationships/hyperlink" Target="https://www.itu.int/rec/R-REC-P.840/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3</Pages>
  <Words>792</Words>
  <Characters>5577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ITU -</dc:creator>
  <cp:lastModifiedBy>Fernandez Jimenez, Virginia</cp:lastModifiedBy>
  <cp:revision>3</cp:revision>
  <cp:lastPrinted>2008-02-21T14:04:00Z</cp:lastPrinted>
  <dcterms:created xsi:type="dcterms:W3CDTF">2020-11-20T08:35:00Z</dcterms:created>
  <dcterms:modified xsi:type="dcterms:W3CDTF">2020-11-20T08:36:00Z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