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B4E02" w14:paraId="645AB265" w14:textId="77777777" w:rsidTr="00876A8A">
        <w:trPr>
          <w:cantSplit/>
        </w:trPr>
        <w:tc>
          <w:tcPr>
            <w:tcW w:w="6487" w:type="dxa"/>
            <w:vAlign w:val="center"/>
          </w:tcPr>
          <w:p w14:paraId="5B1BFD1A" w14:textId="77777777" w:rsidR="009F6520" w:rsidRPr="00DB4E02" w:rsidRDefault="009F6520" w:rsidP="009F6520">
            <w:pPr>
              <w:shd w:val="solid" w:color="FFFFFF" w:fill="FFFFFF"/>
              <w:spacing w:before="0"/>
              <w:rPr>
                <w:rFonts w:ascii="Verdana" w:hAnsi="Verdana" w:cs="Times New Roman Bold"/>
                <w:b/>
                <w:bCs/>
                <w:sz w:val="26"/>
                <w:szCs w:val="26"/>
              </w:rPr>
            </w:pPr>
            <w:r w:rsidRPr="00DB4E02">
              <w:rPr>
                <w:rFonts w:ascii="Verdana" w:hAnsi="Verdana" w:cs="Times New Roman Bold"/>
                <w:b/>
                <w:bCs/>
                <w:sz w:val="26"/>
                <w:szCs w:val="26"/>
              </w:rPr>
              <w:t>Radiocommunication Study Groups</w:t>
            </w:r>
          </w:p>
        </w:tc>
        <w:tc>
          <w:tcPr>
            <w:tcW w:w="3402" w:type="dxa"/>
          </w:tcPr>
          <w:p w14:paraId="5BC9B612" w14:textId="28227528" w:rsidR="009F6520" w:rsidRPr="00DB4E02" w:rsidRDefault="00154966" w:rsidP="00154966">
            <w:pPr>
              <w:shd w:val="solid" w:color="FFFFFF" w:fill="FFFFFF"/>
              <w:spacing w:before="0" w:line="240" w:lineRule="atLeast"/>
            </w:pPr>
            <w:bookmarkStart w:id="0" w:name="ditulogo"/>
            <w:bookmarkEnd w:id="0"/>
            <w:r w:rsidRPr="00DB4E02">
              <w:rPr>
                <w:lang w:eastAsia="en-GB"/>
              </w:rPr>
              <w:drawing>
                <wp:inline distT="0" distB="0" distL="0" distR="0" wp14:anchorId="4CF546F0" wp14:editId="78AF42F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B4E02" w14:paraId="7BE6DD30" w14:textId="77777777" w:rsidTr="00876A8A">
        <w:trPr>
          <w:cantSplit/>
        </w:trPr>
        <w:tc>
          <w:tcPr>
            <w:tcW w:w="6487" w:type="dxa"/>
            <w:tcBorders>
              <w:bottom w:val="single" w:sz="12" w:space="0" w:color="auto"/>
            </w:tcBorders>
          </w:tcPr>
          <w:p w14:paraId="067AAF13" w14:textId="77777777" w:rsidR="000069D4" w:rsidRPr="00DB4E0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B9B3256" w14:textId="77777777" w:rsidR="000069D4" w:rsidRPr="00DB4E02" w:rsidRDefault="000069D4" w:rsidP="00A5173C">
            <w:pPr>
              <w:shd w:val="solid" w:color="FFFFFF" w:fill="FFFFFF"/>
              <w:spacing w:before="0" w:after="48" w:line="240" w:lineRule="atLeast"/>
              <w:rPr>
                <w:sz w:val="22"/>
                <w:szCs w:val="22"/>
              </w:rPr>
            </w:pPr>
          </w:p>
        </w:tc>
      </w:tr>
      <w:tr w:rsidR="000069D4" w:rsidRPr="00DB4E02" w14:paraId="65338BFC" w14:textId="77777777" w:rsidTr="00876A8A">
        <w:trPr>
          <w:cantSplit/>
        </w:trPr>
        <w:tc>
          <w:tcPr>
            <w:tcW w:w="6487" w:type="dxa"/>
            <w:tcBorders>
              <w:top w:val="single" w:sz="12" w:space="0" w:color="auto"/>
            </w:tcBorders>
          </w:tcPr>
          <w:p w14:paraId="62C0735F" w14:textId="77777777" w:rsidR="000069D4" w:rsidRPr="00DB4E0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C16E3F3" w14:textId="2FB56D84" w:rsidR="000069D4" w:rsidRPr="00DB4E02" w:rsidRDefault="000069D4" w:rsidP="00A5173C">
            <w:pPr>
              <w:shd w:val="solid" w:color="FFFFFF" w:fill="FFFFFF"/>
              <w:spacing w:before="0" w:after="48" w:line="240" w:lineRule="atLeast"/>
              <w:rPr>
                <w:b/>
                <w:bCs/>
              </w:rPr>
            </w:pPr>
          </w:p>
        </w:tc>
      </w:tr>
      <w:tr w:rsidR="00F81585" w:rsidRPr="00DB4E02" w14:paraId="419843A5" w14:textId="77777777" w:rsidTr="00876A8A">
        <w:trPr>
          <w:cantSplit/>
        </w:trPr>
        <w:tc>
          <w:tcPr>
            <w:tcW w:w="6487" w:type="dxa"/>
            <w:vMerge w:val="restart"/>
          </w:tcPr>
          <w:p w14:paraId="058E30EC" w14:textId="74B879F1" w:rsidR="00F81585" w:rsidRPr="00DB4E02" w:rsidRDefault="00F81585" w:rsidP="00F81585">
            <w:pPr>
              <w:shd w:val="solid" w:color="FFFFFF" w:fill="FFFFFF"/>
              <w:tabs>
                <w:tab w:val="clear" w:pos="1134"/>
                <w:tab w:val="clear" w:pos="1871"/>
                <w:tab w:val="clear" w:pos="2268"/>
              </w:tabs>
              <w:spacing w:before="0" w:after="240"/>
              <w:ind w:left="1134" w:hanging="1134"/>
              <w:rPr>
                <w:rFonts w:ascii="Verdana" w:hAnsi="Verdana"/>
                <w:color w:val="000000" w:themeColor="text1"/>
                <w:sz w:val="20"/>
              </w:rPr>
            </w:pPr>
            <w:bookmarkStart w:id="1" w:name="recibido"/>
            <w:bookmarkStart w:id="2" w:name="dnum" w:colFirst="1" w:colLast="1"/>
            <w:bookmarkEnd w:id="1"/>
            <w:r w:rsidRPr="00DB4E02">
              <w:rPr>
                <w:rFonts w:ascii="Verdana" w:hAnsi="Verdana"/>
                <w:sz w:val="20"/>
              </w:rPr>
              <w:t>Source:</w:t>
            </w:r>
            <w:r w:rsidRPr="00DB4E02">
              <w:rPr>
                <w:rFonts w:ascii="Verdana" w:hAnsi="Verdana"/>
                <w:sz w:val="20"/>
              </w:rPr>
              <w:tab/>
              <w:t xml:space="preserve">Document </w:t>
            </w:r>
            <w:proofErr w:type="spellStart"/>
            <w:r w:rsidRPr="00DB4E02">
              <w:rPr>
                <w:rFonts w:ascii="Verdana" w:hAnsi="Verdana"/>
                <w:sz w:val="20"/>
              </w:rPr>
              <w:t>5A</w:t>
            </w:r>
            <w:proofErr w:type="spellEnd"/>
            <w:r w:rsidRPr="00DB4E02">
              <w:rPr>
                <w:rFonts w:ascii="Verdana" w:hAnsi="Verdana"/>
                <w:sz w:val="20"/>
              </w:rPr>
              <w:t>/TEMP/53</w:t>
            </w:r>
          </w:p>
        </w:tc>
        <w:tc>
          <w:tcPr>
            <w:tcW w:w="3402" w:type="dxa"/>
          </w:tcPr>
          <w:p w14:paraId="3AF77034" w14:textId="6D470775" w:rsidR="00F81585" w:rsidRPr="00DB4E02" w:rsidRDefault="00F81585" w:rsidP="00F81585">
            <w:pPr>
              <w:shd w:val="solid" w:color="FFFFFF" w:fill="FFFFFF"/>
              <w:spacing w:before="0" w:line="240" w:lineRule="atLeast"/>
              <w:rPr>
                <w:rFonts w:ascii="Verdana" w:hAnsi="Verdana"/>
                <w:sz w:val="20"/>
                <w:lang w:eastAsia="zh-CN"/>
              </w:rPr>
            </w:pPr>
            <w:r w:rsidRPr="00DB4E02">
              <w:rPr>
                <w:rFonts w:ascii="Verdana" w:hAnsi="Verdana"/>
                <w:b/>
                <w:sz w:val="20"/>
                <w:lang w:eastAsia="zh-CN"/>
              </w:rPr>
              <w:t>Annex 18 to</w:t>
            </w:r>
            <w:r w:rsidRPr="00DB4E02">
              <w:rPr>
                <w:rFonts w:ascii="Verdana" w:hAnsi="Verdana"/>
                <w:b/>
                <w:sz w:val="20"/>
                <w:lang w:eastAsia="zh-CN"/>
              </w:rPr>
              <w:br/>
              <w:t xml:space="preserve">Document </w:t>
            </w:r>
            <w:proofErr w:type="spellStart"/>
            <w:r w:rsidRPr="00DB4E02">
              <w:rPr>
                <w:rFonts w:ascii="Verdana" w:hAnsi="Verdana"/>
                <w:b/>
                <w:sz w:val="20"/>
                <w:lang w:eastAsia="zh-CN"/>
              </w:rPr>
              <w:t>5A</w:t>
            </w:r>
            <w:proofErr w:type="spellEnd"/>
            <w:r w:rsidRPr="00DB4E02">
              <w:rPr>
                <w:rFonts w:ascii="Verdana" w:hAnsi="Verdana"/>
                <w:b/>
                <w:sz w:val="20"/>
                <w:lang w:eastAsia="zh-CN"/>
              </w:rPr>
              <w:t>/221-E</w:t>
            </w:r>
          </w:p>
        </w:tc>
      </w:tr>
      <w:tr w:rsidR="00F81585" w:rsidRPr="00DB4E02" w14:paraId="4A828D05" w14:textId="77777777" w:rsidTr="00876A8A">
        <w:trPr>
          <w:cantSplit/>
        </w:trPr>
        <w:tc>
          <w:tcPr>
            <w:tcW w:w="6487" w:type="dxa"/>
            <w:vMerge/>
          </w:tcPr>
          <w:p w14:paraId="0967F918" w14:textId="77777777" w:rsidR="00F81585" w:rsidRPr="00DB4E02" w:rsidRDefault="00F81585" w:rsidP="00F81585">
            <w:pPr>
              <w:spacing w:before="60"/>
              <w:jc w:val="center"/>
              <w:rPr>
                <w:b/>
                <w:smallCaps/>
                <w:sz w:val="32"/>
                <w:lang w:eastAsia="zh-CN"/>
              </w:rPr>
            </w:pPr>
            <w:bookmarkStart w:id="3" w:name="ddate" w:colFirst="1" w:colLast="1"/>
            <w:bookmarkEnd w:id="2"/>
          </w:p>
        </w:tc>
        <w:tc>
          <w:tcPr>
            <w:tcW w:w="3402" w:type="dxa"/>
          </w:tcPr>
          <w:p w14:paraId="74CBD3A0" w14:textId="342D89F7" w:rsidR="00F81585" w:rsidRPr="00DB4E02" w:rsidRDefault="00DF412F" w:rsidP="00F81585">
            <w:pPr>
              <w:shd w:val="solid" w:color="FFFFFF" w:fill="FFFFFF"/>
              <w:spacing w:before="0" w:line="240" w:lineRule="atLeast"/>
              <w:rPr>
                <w:rFonts w:ascii="Verdana" w:hAnsi="Verdana"/>
                <w:sz w:val="20"/>
                <w:lang w:eastAsia="zh-CN"/>
              </w:rPr>
            </w:pPr>
            <w:r w:rsidRPr="00DB4E02">
              <w:rPr>
                <w:rFonts w:ascii="Verdana" w:hAnsi="Verdana"/>
                <w:b/>
                <w:sz w:val="20"/>
                <w:lang w:eastAsia="zh-CN"/>
              </w:rPr>
              <w:t>24</w:t>
            </w:r>
            <w:r w:rsidR="00F81585" w:rsidRPr="00DB4E02">
              <w:rPr>
                <w:rFonts w:ascii="Verdana" w:hAnsi="Verdana"/>
                <w:b/>
                <w:sz w:val="20"/>
                <w:lang w:eastAsia="zh-CN"/>
              </w:rPr>
              <w:t xml:space="preserve"> November 2020</w:t>
            </w:r>
          </w:p>
        </w:tc>
      </w:tr>
      <w:tr w:rsidR="000069D4" w:rsidRPr="00DB4E02" w14:paraId="43371B4B" w14:textId="77777777" w:rsidTr="00876A8A">
        <w:trPr>
          <w:cantSplit/>
        </w:trPr>
        <w:tc>
          <w:tcPr>
            <w:tcW w:w="6487" w:type="dxa"/>
            <w:vMerge/>
          </w:tcPr>
          <w:p w14:paraId="0D68E83D" w14:textId="77777777" w:rsidR="000069D4" w:rsidRPr="00DB4E02" w:rsidRDefault="000069D4" w:rsidP="00A5173C">
            <w:pPr>
              <w:spacing w:before="60"/>
              <w:jc w:val="center"/>
              <w:rPr>
                <w:b/>
                <w:smallCaps/>
                <w:sz w:val="32"/>
                <w:lang w:eastAsia="zh-CN"/>
              </w:rPr>
            </w:pPr>
            <w:bookmarkStart w:id="4" w:name="dorlang" w:colFirst="1" w:colLast="1"/>
            <w:bookmarkEnd w:id="3"/>
          </w:p>
        </w:tc>
        <w:tc>
          <w:tcPr>
            <w:tcW w:w="3402" w:type="dxa"/>
          </w:tcPr>
          <w:p w14:paraId="0CA22376" w14:textId="106B696F" w:rsidR="000069D4" w:rsidRPr="00DB4E02" w:rsidRDefault="00154966" w:rsidP="00A5173C">
            <w:pPr>
              <w:shd w:val="solid" w:color="FFFFFF" w:fill="FFFFFF"/>
              <w:spacing w:before="0" w:line="240" w:lineRule="atLeast"/>
              <w:rPr>
                <w:rFonts w:ascii="Verdana" w:eastAsia="SimSun" w:hAnsi="Verdana"/>
                <w:sz w:val="20"/>
                <w:lang w:eastAsia="zh-CN"/>
              </w:rPr>
            </w:pPr>
            <w:r w:rsidRPr="00DB4E02">
              <w:rPr>
                <w:rFonts w:ascii="Verdana" w:eastAsia="SimSun" w:hAnsi="Verdana"/>
                <w:b/>
                <w:sz w:val="20"/>
                <w:lang w:eastAsia="zh-CN"/>
              </w:rPr>
              <w:t>English only</w:t>
            </w:r>
          </w:p>
        </w:tc>
      </w:tr>
      <w:tr w:rsidR="00C65949" w:rsidRPr="00DB4E02" w14:paraId="7D924E00" w14:textId="77777777" w:rsidTr="00D046A7">
        <w:trPr>
          <w:cantSplit/>
        </w:trPr>
        <w:tc>
          <w:tcPr>
            <w:tcW w:w="9889" w:type="dxa"/>
            <w:gridSpan w:val="2"/>
          </w:tcPr>
          <w:p w14:paraId="76D251A0" w14:textId="2C57DCAA" w:rsidR="00C65949" w:rsidRPr="00DB4E02" w:rsidRDefault="00F81585" w:rsidP="00222CCC">
            <w:pPr>
              <w:pStyle w:val="Source"/>
              <w:rPr>
                <w:lang w:eastAsia="ja-JP"/>
              </w:rPr>
            </w:pPr>
            <w:r w:rsidRPr="00DB4E02">
              <w:rPr>
                <w:lang w:eastAsia="ja-JP"/>
              </w:rPr>
              <w:t>Annex 1</w:t>
            </w:r>
            <w:r w:rsidR="00C50060" w:rsidRPr="00DB4E02">
              <w:rPr>
                <w:lang w:eastAsia="ja-JP"/>
              </w:rPr>
              <w:t>8</w:t>
            </w:r>
            <w:r w:rsidRPr="00DB4E02">
              <w:rPr>
                <w:lang w:eastAsia="ja-JP"/>
              </w:rPr>
              <w:t xml:space="preserve"> to Working Party </w:t>
            </w:r>
            <w:proofErr w:type="spellStart"/>
            <w:r w:rsidRPr="00DB4E02">
              <w:rPr>
                <w:lang w:eastAsia="ja-JP"/>
              </w:rPr>
              <w:t>5A</w:t>
            </w:r>
            <w:proofErr w:type="spellEnd"/>
            <w:r w:rsidRPr="00DB4E02">
              <w:rPr>
                <w:lang w:eastAsia="ja-JP"/>
              </w:rPr>
              <w:t xml:space="preserve"> Chairman’s Report</w:t>
            </w:r>
          </w:p>
        </w:tc>
      </w:tr>
      <w:tr w:rsidR="000069D4" w:rsidRPr="00DB4E02" w14:paraId="6ED84722" w14:textId="77777777" w:rsidTr="00D046A7">
        <w:trPr>
          <w:cantSplit/>
        </w:trPr>
        <w:tc>
          <w:tcPr>
            <w:tcW w:w="9889" w:type="dxa"/>
            <w:gridSpan w:val="2"/>
          </w:tcPr>
          <w:p w14:paraId="67A2F053" w14:textId="062F5B18" w:rsidR="00597C16" w:rsidRPr="00DB4E02" w:rsidRDefault="00597C16" w:rsidP="00FA68E9">
            <w:pPr>
              <w:pStyle w:val="EditorsNote"/>
              <w:jc w:val="center"/>
              <w:rPr>
                <w:lang w:eastAsia="zh-CN"/>
              </w:rPr>
            </w:pPr>
            <w:bookmarkStart w:id="5" w:name="drec" w:colFirst="0" w:colLast="0"/>
            <w:bookmarkEnd w:id="4"/>
            <w:r w:rsidRPr="00DB4E02">
              <w:rPr>
                <w:lang w:eastAsia="zh-CN"/>
              </w:rPr>
              <w:t xml:space="preserve">[Editor’s note: Based on input contributions </w:t>
            </w:r>
            <w:proofErr w:type="spellStart"/>
            <w:r w:rsidRPr="00DB4E02">
              <w:rPr>
                <w:lang w:eastAsia="zh-CN"/>
              </w:rPr>
              <w:t>5A</w:t>
            </w:r>
            <w:proofErr w:type="spellEnd"/>
            <w:r w:rsidRPr="00DB4E02">
              <w:rPr>
                <w:lang w:eastAsia="zh-CN"/>
              </w:rPr>
              <w:t xml:space="preserve">/58 and </w:t>
            </w:r>
            <w:proofErr w:type="spellStart"/>
            <w:r w:rsidRPr="00DB4E02">
              <w:rPr>
                <w:lang w:eastAsia="zh-CN"/>
              </w:rPr>
              <w:t>5A</w:t>
            </w:r>
            <w:proofErr w:type="spellEnd"/>
            <w:r w:rsidRPr="00DB4E02">
              <w:rPr>
                <w:lang w:eastAsia="zh-CN"/>
              </w:rPr>
              <w:t>/207, the following text has been proposed, but it has neither</w:t>
            </w:r>
            <w:r w:rsidR="00F81585" w:rsidRPr="00DB4E02">
              <w:rPr>
                <w:lang w:eastAsia="zh-CN"/>
              </w:rPr>
              <w:t xml:space="preserve"> been</w:t>
            </w:r>
            <w:r w:rsidRPr="00DB4E02">
              <w:rPr>
                <w:lang w:eastAsia="zh-CN"/>
              </w:rPr>
              <w:t xml:space="preserve"> reviewed nor agreed. AH </w:t>
            </w:r>
            <w:proofErr w:type="spellStart"/>
            <w:r w:rsidRPr="00DB4E02">
              <w:rPr>
                <w:lang w:eastAsia="zh-CN"/>
              </w:rPr>
              <w:t>5A</w:t>
            </w:r>
            <w:proofErr w:type="spellEnd"/>
            <w:r w:rsidRPr="00DB4E02">
              <w:rPr>
                <w:lang w:eastAsia="zh-CN"/>
              </w:rPr>
              <w:t>/</w:t>
            </w:r>
            <w:proofErr w:type="spellStart"/>
            <w:r w:rsidRPr="00DB4E02">
              <w:rPr>
                <w:lang w:eastAsia="zh-CN"/>
              </w:rPr>
              <w:t>5C</w:t>
            </w:r>
            <w:proofErr w:type="spellEnd"/>
            <w:r w:rsidRPr="00DB4E02">
              <w:rPr>
                <w:lang w:eastAsia="zh-CN"/>
              </w:rPr>
              <w:t xml:space="preserve"> on </w:t>
            </w:r>
            <w:proofErr w:type="spellStart"/>
            <w:r w:rsidRPr="00DB4E02">
              <w:rPr>
                <w:lang w:eastAsia="zh-CN"/>
              </w:rPr>
              <w:t>9.1.c</w:t>
            </w:r>
            <w:proofErr w:type="spellEnd"/>
            <w:r w:rsidRPr="00DB4E02">
              <w:rPr>
                <w:lang w:eastAsia="zh-CN"/>
              </w:rPr>
              <w:t xml:space="preserve"> will consider the development of these elements as a Report and/or a Recommendation as appropriate and views were expressed that parts pertaining to regulatory analysis are not within the scope of work</w:t>
            </w:r>
            <w:r w:rsidR="006D4601" w:rsidRPr="00DB4E02">
              <w:rPr>
                <w:lang w:eastAsia="zh-CN"/>
              </w:rPr>
              <w:t xml:space="preserve"> </w:t>
            </w:r>
            <w:r w:rsidRPr="00DB4E02">
              <w:rPr>
                <w:lang w:eastAsia="zh-CN"/>
              </w:rPr>
              <w:t xml:space="preserve">that should be done under topic </w:t>
            </w:r>
            <w:proofErr w:type="spellStart"/>
            <w:r w:rsidRPr="00DB4E02">
              <w:rPr>
                <w:lang w:eastAsia="zh-CN"/>
              </w:rPr>
              <w:t>9.1.c</w:t>
            </w:r>
            <w:proofErr w:type="spellEnd"/>
            <w:r w:rsidRPr="00DB4E02">
              <w:rPr>
                <w:lang w:eastAsia="zh-CN"/>
              </w:rPr>
              <w:t>]</w:t>
            </w:r>
          </w:p>
          <w:p w14:paraId="0B559F98" w14:textId="0391D7AC" w:rsidR="000069D4" w:rsidRPr="00DB4E02" w:rsidRDefault="00C65949" w:rsidP="00852C3A">
            <w:pPr>
              <w:pStyle w:val="RecNo"/>
              <w:rPr>
                <w:lang w:eastAsia="zh-CN"/>
              </w:rPr>
            </w:pPr>
            <w:bookmarkStart w:id="6" w:name="_Hlk57104853"/>
            <w:r w:rsidRPr="00DB4E02">
              <w:rPr>
                <w:lang w:eastAsia="zh-CN"/>
              </w:rPr>
              <w:t xml:space="preserve">Elements </w:t>
            </w:r>
            <w:r w:rsidR="00F81585" w:rsidRPr="00DB4E02">
              <w:rPr>
                <w:lang w:eastAsia="zh-CN"/>
              </w:rPr>
              <w:t>FOR</w:t>
            </w:r>
            <w:r w:rsidRPr="00DB4E02">
              <w:rPr>
                <w:lang w:eastAsia="zh-CN"/>
              </w:rPr>
              <w:t xml:space="preserve"> a working document towards a preliminary draft new [Report/</w:t>
            </w:r>
            <w:r w:rsidRPr="00DB4E02">
              <w:t>Recommendation</w:t>
            </w:r>
            <w:r w:rsidR="00597C16" w:rsidRPr="00DB4E02">
              <w:t>] ITU</w:t>
            </w:r>
            <w:r w:rsidR="00597C16" w:rsidRPr="00DB4E02">
              <w:rPr>
                <w:rStyle w:val="href"/>
              </w:rPr>
              <w:t xml:space="preserve">-R </w:t>
            </w:r>
            <w:proofErr w:type="gramStart"/>
            <w:r w:rsidR="00597C16" w:rsidRPr="00DB4E02">
              <w:rPr>
                <w:rStyle w:val="href"/>
              </w:rPr>
              <w:t>F.</w:t>
            </w:r>
            <w:r w:rsidR="00597C16" w:rsidRPr="00DB4E02">
              <w:rPr>
                <w:rStyle w:val="href"/>
                <w:lang w:eastAsia="zh-CN"/>
              </w:rPr>
              <w:t>[</w:t>
            </w:r>
            <w:proofErr w:type="gramEnd"/>
            <w:r w:rsidR="00597C16" w:rsidRPr="00DB4E02">
              <w:rPr>
                <w:rStyle w:val="href"/>
                <w:lang w:eastAsia="zh-CN"/>
              </w:rPr>
              <w:t>IMT-</w:t>
            </w:r>
            <w:proofErr w:type="spellStart"/>
            <w:r w:rsidR="00597C16" w:rsidRPr="00DB4E02">
              <w:rPr>
                <w:rStyle w:val="href"/>
                <w:lang w:eastAsia="zh-CN"/>
              </w:rPr>
              <w:t>FWB</w:t>
            </w:r>
            <w:proofErr w:type="spellEnd"/>
            <w:r w:rsidR="00597C16" w:rsidRPr="00DB4E02">
              <w:rPr>
                <w:rStyle w:val="href"/>
                <w:lang w:eastAsia="zh-CN"/>
              </w:rPr>
              <w:t>]</w:t>
            </w:r>
            <w:bookmarkEnd w:id="6"/>
          </w:p>
        </w:tc>
      </w:tr>
      <w:tr w:rsidR="000069D4" w:rsidRPr="00DB4E02" w14:paraId="4B9F85DB" w14:textId="77777777" w:rsidTr="00D046A7">
        <w:trPr>
          <w:cantSplit/>
        </w:trPr>
        <w:tc>
          <w:tcPr>
            <w:tcW w:w="9889" w:type="dxa"/>
            <w:gridSpan w:val="2"/>
          </w:tcPr>
          <w:p w14:paraId="7A2DD70A" w14:textId="2AA75D0A" w:rsidR="000069D4" w:rsidRPr="00DB4E02" w:rsidRDefault="00852C3A" w:rsidP="00852C3A">
            <w:pPr>
              <w:pStyle w:val="Title1"/>
              <w:rPr>
                <w:b/>
                <w:bCs/>
                <w:caps w:val="0"/>
                <w:spacing w:val="-2"/>
                <w:szCs w:val="28"/>
                <w:lang w:eastAsia="zh-CN"/>
              </w:rPr>
            </w:pPr>
            <w:bookmarkStart w:id="7" w:name="dtitle1" w:colFirst="0" w:colLast="0"/>
            <w:bookmarkStart w:id="8" w:name="_Hlk57104859"/>
            <w:bookmarkEnd w:id="5"/>
            <w:r w:rsidRPr="00DB4E02">
              <w:rPr>
                <w:b/>
                <w:bCs/>
                <w:caps w:val="0"/>
                <w:spacing w:val="-2"/>
                <w:szCs w:val="28"/>
                <w:lang w:eastAsia="zh-CN"/>
              </w:rPr>
              <w:t xml:space="preserve">Use of International Mobile Telecommunication system for fixed wireless broadband in the frequency bands allocated to the fixed service </w:t>
            </w:r>
            <w:r w:rsidR="006D4601" w:rsidRPr="00DB4E02">
              <w:rPr>
                <w:b/>
                <w:bCs/>
                <w:caps w:val="0"/>
                <w:spacing w:val="-2"/>
                <w:szCs w:val="28"/>
                <w:lang w:eastAsia="zh-CN"/>
              </w:rPr>
              <w:br/>
            </w:r>
            <w:r w:rsidRPr="00DB4E02">
              <w:rPr>
                <w:b/>
                <w:bCs/>
                <w:caps w:val="0"/>
                <w:spacing w:val="-2"/>
                <w:szCs w:val="28"/>
                <w:lang w:eastAsia="zh-CN"/>
              </w:rPr>
              <w:t>on a primary basis</w:t>
            </w:r>
            <w:bookmarkEnd w:id="8"/>
          </w:p>
        </w:tc>
      </w:tr>
    </w:tbl>
    <w:p w14:paraId="3DC6F90F" w14:textId="372B2282" w:rsidR="00852C3A" w:rsidRPr="00DB4E02" w:rsidRDefault="00852C3A" w:rsidP="00852C3A">
      <w:pPr>
        <w:pStyle w:val="Recdate"/>
      </w:pPr>
      <w:bookmarkStart w:id="9" w:name="dbreak"/>
      <w:bookmarkEnd w:id="9"/>
      <w:bookmarkEnd w:id="7"/>
      <w:r w:rsidRPr="00DB4E02">
        <w:t>(</w:t>
      </w:r>
      <w:proofErr w:type="spellStart"/>
      <w:r w:rsidRPr="00DB4E02">
        <w:t>20</w:t>
      </w:r>
      <w:r w:rsidRPr="00DB4E02">
        <w:rPr>
          <w:lang w:eastAsia="zh-CN"/>
        </w:rPr>
        <w:t>xx</w:t>
      </w:r>
      <w:proofErr w:type="spellEnd"/>
      <w:r w:rsidRPr="00DB4E02">
        <w:t>)</w:t>
      </w:r>
    </w:p>
    <w:p w14:paraId="154D9256" w14:textId="77777777" w:rsidR="00852C3A" w:rsidRPr="00DB4E02" w:rsidRDefault="00852C3A" w:rsidP="00852C3A">
      <w:pPr>
        <w:pStyle w:val="HeadingSum"/>
        <w:rPr>
          <w:lang w:val="en-GB"/>
        </w:rPr>
      </w:pPr>
      <w:r w:rsidRPr="00DB4E02">
        <w:rPr>
          <w:lang w:val="en-GB"/>
        </w:rPr>
        <w:t>Scope</w:t>
      </w:r>
    </w:p>
    <w:p w14:paraId="5BF3B792" w14:textId="77777777" w:rsidR="00852C3A" w:rsidRPr="00DB4E02" w:rsidRDefault="00852C3A" w:rsidP="00852C3A">
      <w:pPr>
        <w:pStyle w:val="Summary"/>
        <w:rPr>
          <w:lang w:val="en-GB"/>
        </w:rPr>
      </w:pPr>
      <w:r w:rsidRPr="00DB4E02">
        <w:rPr>
          <w:lang w:val="en-GB"/>
        </w:rPr>
        <w:t xml:space="preserve">This Recommendation </w:t>
      </w:r>
      <w:r w:rsidRPr="00DB4E02">
        <w:rPr>
          <w:sz w:val="24"/>
          <w:lang w:val="en-GB"/>
        </w:rPr>
        <w:t>studies the use of IMT for fixed wireless broadband in the frequency bands allocated to the fixed services on primary basis within WRC-23 agenda item 9.1, topic c).</w:t>
      </w:r>
    </w:p>
    <w:p w14:paraId="2FD63D13" w14:textId="77777777" w:rsidR="00852C3A" w:rsidRPr="00DB4E02" w:rsidRDefault="00852C3A" w:rsidP="00852C3A">
      <w:pPr>
        <w:pStyle w:val="Headingb"/>
        <w:rPr>
          <w:lang w:val="en-GB"/>
        </w:rPr>
      </w:pPr>
      <w:r w:rsidRPr="00DB4E02">
        <w:rPr>
          <w:lang w:val="en-GB"/>
        </w:rPr>
        <w:t>Keywords</w:t>
      </w:r>
    </w:p>
    <w:p w14:paraId="48F1BDFF" w14:textId="77777777" w:rsidR="00852C3A" w:rsidRPr="00DB4E02" w:rsidRDefault="00852C3A" w:rsidP="00852C3A">
      <w:pPr>
        <w:rPr>
          <w:lang w:eastAsia="zh-CN"/>
        </w:rPr>
      </w:pPr>
      <w:r w:rsidRPr="00DB4E02">
        <w:rPr>
          <w:bCs/>
          <w:szCs w:val="22"/>
          <w:lang w:eastAsia="zh-CN"/>
        </w:rPr>
        <w:t>IMT-based</w:t>
      </w:r>
      <w:r w:rsidRPr="00DB4E02">
        <w:rPr>
          <w:bCs/>
          <w:szCs w:val="22"/>
        </w:rPr>
        <w:t xml:space="preserve">, </w:t>
      </w:r>
      <w:r w:rsidRPr="00DB4E02">
        <w:rPr>
          <w:lang w:eastAsia="zh-CN"/>
        </w:rPr>
        <w:t>Fixed wireless broadband, fixed service</w:t>
      </w:r>
    </w:p>
    <w:p w14:paraId="7D12AD09" w14:textId="77777777" w:rsidR="00852C3A" w:rsidRPr="00DB4E02" w:rsidRDefault="00852C3A" w:rsidP="00852C3A">
      <w:pPr>
        <w:pStyle w:val="Normalaftertitle"/>
        <w:rPr>
          <w:lang w:eastAsia="zh-CN"/>
        </w:rPr>
      </w:pPr>
      <w:r w:rsidRPr="00DB4E02">
        <w:t>The ITU Radiocommunication Assembly,</w:t>
      </w:r>
    </w:p>
    <w:p w14:paraId="50852476" w14:textId="77777777" w:rsidR="00852C3A" w:rsidRPr="00DB4E02" w:rsidRDefault="00852C3A" w:rsidP="00852C3A">
      <w:pPr>
        <w:pStyle w:val="Call"/>
      </w:pPr>
      <w:r w:rsidRPr="00DB4E02">
        <w:t>considering</w:t>
      </w:r>
    </w:p>
    <w:p w14:paraId="1ED495D1" w14:textId="77777777" w:rsidR="00852C3A" w:rsidRPr="00DB4E02" w:rsidRDefault="00852C3A" w:rsidP="00852C3A">
      <w:r w:rsidRPr="00DB4E02">
        <w:rPr>
          <w:i/>
          <w:iCs/>
        </w:rPr>
        <w:t>a)</w:t>
      </w:r>
      <w:r w:rsidRPr="00DB4E02">
        <w:tab/>
        <w:t>that</w:t>
      </w:r>
      <w:r w:rsidRPr="00DB4E02">
        <w:rPr>
          <w:lang w:eastAsia="zh-CN"/>
        </w:rPr>
        <w:t xml:space="preserve"> Resolution </w:t>
      </w:r>
      <w:r w:rsidRPr="00DB4E02">
        <w:rPr>
          <w:b/>
          <w:bCs/>
          <w:lang w:eastAsia="zh-CN"/>
        </w:rPr>
        <w:t xml:space="preserve">175 (WRC-19) </w:t>
      </w:r>
      <w:r w:rsidRPr="00DB4E02">
        <w:rPr>
          <w:lang w:eastAsia="zh-CN"/>
        </w:rPr>
        <w:t>resolves to study</w:t>
      </w:r>
      <w:r w:rsidRPr="00DB4E02">
        <w:rPr>
          <w:b/>
          <w:bCs/>
          <w:lang w:eastAsia="zh-CN"/>
        </w:rPr>
        <w:t xml:space="preserve"> </w:t>
      </w:r>
      <w:r w:rsidRPr="00DB4E02">
        <w:rPr>
          <w:lang w:eastAsia="zh-CN"/>
        </w:rPr>
        <w:t>the use of International</w:t>
      </w:r>
      <w:r w:rsidRPr="00DB4E02">
        <w:rPr>
          <w:iCs/>
          <w:lang w:eastAsia="zh-CN"/>
        </w:rPr>
        <w:t xml:space="preserve"> Mobile Telecommunication (IMT) systems for fixed wireless broadband in the frequency bands allocated to the fixed service on a primary </w:t>
      </w:r>
      <w:proofErr w:type="gramStart"/>
      <w:r w:rsidRPr="00DB4E02">
        <w:rPr>
          <w:iCs/>
          <w:lang w:eastAsia="zh-CN"/>
        </w:rPr>
        <w:t>basis</w:t>
      </w:r>
      <w:r w:rsidRPr="00DB4E02">
        <w:t>;</w:t>
      </w:r>
      <w:proofErr w:type="gramEnd"/>
    </w:p>
    <w:p w14:paraId="5C842953" w14:textId="77777777" w:rsidR="00852C3A" w:rsidRPr="00DB4E02" w:rsidRDefault="00852C3A" w:rsidP="00852C3A">
      <w:r w:rsidRPr="00DB4E02">
        <w:rPr>
          <w:i/>
          <w:iCs/>
        </w:rPr>
        <w:t>b)</w:t>
      </w:r>
      <w:r w:rsidRPr="00DB4E02">
        <w:tab/>
        <w:t xml:space="preserve">that there is a need to use IMT for fixed wireless broadband on primary </w:t>
      </w:r>
      <w:proofErr w:type="gramStart"/>
      <w:r w:rsidRPr="00DB4E02">
        <w:t>basis;</w:t>
      </w:r>
      <w:proofErr w:type="gramEnd"/>
    </w:p>
    <w:p w14:paraId="55322A0C" w14:textId="77777777" w:rsidR="00852C3A" w:rsidRPr="00DB4E02" w:rsidRDefault="00852C3A" w:rsidP="00852C3A">
      <w:pPr>
        <w:tabs>
          <w:tab w:val="clear" w:pos="2268"/>
          <w:tab w:val="center" w:pos="4819"/>
        </w:tabs>
      </w:pPr>
      <w:r w:rsidRPr="00DB4E02">
        <w:rPr>
          <w:i/>
          <w:iCs/>
        </w:rPr>
        <w:t>c)</w:t>
      </w:r>
      <w:r w:rsidRPr="00DB4E02">
        <w:tab/>
      </w:r>
      <w:r w:rsidRPr="00DB4E02">
        <w:rPr>
          <w:lang w:eastAsia="zh-CN"/>
        </w:rPr>
        <w:t>that when IMT is allocated within the fixed services frequency bands on primary basis, the provided services will be enhanced,</w:t>
      </w:r>
    </w:p>
    <w:p w14:paraId="0083E07C" w14:textId="77777777" w:rsidR="00852C3A" w:rsidRPr="00DB4E02" w:rsidRDefault="00852C3A" w:rsidP="00852C3A">
      <w:pPr>
        <w:pStyle w:val="Call"/>
      </w:pPr>
      <w:r w:rsidRPr="00DB4E02">
        <w:t>noting</w:t>
      </w:r>
    </w:p>
    <w:p w14:paraId="5E47AB85" w14:textId="77777777" w:rsidR="00852C3A" w:rsidRPr="00DB4E02" w:rsidRDefault="00852C3A" w:rsidP="00852C3A">
      <w:r w:rsidRPr="00DB4E02">
        <w:rPr>
          <w:i/>
          <w:iCs/>
        </w:rPr>
        <w:t>a)</w:t>
      </w:r>
      <w:r w:rsidRPr="00DB4E02">
        <w:tab/>
        <w:t xml:space="preserve">that any necessary studies to be consider </w:t>
      </w:r>
      <w:r w:rsidRPr="00DB4E02">
        <w:rPr>
          <w:szCs w:val="24"/>
        </w:rPr>
        <w:t xml:space="preserve">on the use of International Mobile Telecommunication systems for fixed wireless broadband in the frequency bands allocated to the fixed service on primary basis, taking into account the </w:t>
      </w:r>
      <w:r w:rsidRPr="00DB4E02">
        <w:rPr>
          <w:szCs w:val="24"/>
        </w:rPr>
        <w:lastRenderedPageBreak/>
        <w:t>relevant ITU</w:t>
      </w:r>
      <w:r w:rsidRPr="00DB4E02">
        <w:rPr>
          <w:szCs w:val="24"/>
        </w:rPr>
        <w:noBreakHyphen/>
        <w:t>R studies, Handbooks, Recommendations and Reports</w:t>
      </w:r>
      <w:r w:rsidRPr="00DB4E02">
        <w:t>;</w:t>
      </w:r>
    </w:p>
    <w:p w14:paraId="7E8BE92D" w14:textId="77777777" w:rsidR="00852C3A" w:rsidRPr="00DB4E02" w:rsidRDefault="00852C3A" w:rsidP="00852C3A">
      <w:pPr>
        <w:rPr>
          <w:lang w:eastAsia="ja-JP"/>
        </w:rPr>
      </w:pPr>
      <w:r w:rsidRPr="00DB4E02">
        <w:rPr>
          <w:i/>
          <w:iCs/>
        </w:rPr>
        <w:t>b)</w:t>
      </w:r>
      <w:r w:rsidRPr="00DB4E02">
        <w:tab/>
        <w:t>that…</w:t>
      </w:r>
      <w:r w:rsidRPr="00DB4E02">
        <w:rPr>
          <w:lang w:eastAsia="ja-JP"/>
        </w:rPr>
        <w:t>,</w:t>
      </w:r>
    </w:p>
    <w:p w14:paraId="587D632D" w14:textId="77777777" w:rsidR="00852C3A" w:rsidRPr="00DB4E02" w:rsidRDefault="00852C3A" w:rsidP="00852C3A">
      <w:pPr>
        <w:pStyle w:val="Call"/>
      </w:pPr>
      <w:r w:rsidRPr="00DB4E02">
        <w:t>recommends</w:t>
      </w:r>
    </w:p>
    <w:p w14:paraId="5D528AB1" w14:textId="00BAED47" w:rsidR="00852C3A" w:rsidRPr="00DB4E02" w:rsidRDefault="00852C3A" w:rsidP="00852C3A">
      <w:pPr>
        <w:rPr>
          <w:lang w:eastAsia="ja-JP"/>
        </w:rPr>
      </w:pPr>
      <w:r w:rsidRPr="00DB4E02">
        <w:t xml:space="preserve">that, </w:t>
      </w:r>
      <w:r w:rsidRPr="00DB4E02">
        <w:rPr>
          <w:lang w:eastAsia="zh-CN"/>
        </w:rPr>
        <w:t xml:space="preserve">Annex 1 should be refer to for the use of International Mobile Telecommunication system for fixed wireless broadband </w:t>
      </w:r>
      <w:r w:rsidRPr="00DB4E02">
        <w:t>in the frequency bands allocated to the fixed service on a primary basis</w:t>
      </w:r>
      <w:r w:rsidRPr="00DB4E02">
        <w:rPr>
          <w:lang w:eastAsia="ja-JP"/>
        </w:rPr>
        <w:t>.</w:t>
      </w:r>
    </w:p>
    <w:p w14:paraId="1E2D6D59" w14:textId="77777777" w:rsidR="006D4601" w:rsidRPr="00DB4E02" w:rsidRDefault="006D4601" w:rsidP="00852C3A">
      <w:pPr>
        <w:rPr>
          <w:lang w:eastAsia="ja-JP"/>
        </w:rPr>
      </w:pPr>
    </w:p>
    <w:p w14:paraId="429F7DDE" w14:textId="77777777" w:rsidR="00852C3A" w:rsidRPr="00DB4E02" w:rsidRDefault="00852C3A" w:rsidP="00852C3A">
      <w:pPr>
        <w:pStyle w:val="AnnexNo"/>
      </w:pPr>
      <w:r w:rsidRPr="00DB4E02">
        <w:t>Annex 1</w:t>
      </w:r>
    </w:p>
    <w:p w14:paraId="7BAC981E" w14:textId="2980BD2C" w:rsidR="00852C3A" w:rsidRPr="00DB4E02" w:rsidRDefault="00852C3A" w:rsidP="00FA68E9">
      <w:pPr>
        <w:pStyle w:val="EditorsNote"/>
        <w:rPr>
          <w:lang w:eastAsia="zh-CN"/>
        </w:rPr>
      </w:pPr>
      <w:bookmarkStart w:id="10" w:name="OLE_LINK3"/>
      <w:bookmarkStart w:id="11" w:name="OLE_LINK4"/>
      <w:r w:rsidRPr="00DB4E02">
        <w:rPr>
          <w:lang w:eastAsia="zh-CN"/>
        </w:rPr>
        <w:t>[Editor’s note: The following material might be used towards a working document for a new report]</w:t>
      </w:r>
    </w:p>
    <w:p w14:paraId="2754BB60" w14:textId="77777777" w:rsidR="00852C3A" w:rsidRPr="00DB4E02" w:rsidRDefault="00852C3A" w:rsidP="00852C3A">
      <w:pPr>
        <w:pStyle w:val="Annextitle"/>
        <w:rPr>
          <w:lang w:eastAsia="ja-JP"/>
        </w:rPr>
      </w:pPr>
      <w:r w:rsidRPr="00DB4E02">
        <w:rPr>
          <w:lang w:eastAsia="zh-CN"/>
        </w:rPr>
        <w:t>U</w:t>
      </w:r>
      <w:r w:rsidRPr="00DB4E02">
        <w:t xml:space="preserve">se of International Mobile Telecommunication system for fixed wireless broadband </w:t>
      </w:r>
      <w:bookmarkEnd w:id="10"/>
      <w:bookmarkEnd w:id="11"/>
      <w:r w:rsidRPr="00DB4E02">
        <w:t xml:space="preserve">in the frequency bands allocated to the fixed service </w:t>
      </w:r>
      <w:r w:rsidRPr="00DB4E02">
        <w:rPr>
          <w:lang w:eastAsia="zh-CN"/>
        </w:rPr>
        <w:br/>
      </w:r>
      <w:r w:rsidRPr="00DB4E02">
        <w:t>on a primary basis</w:t>
      </w:r>
    </w:p>
    <w:p w14:paraId="78A50ABE" w14:textId="77777777" w:rsidR="00852C3A" w:rsidRPr="00DB4E02" w:rsidRDefault="00852C3A" w:rsidP="00852C3A">
      <w:pPr>
        <w:pStyle w:val="Heading1"/>
        <w:ind w:left="0" w:firstLine="0"/>
      </w:pPr>
      <w:bookmarkStart w:id="12" w:name="_Toc107644706"/>
      <w:bookmarkStart w:id="13" w:name="_Toc105236001"/>
      <w:r w:rsidRPr="00DB4E02">
        <w:t>1</w:t>
      </w:r>
      <w:r w:rsidRPr="00DB4E02">
        <w:tab/>
      </w:r>
      <w:bookmarkEnd w:id="12"/>
      <w:bookmarkEnd w:id="13"/>
      <w:r w:rsidRPr="00DB4E02">
        <w:t>Introduction</w:t>
      </w:r>
    </w:p>
    <w:p w14:paraId="6E9A160E" w14:textId="77777777" w:rsidR="00852C3A" w:rsidRPr="00DB4E02" w:rsidRDefault="00852C3A" w:rsidP="00852C3A">
      <w:pPr>
        <w:pStyle w:val="EditorsNote"/>
        <w:rPr>
          <w:lang w:eastAsia="zh-CN"/>
        </w:rPr>
      </w:pPr>
      <w:r w:rsidRPr="00DB4E02">
        <w:rPr>
          <w:lang w:eastAsia="zh-CN"/>
        </w:rPr>
        <w:t>[Editor’s note: This section provides general description of the use of IMT system for fixed wireless broadband based on different IMT radio interface which could include use cases, deployment scenarios, technical requirement and considerations related to the use of spectrum.]</w:t>
      </w:r>
    </w:p>
    <w:p w14:paraId="284CFAD1" w14:textId="77777777" w:rsidR="00852C3A" w:rsidRPr="00DB4E02" w:rsidRDefault="00852C3A" w:rsidP="00852C3A">
      <w:pPr>
        <w:spacing w:after="120"/>
        <w:rPr>
          <w:bCs/>
          <w:spacing w:val="2"/>
          <w:szCs w:val="24"/>
          <w:lang w:eastAsia="zh-CN"/>
        </w:rPr>
      </w:pPr>
      <w:r w:rsidRPr="00DB4E02">
        <w:rPr>
          <w:bCs/>
          <w:szCs w:val="24"/>
        </w:rPr>
        <w:t>The term “fixed wireless broadband”</w:t>
      </w:r>
      <w:r w:rsidRPr="00DB4E02">
        <w:rPr>
          <w:bCs/>
          <w:szCs w:val="24"/>
          <w:lang w:eastAsia="zh-CN"/>
        </w:rPr>
        <w:t xml:space="preserve"> (hereinafter abbreviated to </w:t>
      </w:r>
      <w:proofErr w:type="spellStart"/>
      <w:r w:rsidRPr="00DB4E02">
        <w:rPr>
          <w:bCs/>
          <w:szCs w:val="24"/>
          <w:lang w:eastAsia="zh-CN"/>
        </w:rPr>
        <w:t>FWB</w:t>
      </w:r>
      <w:proofErr w:type="spellEnd"/>
      <w:r w:rsidRPr="00DB4E02">
        <w:rPr>
          <w:bCs/>
          <w:szCs w:val="24"/>
          <w:lang w:eastAsia="zh-CN"/>
        </w:rPr>
        <w:t>)</w:t>
      </w:r>
      <w:r w:rsidRPr="00DB4E02">
        <w:rPr>
          <w:bCs/>
          <w:szCs w:val="24"/>
        </w:rPr>
        <w:t xml:space="preserve"> is a short form for the term “</w:t>
      </w:r>
      <w:r w:rsidRPr="00DB4E02">
        <w:t>broadband fixed wireless system</w:t>
      </w:r>
      <w:r w:rsidRPr="00DB4E02">
        <w:rPr>
          <w:bCs/>
          <w:szCs w:val="24"/>
        </w:rPr>
        <w:t xml:space="preserve">”, where “fixed wireless system” is defined in Recommendation </w:t>
      </w:r>
      <w:hyperlink r:id="rId11" w:history="1">
        <w:r w:rsidRPr="00DB4E02">
          <w:rPr>
            <w:rStyle w:val="Hyperlink"/>
          </w:rPr>
          <w:t xml:space="preserve">ITU-R </w:t>
        </w:r>
        <w:proofErr w:type="spellStart"/>
        <w:r w:rsidRPr="00DB4E02">
          <w:rPr>
            <w:rStyle w:val="Hyperlink"/>
          </w:rPr>
          <w:t>F.592</w:t>
        </w:r>
        <w:proofErr w:type="spellEnd"/>
      </w:hyperlink>
      <w:r w:rsidRPr="00DB4E02">
        <w:rPr>
          <w:rStyle w:val="Hyperlink"/>
          <w:lang w:eastAsia="zh-CN"/>
        </w:rPr>
        <w:t xml:space="preserve"> </w:t>
      </w:r>
      <w:r w:rsidRPr="00DB4E02">
        <w:rPr>
          <w:bCs/>
          <w:szCs w:val="24"/>
        </w:rPr>
        <w:t>as follows: “Telecommunication systems operating in the fixed service including, for example, radio-relay systems, HF systems, and systems using high altitude platform stations (HAPS), and which support a range of applications such as access and core transport”.</w:t>
      </w:r>
      <w:r w:rsidRPr="00DB4E02">
        <w:rPr>
          <w:bCs/>
          <w:szCs w:val="24"/>
          <w:lang w:eastAsia="zh-CN"/>
        </w:rPr>
        <w:t xml:space="preserve"> </w:t>
      </w:r>
      <w:r w:rsidRPr="00DB4E02">
        <w:rPr>
          <w:bCs/>
          <w:spacing w:val="2"/>
          <w:szCs w:val="24"/>
          <w:lang w:eastAsia="zh-CN"/>
        </w:rPr>
        <w:t>This</w:t>
      </w:r>
      <w:r w:rsidRPr="00DB4E02">
        <w:rPr>
          <w:bCs/>
          <w:spacing w:val="2"/>
          <w:szCs w:val="24"/>
        </w:rPr>
        <w:t xml:space="preserve"> definition</w:t>
      </w:r>
      <w:r w:rsidRPr="00DB4E02">
        <w:rPr>
          <w:bCs/>
          <w:spacing w:val="2"/>
          <w:szCs w:val="24"/>
          <w:lang w:eastAsia="zh-CN"/>
        </w:rPr>
        <w:t xml:space="preserve"> </w:t>
      </w:r>
      <w:r w:rsidRPr="00DB4E02">
        <w:rPr>
          <w:bCs/>
          <w:spacing w:val="2"/>
          <w:szCs w:val="24"/>
        </w:rPr>
        <w:t>includes “Fixed wireless access” (FWA), which in the same Recommendation is defined as: “</w:t>
      </w:r>
      <w:r w:rsidRPr="00DB4E02">
        <w:rPr>
          <w:bCs/>
          <w:i/>
          <w:iCs/>
          <w:spacing w:val="2"/>
          <w:szCs w:val="24"/>
        </w:rPr>
        <w:t>Fixed wireless system</w:t>
      </w:r>
      <w:r w:rsidRPr="00DB4E02">
        <w:rPr>
          <w:bCs/>
          <w:spacing w:val="2"/>
          <w:szCs w:val="24"/>
        </w:rPr>
        <w:t xml:space="preserve"> application in which the location of the end-user termination and the network access point to be connected to the end-user are fixed”</w:t>
      </w:r>
      <w:r w:rsidRPr="00DB4E02">
        <w:rPr>
          <w:bCs/>
          <w:spacing w:val="2"/>
          <w:szCs w:val="24"/>
          <w:lang w:eastAsia="zh-CN"/>
        </w:rPr>
        <w:t>.</w:t>
      </w:r>
      <w:r w:rsidRPr="00DB4E02">
        <w:rPr>
          <w:bCs/>
          <w:spacing w:val="2"/>
          <w:szCs w:val="24"/>
        </w:rPr>
        <w:t xml:space="preserve"> (See Recommendation </w:t>
      </w:r>
      <w:hyperlink r:id="rId12" w:history="1">
        <w:r w:rsidRPr="00DB4E02">
          <w:rPr>
            <w:rStyle w:val="Hyperlink"/>
            <w:bCs/>
            <w:spacing w:val="2"/>
            <w:szCs w:val="24"/>
          </w:rPr>
          <w:t xml:space="preserve">ITU-R </w:t>
        </w:r>
        <w:proofErr w:type="spellStart"/>
        <w:r w:rsidRPr="00DB4E02">
          <w:rPr>
            <w:rStyle w:val="Hyperlink"/>
            <w:bCs/>
            <w:spacing w:val="2"/>
            <w:szCs w:val="24"/>
          </w:rPr>
          <w:t>F.1399</w:t>
        </w:r>
        <w:proofErr w:type="spellEnd"/>
      </w:hyperlink>
      <w:r w:rsidRPr="00DB4E02">
        <w:rPr>
          <w:bCs/>
          <w:spacing w:val="2"/>
          <w:szCs w:val="24"/>
        </w:rPr>
        <w:t>.)</w:t>
      </w:r>
      <w:r w:rsidRPr="00DB4E02">
        <w:rPr>
          <w:bCs/>
          <w:spacing w:val="2"/>
          <w:szCs w:val="24"/>
          <w:lang w:eastAsia="zh-CN"/>
        </w:rPr>
        <w:t xml:space="preserve"> </w:t>
      </w:r>
    </w:p>
    <w:p w14:paraId="2C3EF4C6" w14:textId="77777777" w:rsidR="00852C3A" w:rsidRPr="00DB4E02" w:rsidRDefault="00852C3A" w:rsidP="00852C3A">
      <w:pPr>
        <w:rPr>
          <w:bCs/>
          <w:spacing w:val="2"/>
          <w:szCs w:val="24"/>
        </w:rPr>
      </w:pPr>
      <w:r w:rsidRPr="00DB4E02">
        <w:rPr>
          <w:bCs/>
          <w:spacing w:val="2"/>
          <w:szCs w:val="24"/>
          <w:lang w:eastAsia="zh-CN"/>
        </w:rPr>
        <w:lastRenderedPageBreak/>
        <w:t xml:space="preserve">According to the Administrative Circular </w:t>
      </w:r>
      <w:hyperlink r:id="rId13" w:history="1">
        <w:r w:rsidRPr="00DB4E02">
          <w:rPr>
            <w:rStyle w:val="Hyperlink"/>
            <w:bCs/>
            <w:spacing w:val="2"/>
            <w:szCs w:val="24"/>
            <w:lang w:eastAsia="zh-CN"/>
          </w:rPr>
          <w:t>CA/251</w:t>
        </w:r>
      </w:hyperlink>
      <w:r w:rsidRPr="00DB4E02">
        <w:rPr>
          <w:bCs/>
          <w:spacing w:val="2"/>
          <w:szCs w:val="24"/>
          <w:lang w:eastAsia="zh-CN"/>
        </w:rPr>
        <w:t xml:space="preserve">, </w:t>
      </w:r>
      <w:r w:rsidRPr="00DB4E02">
        <w:rPr>
          <w:bCs/>
          <w:spacing w:val="2"/>
          <w:szCs w:val="24"/>
        </w:rPr>
        <w:t xml:space="preserve">Working Party (WP) </w:t>
      </w:r>
      <w:proofErr w:type="spellStart"/>
      <w:r w:rsidRPr="00DB4E02">
        <w:rPr>
          <w:bCs/>
          <w:spacing w:val="2"/>
          <w:szCs w:val="24"/>
        </w:rPr>
        <w:t>5A</w:t>
      </w:r>
      <w:proofErr w:type="spellEnd"/>
      <w:r w:rsidRPr="00DB4E02">
        <w:rPr>
          <w:bCs/>
          <w:spacing w:val="2"/>
          <w:szCs w:val="24"/>
        </w:rPr>
        <w:t xml:space="preserve"> and WP </w:t>
      </w:r>
      <w:proofErr w:type="spellStart"/>
      <w:r w:rsidRPr="00DB4E02">
        <w:rPr>
          <w:bCs/>
          <w:spacing w:val="2"/>
          <w:szCs w:val="24"/>
        </w:rPr>
        <w:t>5C</w:t>
      </w:r>
      <w:proofErr w:type="spellEnd"/>
      <w:r w:rsidRPr="00DB4E02">
        <w:rPr>
          <w:bCs/>
          <w:spacing w:val="2"/>
          <w:szCs w:val="24"/>
        </w:rPr>
        <w:t xml:space="preserve"> have been assigned as joint responsible groups for </w:t>
      </w:r>
      <w:r w:rsidRPr="00DB4E02">
        <w:rPr>
          <w:bCs/>
          <w:spacing w:val="2"/>
          <w:szCs w:val="24"/>
          <w:lang w:eastAsia="zh-CN"/>
        </w:rPr>
        <w:t xml:space="preserve">WRC-23 agenda item 9.1, </w:t>
      </w:r>
      <w:r w:rsidRPr="00DB4E02">
        <w:rPr>
          <w:bCs/>
          <w:spacing w:val="2"/>
          <w:szCs w:val="24"/>
        </w:rPr>
        <w:t xml:space="preserve">topic c), in </w:t>
      </w:r>
      <w:proofErr w:type="spellStart"/>
      <w:r w:rsidRPr="00DB4E02">
        <w:rPr>
          <w:bCs/>
          <w:spacing w:val="2"/>
          <w:szCs w:val="24"/>
        </w:rPr>
        <w:t>CPM23</w:t>
      </w:r>
      <w:proofErr w:type="spellEnd"/>
      <w:r w:rsidRPr="00DB4E02">
        <w:rPr>
          <w:bCs/>
          <w:spacing w:val="2"/>
          <w:szCs w:val="24"/>
        </w:rPr>
        <w:t xml:space="preserve">-1. </w:t>
      </w:r>
    </w:p>
    <w:p w14:paraId="06412966" w14:textId="77777777" w:rsidR="00852C3A" w:rsidRPr="00DB4E02" w:rsidRDefault="00852C3A" w:rsidP="00852C3A">
      <w:pPr>
        <w:rPr>
          <w:bCs/>
          <w:spacing w:val="2"/>
          <w:szCs w:val="24"/>
          <w:lang w:eastAsia="zh-CN"/>
        </w:rPr>
      </w:pPr>
      <w:r w:rsidRPr="00DB4E02">
        <w:rPr>
          <w:bCs/>
          <w:spacing w:val="2"/>
          <w:szCs w:val="24"/>
        </w:rPr>
        <w:t xml:space="preserve">WP </w:t>
      </w:r>
      <w:proofErr w:type="spellStart"/>
      <w:r w:rsidRPr="00DB4E02">
        <w:rPr>
          <w:bCs/>
          <w:spacing w:val="2"/>
          <w:szCs w:val="24"/>
        </w:rPr>
        <w:t>5A</w:t>
      </w:r>
      <w:proofErr w:type="spellEnd"/>
      <w:r w:rsidRPr="00DB4E02">
        <w:rPr>
          <w:bCs/>
          <w:spacing w:val="2"/>
          <w:szCs w:val="24"/>
        </w:rPr>
        <w:t xml:space="preserve"> will provide the draft text on the results of studies to the CPM Chapter</w:t>
      </w:r>
      <w:r w:rsidRPr="00DB4E02">
        <w:rPr>
          <w:bCs/>
          <w:spacing w:val="2"/>
          <w:szCs w:val="24"/>
          <w:lang w:eastAsia="zh-CN"/>
        </w:rPr>
        <w:t xml:space="preserve"> </w:t>
      </w:r>
      <w:r w:rsidRPr="00DB4E02">
        <w:rPr>
          <w:bCs/>
          <w:spacing w:val="2"/>
          <w:szCs w:val="24"/>
        </w:rPr>
        <w:t>Co-Rapporteurs.</w:t>
      </w:r>
      <w:r w:rsidRPr="00DB4E02">
        <w:rPr>
          <w:bCs/>
          <w:spacing w:val="2"/>
          <w:szCs w:val="24"/>
          <w:lang w:eastAsia="zh-CN"/>
        </w:rPr>
        <w:t xml:space="preserve">  </w:t>
      </w:r>
    </w:p>
    <w:p w14:paraId="0CDDDCE3" w14:textId="6ECBD67C" w:rsidR="00852C3A" w:rsidRPr="00DB4E02" w:rsidRDefault="00852C3A" w:rsidP="00852C3A">
      <w:pPr>
        <w:rPr>
          <w:bCs/>
          <w:spacing w:val="2"/>
          <w:szCs w:val="24"/>
          <w:lang w:eastAsia="zh-CN"/>
        </w:rPr>
      </w:pPr>
      <w:r w:rsidRPr="00DB4E02">
        <w:rPr>
          <w:bCs/>
          <w:spacing w:val="2"/>
          <w:szCs w:val="24"/>
          <w:lang w:eastAsia="zh-CN"/>
        </w:rPr>
        <w:t>The provided input contribution includes consideration and proposal on the working scope and timeline of WRC-23 agenda item 9.1</w:t>
      </w:r>
      <w:r w:rsidR="00FA68E9">
        <w:rPr>
          <w:bCs/>
          <w:spacing w:val="2"/>
          <w:szCs w:val="24"/>
          <w:lang w:eastAsia="zh-CN"/>
        </w:rPr>
        <w:t>,</w:t>
      </w:r>
      <w:r w:rsidRPr="00DB4E02">
        <w:rPr>
          <w:bCs/>
          <w:spacing w:val="2"/>
          <w:szCs w:val="24"/>
          <w:lang w:eastAsia="zh-CN"/>
        </w:rPr>
        <w:t xml:space="preserve"> topic c). To avoid repeated submission, it is submitted to WP </w:t>
      </w:r>
      <w:proofErr w:type="spellStart"/>
      <w:r w:rsidRPr="00DB4E02">
        <w:rPr>
          <w:bCs/>
          <w:spacing w:val="2"/>
          <w:szCs w:val="24"/>
          <w:lang w:eastAsia="zh-CN"/>
        </w:rPr>
        <w:t>5A</w:t>
      </w:r>
      <w:proofErr w:type="spellEnd"/>
      <w:r w:rsidRPr="00DB4E02">
        <w:rPr>
          <w:bCs/>
          <w:spacing w:val="2"/>
          <w:szCs w:val="24"/>
          <w:lang w:eastAsia="zh-CN"/>
        </w:rPr>
        <w:t xml:space="preserve"> and the Chairman of WP </w:t>
      </w:r>
      <w:proofErr w:type="spellStart"/>
      <w:r w:rsidRPr="00DB4E02">
        <w:rPr>
          <w:bCs/>
          <w:spacing w:val="2"/>
          <w:szCs w:val="24"/>
          <w:lang w:eastAsia="zh-CN"/>
        </w:rPr>
        <w:t>5A</w:t>
      </w:r>
      <w:proofErr w:type="spellEnd"/>
      <w:r w:rsidRPr="00DB4E02">
        <w:rPr>
          <w:bCs/>
          <w:spacing w:val="2"/>
          <w:szCs w:val="24"/>
          <w:lang w:eastAsia="zh-CN"/>
        </w:rPr>
        <w:t xml:space="preserve"> is invited to transfer this contribution to WP </w:t>
      </w:r>
      <w:proofErr w:type="spellStart"/>
      <w:r w:rsidRPr="00DB4E02">
        <w:rPr>
          <w:bCs/>
          <w:spacing w:val="2"/>
          <w:szCs w:val="24"/>
          <w:lang w:eastAsia="zh-CN"/>
        </w:rPr>
        <w:t>5C</w:t>
      </w:r>
      <w:proofErr w:type="spellEnd"/>
      <w:r w:rsidRPr="00DB4E02">
        <w:rPr>
          <w:bCs/>
          <w:spacing w:val="2"/>
          <w:szCs w:val="24"/>
          <w:lang w:eastAsia="zh-CN"/>
        </w:rPr>
        <w:t xml:space="preserve"> for consideration in an appropriate way if necessary.</w:t>
      </w:r>
    </w:p>
    <w:p w14:paraId="366FB819" w14:textId="77777777" w:rsidR="00852C3A" w:rsidRPr="00DB4E02" w:rsidRDefault="00852C3A" w:rsidP="00852C3A">
      <w:pPr>
        <w:pStyle w:val="Heading1"/>
        <w:ind w:left="0" w:firstLine="0"/>
        <w:rPr>
          <w:lang w:eastAsia="zh-CN"/>
        </w:rPr>
      </w:pPr>
      <w:r w:rsidRPr="00DB4E02">
        <w:rPr>
          <w:lang w:eastAsia="zh-CN"/>
        </w:rPr>
        <w:t>2</w:t>
      </w:r>
      <w:r w:rsidRPr="00DB4E02">
        <w:rPr>
          <w:lang w:eastAsia="zh-CN"/>
        </w:rPr>
        <w:tab/>
        <w:t>Use cases, deployment scenarios and technical requirement</w:t>
      </w:r>
    </w:p>
    <w:p w14:paraId="76F6636E" w14:textId="77777777" w:rsidR="00852C3A" w:rsidRPr="00DB4E02" w:rsidRDefault="00852C3A" w:rsidP="00852C3A">
      <w:pPr>
        <w:pStyle w:val="EditorsNote"/>
        <w:rPr>
          <w:lang w:eastAsia="zh-CN"/>
        </w:rPr>
      </w:pPr>
      <w:r w:rsidRPr="00DB4E02">
        <w:rPr>
          <w:lang w:eastAsia="zh-CN"/>
        </w:rPr>
        <w:t>[Editor’s note: This section provides typical use cases and operational architecture, deployment scenarios and technical requirement including system characteristics/features on using IMT system for fixed wireless broadband.]</w:t>
      </w:r>
    </w:p>
    <w:p w14:paraId="655176AF" w14:textId="77777777" w:rsidR="00852C3A" w:rsidRPr="00DB4E02" w:rsidRDefault="00852C3A" w:rsidP="00852C3A">
      <w:pPr>
        <w:rPr>
          <w:lang w:eastAsia="zh-CN"/>
        </w:rPr>
      </w:pPr>
      <w:r w:rsidRPr="00DB4E02">
        <w:t>Technical and spectrum studies related to WRC-23 agenda item 9.1, topic c), are c</w:t>
      </w:r>
      <w:r w:rsidRPr="00DB4E02">
        <w:rPr>
          <w:lang w:eastAsia="zh-CN"/>
        </w:rPr>
        <w:t xml:space="preserve">onducted for typical use cases, deployment scenarios and system characteristics/features on using IMT system for </w:t>
      </w:r>
      <w:proofErr w:type="spellStart"/>
      <w:r w:rsidRPr="00DB4E02">
        <w:rPr>
          <w:lang w:eastAsia="zh-CN"/>
        </w:rPr>
        <w:t>FWB</w:t>
      </w:r>
      <w:proofErr w:type="spellEnd"/>
      <w:r w:rsidRPr="00DB4E02">
        <w:rPr>
          <w:lang w:eastAsia="zh-CN"/>
        </w:rPr>
        <w:t>, etc.</w:t>
      </w:r>
    </w:p>
    <w:p w14:paraId="0142FE01" w14:textId="386DF87B" w:rsidR="00852C3A" w:rsidRPr="00DB4E02" w:rsidRDefault="00852C3A" w:rsidP="00852C3A">
      <w:pPr>
        <w:rPr>
          <w:lang w:eastAsia="zh-CN"/>
        </w:rPr>
      </w:pPr>
      <w:r w:rsidRPr="00DB4E02">
        <w:rPr>
          <w:lang w:eastAsia="zh-CN"/>
        </w:rPr>
        <w:t xml:space="preserve">Various use cases can be considered as applications of wireless access and wireless transport using IMT system for </w:t>
      </w:r>
      <w:proofErr w:type="spellStart"/>
      <w:r w:rsidRPr="00DB4E02">
        <w:rPr>
          <w:lang w:eastAsia="zh-CN"/>
        </w:rPr>
        <w:t>FWB</w:t>
      </w:r>
      <w:proofErr w:type="spellEnd"/>
      <w:r w:rsidRPr="00DB4E02">
        <w:rPr>
          <w:lang w:eastAsia="zh-CN"/>
        </w:rPr>
        <w:t>, including wireless instead of fibre optics (such as IMT base station backhaul), flexible wireless access in last mile (such as remote video monitoring and wireless home broadband), data convergence and distribution etc, The implementation of different use cases can be achieved by different deployment scenarios.</w:t>
      </w:r>
    </w:p>
    <w:p w14:paraId="02172B75" w14:textId="77777777" w:rsidR="00852C3A" w:rsidRPr="00DB4E02" w:rsidRDefault="00852C3A" w:rsidP="00852C3A">
      <w:pPr>
        <w:rPr>
          <w:lang w:eastAsia="zh-CN"/>
        </w:rPr>
      </w:pPr>
      <w:r w:rsidRPr="00DB4E02">
        <w:rPr>
          <w:lang w:eastAsia="zh-CN"/>
        </w:rPr>
        <w:t xml:space="preserve">The use of IMT system for </w:t>
      </w:r>
      <w:proofErr w:type="spellStart"/>
      <w:r w:rsidRPr="00DB4E02">
        <w:rPr>
          <w:lang w:eastAsia="zh-CN"/>
        </w:rPr>
        <w:t>FWB</w:t>
      </w:r>
      <w:proofErr w:type="spellEnd"/>
      <w:r w:rsidRPr="00DB4E02">
        <w:rPr>
          <w:lang w:eastAsia="zh-CN"/>
        </w:rPr>
        <w:t xml:space="preserve"> could support the following applications of wireless access and wireless transport:</w:t>
      </w:r>
    </w:p>
    <w:p w14:paraId="4DEAD8BC" w14:textId="77777777" w:rsidR="00852C3A" w:rsidRPr="00DB4E02" w:rsidRDefault="00852C3A" w:rsidP="00852C3A">
      <w:pPr>
        <w:pStyle w:val="enumlev1"/>
        <w:rPr>
          <w:lang w:eastAsia="zh-CN"/>
        </w:rPr>
      </w:pPr>
      <w:r w:rsidRPr="00DB4E02">
        <w:t>−</w:t>
      </w:r>
      <w:r w:rsidRPr="00DB4E02">
        <w:tab/>
      </w:r>
      <w:r w:rsidRPr="00DB4E02">
        <w:rPr>
          <w:lang w:eastAsia="zh-CN"/>
        </w:rPr>
        <w:t xml:space="preserve">Wireless access network: IMT base station to </w:t>
      </w:r>
      <w:proofErr w:type="spellStart"/>
      <w:r w:rsidRPr="00DB4E02">
        <w:rPr>
          <w:lang w:eastAsia="zh-CN"/>
        </w:rPr>
        <w:t>CPEs</w:t>
      </w:r>
      <w:proofErr w:type="spellEnd"/>
      <w:r w:rsidRPr="00DB4E02">
        <w:rPr>
          <w:lang w:eastAsia="zh-CN"/>
        </w:rPr>
        <w:t xml:space="preserve"> (Customer Premise Equipment) or fixed terminals through Point to Point and Point to Multi-point communication.</w:t>
      </w:r>
    </w:p>
    <w:p w14:paraId="4589703C" w14:textId="77777777" w:rsidR="00852C3A" w:rsidRPr="00DB4E02" w:rsidRDefault="00852C3A" w:rsidP="00852C3A">
      <w:pPr>
        <w:pStyle w:val="enumlev1"/>
        <w:rPr>
          <w:lang w:eastAsia="zh-CN"/>
        </w:rPr>
      </w:pPr>
      <w:r w:rsidRPr="00DB4E02">
        <w:t>−</w:t>
      </w:r>
      <w:r w:rsidRPr="00DB4E02">
        <w:tab/>
      </w:r>
      <w:r w:rsidRPr="00DB4E02">
        <w:rPr>
          <w:lang w:eastAsia="zh-CN"/>
        </w:rPr>
        <w:t>Wireless transport network: IMT base station to base station or IMT base station to core network through Point to Point and Point to Multi-point communication.</w:t>
      </w:r>
    </w:p>
    <w:p w14:paraId="44A38769" w14:textId="77777777" w:rsidR="00852C3A" w:rsidRPr="00DB4E02" w:rsidRDefault="00852C3A" w:rsidP="00852C3A">
      <w:pPr>
        <w:rPr>
          <w:lang w:eastAsia="zh-CN"/>
        </w:rPr>
      </w:pPr>
      <w:r w:rsidRPr="00DB4E02">
        <w:rPr>
          <w:lang w:eastAsia="zh-CN"/>
        </w:rPr>
        <w:lastRenderedPageBreak/>
        <w:t xml:space="preserve">The locations of stations are fixed in the above applications. The implementation of transport and access network using IMT system for </w:t>
      </w:r>
      <w:proofErr w:type="spellStart"/>
      <w:r w:rsidRPr="00DB4E02">
        <w:rPr>
          <w:lang w:eastAsia="zh-CN"/>
        </w:rPr>
        <w:t>FWB</w:t>
      </w:r>
      <w:proofErr w:type="spellEnd"/>
      <w:r w:rsidRPr="00DB4E02">
        <w:rPr>
          <w:lang w:eastAsia="zh-CN"/>
        </w:rPr>
        <w:t xml:space="preserve"> is in line with the definition of fixed service.</w:t>
      </w:r>
    </w:p>
    <w:p w14:paraId="508EAA46" w14:textId="77777777" w:rsidR="00852C3A" w:rsidRPr="00DB4E02" w:rsidRDefault="00852C3A" w:rsidP="00852C3A">
      <w:pPr>
        <w:rPr>
          <w:lang w:eastAsia="zh-CN"/>
        </w:rPr>
      </w:pPr>
      <w:r w:rsidRPr="00DB4E02">
        <w:rPr>
          <w:lang w:eastAsia="zh-CN"/>
        </w:rPr>
        <w:t xml:space="preserve">The studies could continue to be conducted in accordance with the Radio Regulations in force within WRC-23 agenda item 9.1, topic c), and to support the use of IMT system for </w:t>
      </w:r>
      <w:proofErr w:type="spellStart"/>
      <w:r w:rsidRPr="00DB4E02">
        <w:rPr>
          <w:lang w:eastAsia="zh-CN"/>
        </w:rPr>
        <w:t>FWB</w:t>
      </w:r>
      <w:proofErr w:type="spellEnd"/>
      <w:r w:rsidRPr="00DB4E02">
        <w:rPr>
          <w:lang w:eastAsia="zh-CN"/>
        </w:rPr>
        <w:t xml:space="preserve"> in the frequency band allocated to the fixed service, regulatory analysis with respect to RR can be considered.</w:t>
      </w:r>
    </w:p>
    <w:p w14:paraId="0C272530" w14:textId="77777777" w:rsidR="00852C3A" w:rsidRPr="00DB4E02" w:rsidRDefault="00852C3A" w:rsidP="00852C3A">
      <w:pPr>
        <w:pStyle w:val="Heading1"/>
        <w:ind w:left="0" w:firstLine="0"/>
        <w:rPr>
          <w:lang w:eastAsia="zh-CN"/>
        </w:rPr>
      </w:pPr>
      <w:r w:rsidRPr="00DB4E02">
        <w:rPr>
          <w:lang w:eastAsia="zh-CN"/>
        </w:rPr>
        <w:t>3</w:t>
      </w:r>
      <w:r w:rsidRPr="00DB4E02">
        <w:rPr>
          <w:lang w:eastAsia="zh-CN"/>
        </w:rPr>
        <w:tab/>
        <w:t>Spectrum aspect</w:t>
      </w:r>
    </w:p>
    <w:p w14:paraId="54CA492D" w14:textId="77777777" w:rsidR="00852C3A" w:rsidRPr="00DB4E02" w:rsidRDefault="00852C3A" w:rsidP="00852C3A">
      <w:pPr>
        <w:pStyle w:val="EditorsNote"/>
        <w:rPr>
          <w:lang w:eastAsia="zh-CN"/>
        </w:rPr>
      </w:pPr>
      <w:r w:rsidRPr="00DB4E02">
        <w:rPr>
          <w:lang w:eastAsia="zh-CN"/>
        </w:rPr>
        <w:t>[Editor’s note: This section provides capacity requirement for transport, frequency arrangement and consideration on sharing and compatibility analysis.]</w:t>
      </w:r>
    </w:p>
    <w:p w14:paraId="6F6619AA" w14:textId="77777777" w:rsidR="00852C3A" w:rsidRPr="00DB4E02" w:rsidRDefault="00852C3A" w:rsidP="00852C3A">
      <w:pPr>
        <w:rPr>
          <w:lang w:eastAsia="zh-CN"/>
        </w:rPr>
      </w:pPr>
      <w:r w:rsidRPr="00DB4E02">
        <w:t>C</w:t>
      </w:r>
      <w:r w:rsidRPr="00DB4E02">
        <w:rPr>
          <w:lang w:eastAsia="zh-CN"/>
        </w:rPr>
        <w:t>onduct studies related to capacity requirement for transport, frequency arrangement and consideration on sharing and compatibility analysis.</w:t>
      </w:r>
    </w:p>
    <w:p w14:paraId="3AF37230" w14:textId="77777777" w:rsidR="00852C3A" w:rsidRPr="00DB4E02" w:rsidRDefault="00852C3A" w:rsidP="00852C3A">
      <w:pPr>
        <w:rPr>
          <w:lang w:eastAsia="zh-CN"/>
        </w:rPr>
      </w:pPr>
      <w:r w:rsidRPr="00DB4E02">
        <w:rPr>
          <w:lang w:eastAsia="zh-CN"/>
        </w:rPr>
        <w:t>Based on the applications described above,</w:t>
      </w:r>
      <w:r w:rsidRPr="00DB4E02">
        <w:t xml:space="preserve"> </w:t>
      </w:r>
      <w:r w:rsidRPr="00DB4E02">
        <w:rPr>
          <w:lang w:eastAsia="zh-CN"/>
        </w:rPr>
        <w:t xml:space="preserve">drafting a new ITU-R </w:t>
      </w:r>
      <w:proofErr w:type="gramStart"/>
      <w:r w:rsidRPr="00DB4E02">
        <w:rPr>
          <w:lang w:eastAsia="zh-CN"/>
        </w:rPr>
        <w:t>recommendation</w:t>
      </w:r>
      <w:proofErr w:type="gramEnd"/>
      <w:r w:rsidRPr="00DB4E02">
        <w:rPr>
          <w:lang w:eastAsia="zh-CN"/>
        </w:rPr>
        <w:t xml:space="preserve"> and revising existing ITU-R Recommendations/Report could be a proper way forward to deal with the study of WRC-23 </w:t>
      </w:r>
      <w:r w:rsidRPr="00DB4E02">
        <w:t>agenda item 9.1, topic c)</w:t>
      </w:r>
      <w:r w:rsidRPr="00DB4E02">
        <w:rPr>
          <w:lang w:eastAsia="zh-CN"/>
        </w:rPr>
        <w:t>.</w:t>
      </w:r>
    </w:p>
    <w:p w14:paraId="287076C7" w14:textId="77777777" w:rsidR="00852C3A" w:rsidRPr="00DB4E02" w:rsidRDefault="00852C3A" w:rsidP="00852C3A">
      <w:pPr>
        <w:pStyle w:val="enumlev1"/>
      </w:pPr>
      <w:r w:rsidRPr="00DB4E02">
        <w:t>−</w:t>
      </w:r>
      <w:r w:rsidRPr="00DB4E02">
        <w:tab/>
        <w:t xml:space="preserve">A new Recommendation to be prepared </w:t>
      </w:r>
      <w:r w:rsidRPr="00DB4E02">
        <w:rPr>
          <w:lang w:eastAsia="zh-CN"/>
        </w:rPr>
        <w:t xml:space="preserve">for </w:t>
      </w:r>
      <w:r w:rsidRPr="00DB4E02">
        <w:t>address</w:t>
      </w:r>
      <w:r w:rsidRPr="00DB4E02">
        <w:rPr>
          <w:lang w:eastAsia="zh-CN"/>
        </w:rPr>
        <w:t>ing</w:t>
      </w:r>
      <w:r w:rsidRPr="00DB4E02">
        <w:t xml:space="preserve"> the technical, spectrum and regulatory related issues.</w:t>
      </w:r>
      <w:r w:rsidRPr="00DB4E02">
        <w:rPr>
          <w:lang w:eastAsia="zh-CN"/>
        </w:rPr>
        <w:t xml:space="preserve"> It</w:t>
      </w:r>
      <w:r w:rsidRPr="00DB4E02">
        <w:t xml:space="preserve"> could consist of the latest technical progress, current/planned usage and consideration on the specific frequency band including related sharing and compatibility study and </w:t>
      </w:r>
      <w:r w:rsidRPr="00DB4E02">
        <w:rPr>
          <w:lang w:eastAsia="zh-CN"/>
        </w:rPr>
        <w:t xml:space="preserve">possible regulatory provisions </w:t>
      </w:r>
      <w:r w:rsidRPr="00DB4E02">
        <w:t xml:space="preserve">analysis </w:t>
      </w:r>
      <w:r w:rsidRPr="00DB4E02">
        <w:rPr>
          <w:lang w:eastAsia="zh-CN"/>
        </w:rPr>
        <w:t xml:space="preserve">on the use of IMT system for </w:t>
      </w:r>
      <w:proofErr w:type="spellStart"/>
      <w:r w:rsidRPr="00DB4E02">
        <w:t>FWB</w:t>
      </w:r>
      <w:proofErr w:type="spellEnd"/>
      <w:r w:rsidRPr="00DB4E02">
        <w:t>.</w:t>
      </w:r>
    </w:p>
    <w:p w14:paraId="7D8973E0" w14:textId="77777777" w:rsidR="00852C3A" w:rsidRPr="00DB4E02" w:rsidRDefault="00852C3A" w:rsidP="00852C3A">
      <w:pPr>
        <w:pStyle w:val="enumlev1"/>
      </w:pPr>
      <w:r w:rsidRPr="00DB4E02">
        <w:t>−</w:t>
      </w:r>
      <w:r w:rsidRPr="00DB4E02">
        <w:tab/>
        <w:t xml:space="preserve">Existing Recommendations/Reports </w:t>
      </w:r>
      <w:r w:rsidRPr="00DB4E02">
        <w:rPr>
          <w:lang w:eastAsia="zh-CN"/>
        </w:rPr>
        <w:t>of</w:t>
      </w:r>
      <w:r w:rsidRPr="00DB4E02">
        <w:t xml:space="preserve"> frequency arrangement</w:t>
      </w:r>
      <w:r w:rsidRPr="00DB4E02">
        <w:rPr>
          <w:lang w:eastAsia="zh-CN"/>
        </w:rPr>
        <w:t>s</w:t>
      </w:r>
      <w:r w:rsidRPr="00DB4E02">
        <w:t xml:space="preserve"> in specific frequency band</w:t>
      </w:r>
      <w:r w:rsidRPr="00DB4E02">
        <w:rPr>
          <w:lang w:eastAsia="zh-CN"/>
        </w:rPr>
        <w:t xml:space="preserve">s to be revised and could </w:t>
      </w:r>
      <w:r w:rsidRPr="00DB4E02">
        <w:t xml:space="preserve">be used </w:t>
      </w:r>
      <w:r w:rsidRPr="00DB4E02">
        <w:rPr>
          <w:lang w:eastAsia="zh-CN"/>
        </w:rPr>
        <w:t>as a reference to</w:t>
      </w:r>
      <w:r w:rsidRPr="00DB4E02">
        <w:t xml:space="preserve"> the new Recommendation mentioned above.</w:t>
      </w:r>
    </w:p>
    <w:p w14:paraId="1D2F5270" w14:textId="77777777" w:rsidR="00852C3A" w:rsidRPr="00DB4E02" w:rsidRDefault="00852C3A" w:rsidP="00852C3A">
      <w:pPr>
        <w:rPr>
          <w:lang w:eastAsia="zh-CN"/>
        </w:rPr>
      </w:pPr>
      <w:r w:rsidRPr="00DB4E02">
        <w:rPr>
          <w:lang w:eastAsia="zh-CN"/>
        </w:rPr>
        <w:t xml:space="preserve">The below table includes relevant ITU-R Recommendations included in contribution </w:t>
      </w:r>
      <w:hyperlink r:id="rId14" w:history="1">
        <w:proofErr w:type="spellStart"/>
        <w:r w:rsidRPr="00DB4E02">
          <w:rPr>
            <w:rStyle w:val="Hyperlink"/>
            <w:lang w:eastAsia="zh-CN"/>
          </w:rPr>
          <w:t>5A</w:t>
        </w:r>
        <w:proofErr w:type="spellEnd"/>
        <w:r w:rsidRPr="00DB4E02">
          <w:rPr>
            <w:rStyle w:val="Hyperlink"/>
            <w:lang w:eastAsia="zh-CN"/>
          </w:rPr>
          <w:t>/19</w:t>
        </w:r>
      </w:hyperlink>
      <w:r w:rsidRPr="00DB4E02">
        <w:rPr>
          <w:lang w:eastAsia="zh-CN"/>
        </w:rPr>
        <w:t xml:space="preserve"> from Chairmen of WP </w:t>
      </w:r>
      <w:proofErr w:type="spellStart"/>
      <w:r w:rsidRPr="00DB4E02">
        <w:rPr>
          <w:lang w:eastAsia="zh-CN"/>
        </w:rPr>
        <w:t>5A</w:t>
      </w:r>
      <w:proofErr w:type="spellEnd"/>
      <w:r w:rsidRPr="00DB4E02">
        <w:rPr>
          <w:lang w:eastAsia="zh-CN"/>
        </w:rPr>
        <w:t xml:space="preserve"> and WP </w:t>
      </w:r>
      <w:proofErr w:type="spellStart"/>
      <w:r w:rsidRPr="00DB4E02">
        <w:rPr>
          <w:lang w:eastAsia="zh-CN"/>
        </w:rPr>
        <w:t>5C</w:t>
      </w:r>
      <w:proofErr w:type="spellEnd"/>
      <w:r w:rsidRPr="00DB4E02">
        <w:rPr>
          <w:lang w:eastAsia="zh-CN"/>
        </w:rPr>
        <w:t>, which could be taken as basis for the future study and revised as necessary.</w:t>
      </w:r>
    </w:p>
    <w:p w14:paraId="3B7A421E" w14:textId="77777777" w:rsidR="00852C3A" w:rsidRPr="00DB4E02" w:rsidRDefault="00852C3A" w:rsidP="00852C3A">
      <w:pPr>
        <w:pStyle w:val="TableNo"/>
        <w:rPr>
          <w:lang w:eastAsia="zh-CN"/>
        </w:rPr>
      </w:pPr>
      <w:r w:rsidRPr="00DB4E02">
        <w:rPr>
          <w:lang w:eastAsia="zh-CN"/>
        </w:rPr>
        <w:t>TABLE</w:t>
      </w:r>
      <w:r w:rsidRPr="00DB4E02">
        <w:t xml:space="preserve"> </w:t>
      </w:r>
      <w:r w:rsidRPr="00DB4E02">
        <w:rPr>
          <w:lang w:eastAsia="zh-CN"/>
        </w:rPr>
        <w:t>1</w:t>
      </w:r>
    </w:p>
    <w:p w14:paraId="5C4751E9" w14:textId="77777777" w:rsidR="00852C3A" w:rsidRPr="00DB4E02" w:rsidRDefault="00852C3A" w:rsidP="00852C3A">
      <w:pPr>
        <w:pStyle w:val="Tabletitle"/>
        <w:rPr>
          <w:lang w:eastAsia="zh-CN"/>
        </w:rPr>
      </w:pPr>
      <w:r w:rsidRPr="00DB4E02">
        <w:rPr>
          <w:lang w:eastAsia="zh-CN"/>
        </w:rPr>
        <w:t xml:space="preserve">Relevant ITU-R Recommendations included in contribution </w:t>
      </w:r>
      <w:proofErr w:type="spellStart"/>
      <w:r w:rsidRPr="00DB4E02">
        <w:rPr>
          <w:lang w:eastAsia="zh-CN"/>
        </w:rPr>
        <w:t>5A</w:t>
      </w:r>
      <w:proofErr w:type="spellEnd"/>
      <w:r w:rsidRPr="00DB4E02">
        <w:rPr>
          <w:lang w:eastAsia="zh-CN"/>
        </w:rPr>
        <w:t>/19</w:t>
      </w:r>
    </w:p>
    <w:tbl>
      <w:tblPr>
        <w:tblStyle w:val="TableGrid"/>
        <w:tblW w:w="5000" w:type="pct"/>
        <w:tblLook w:val="04A0" w:firstRow="1" w:lastRow="0" w:firstColumn="1" w:lastColumn="0" w:noHBand="0" w:noVBand="1"/>
      </w:tblPr>
      <w:tblGrid>
        <w:gridCol w:w="3360"/>
        <w:gridCol w:w="3349"/>
        <w:gridCol w:w="2920"/>
      </w:tblGrid>
      <w:tr w:rsidR="00852C3A" w:rsidRPr="00DB4E02" w14:paraId="4E0FA4F0" w14:textId="77777777" w:rsidTr="000310C1">
        <w:tc>
          <w:tcPr>
            <w:tcW w:w="1745" w:type="pct"/>
          </w:tcPr>
          <w:p w14:paraId="371E4FC1" w14:textId="77777777" w:rsidR="00852C3A" w:rsidRPr="00DB4E02" w:rsidRDefault="00852C3A" w:rsidP="000310C1">
            <w:pPr>
              <w:pStyle w:val="Tablehead"/>
            </w:pPr>
            <w:r w:rsidRPr="00DB4E02">
              <w:t>Vocabulary of terms</w:t>
            </w:r>
          </w:p>
        </w:tc>
        <w:tc>
          <w:tcPr>
            <w:tcW w:w="1739" w:type="pct"/>
          </w:tcPr>
          <w:p w14:paraId="20E67F79" w14:textId="77777777" w:rsidR="00852C3A" w:rsidRPr="00DB4E02" w:rsidRDefault="00852C3A" w:rsidP="000310C1">
            <w:pPr>
              <w:pStyle w:val="Tablehead"/>
            </w:pPr>
            <w:r w:rsidRPr="00DB4E02">
              <w:t>Spectrum related</w:t>
            </w:r>
          </w:p>
        </w:tc>
        <w:tc>
          <w:tcPr>
            <w:tcW w:w="1516" w:type="pct"/>
          </w:tcPr>
          <w:p w14:paraId="45B50F10" w14:textId="77777777" w:rsidR="00852C3A" w:rsidRPr="00DB4E02" w:rsidRDefault="00852C3A" w:rsidP="000310C1">
            <w:pPr>
              <w:pStyle w:val="Tablehead"/>
            </w:pPr>
            <w:r w:rsidRPr="00DB4E02">
              <w:t>Technical related</w:t>
            </w:r>
          </w:p>
        </w:tc>
      </w:tr>
      <w:tr w:rsidR="00852C3A" w:rsidRPr="00DB4E02" w14:paraId="3F6C6596" w14:textId="77777777" w:rsidTr="000310C1">
        <w:tc>
          <w:tcPr>
            <w:tcW w:w="1745" w:type="pct"/>
          </w:tcPr>
          <w:p w14:paraId="49377A02"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F.592</w:t>
            </w:r>
            <w:proofErr w:type="spellEnd"/>
          </w:p>
        </w:tc>
        <w:tc>
          <w:tcPr>
            <w:tcW w:w="1739" w:type="pct"/>
          </w:tcPr>
          <w:p w14:paraId="70506B00"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F.748</w:t>
            </w:r>
            <w:proofErr w:type="spellEnd"/>
          </w:p>
        </w:tc>
        <w:tc>
          <w:tcPr>
            <w:tcW w:w="1516" w:type="pct"/>
          </w:tcPr>
          <w:p w14:paraId="5825DBC1"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F.757</w:t>
            </w:r>
            <w:proofErr w:type="spellEnd"/>
          </w:p>
        </w:tc>
      </w:tr>
      <w:tr w:rsidR="00852C3A" w:rsidRPr="00DB4E02" w14:paraId="35EE99D2" w14:textId="77777777" w:rsidTr="000310C1">
        <w:tc>
          <w:tcPr>
            <w:tcW w:w="1745" w:type="pct"/>
          </w:tcPr>
          <w:p w14:paraId="3C82099A" w14:textId="77777777" w:rsidR="00852C3A" w:rsidRPr="00DB4E02" w:rsidRDefault="00852C3A" w:rsidP="000310C1">
            <w:pPr>
              <w:pStyle w:val="Tabletext"/>
              <w:rPr>
                <w:lang w:eastAsia="zh-CN"/>
              </w:rPr>
            </w:pPr>
            <w:r w:rsidRPr="00DB4E02">
              <w:rPr>
                <w:lang w:eastAsia="zh-CN"/>
              </w:rPr>
              <w:lastRenderedPageBreak/>
              <w:t xml:space="preserve">Rec. ITU-R </w:t>
            </w:r>
            <w:proofErr w:type="spellStart"/>
            <w:r w:rsidRPr="00DB4E02">
              <w:rPr>
                <w:lang w:eastAsia="zh-CN"/>
              </w:rPr>
              <w:t>F.1399</w:t>
            </w:r>
            <w:proofErr w:type="spellEnd"/>
          </w:p>
        </w:tc>
        <w:tc>
          <w:tcPr>
            <w:tcW w:w="1739" w:type="pct"/>
          </w:tcPr>
          <w:p w14:paraId="63B7382D"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F.749</w:t>
            </w:r>
            <w:proofErr w:type="spellEnd"/>
          </w:p>
        </w:tc>
        <w:tc>
          <w:tcPr>
            <w:tcW w:w="1516" w:type="pct"/>
          </w:tcPr>
          <w:p w14:paraId="06F31162"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F.1400</w:t>
            </w:r>
            <w:proofErr w:type="spellEnd"/>
          </w:p>
        </w:tc>
      </w:tr>
      <w:tr w:rsidR="00852C3A" w:rsidRPr="00DB4E02" w14:paraId="6E3D58FE" w14:textId="77777777" w:rsidTr="000310C1">
        <w:tc>
          <w:tcPr>
            <w:tcW w:w="1745" w:type="pct"/>
          </w:tcPr>
          <w:p w14:paraId="1D8FD021" w14:textId="77777777" w:rsidR="00852C3A" w:rsidRPr="00DB4E02" w:rsidRDefault="00852C3A" w:rsidP="000310C1">
            <w:pPr>
              <w:pStyle w:val="Tabletext"/>
              <w:rPr>
                <w:lang w:eastAsia="zh-CN"/>
              </w:rPr>
            </w:pPr>
          </w:p>
        </w:tc>
        <w:tc>
          <w:tcPr>
            <w:tcW w:w="1739" w:type="pct"/>
          </w:tcPr>
          <w:p w14:paraId="3130365D"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F.1402</w:t>
            </w:r>
            <w:proofErr w:type="spellEnd"/>
          </w:p>
        </w:tc>
        <w:tc>
          <w:tcPr>
            <w:tcW w:w="1516" w:type="pct"/>
          </w:tcPr>
          <w:p w14:paraId="21A2665A"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F.1401</w:t>
            </w:r>
            <w:proofErr w:type="spellEnd"/>
          </w:p>
        </w:tc>
      </w:tr>
      <w:tr w:rsidR="00852C3A" w:rsidRPr="00DB4E02" w14:paraId="04C4F2B9" w14:textId="77777777" w:rsidTr="000310C1">
        <w:tc>
          <w:tcPr>
            <w:tcW w:w="1745" w:type="pct"/>
          </w:tcPr>
          <w:p w14:paraId="428C015C" w14:textId="77777777" w:rsidR="00852C3A" w:rsidRPr="00DB4E02" w:rsidRDefault="00852C3A" w:rsidP="000310C1">
            <w:pPr>
              <w:pStyle w:val="Tabletext"/>
              <w:rPr>
                <w:lang w:eastAsia="zh-CN"/>
              </w:rPr>
            </w:pPr>
          </w:p>
        </w:tc>
        <w:tc>
          <w:tcPr>
            <w:tcW w:w="1739" w:type="pct"/>
          </w:tcPr>
          <w:p w14:paraId="101CEE48"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F.1488</w:t>
            </w:r>
            <w:proofErr w:type="spellEnd"/>
          </w:p>
        </w:tc>
        <w:tc>
          <w:tcPr>
            <w:tcW w:w="1516" w:type="pct"/>
          </w:tcPr>
          <w:p w14:paraId="40EDFB0D"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F.1490</w:t>
            </w:r>
            <w:proofErr w:type="spellEnd"/>
          </w:p>
        </w:tc>
      </w:tr>
      <w:tr w:rsidR="00852C3A" w:rsidRPr="00DB4E02" w14:paraId="723959B7" w14:textId="77777777" w:rsidTr="000310C1">
        <w:tc>
          <w:tcPr>
            <w:tcW w:w="1745" w:type="pct"/>
          </w:tcPr>
          <w:p w14:paraId="12A0643F" w14:textId="77777777" w:rsidR="00852C3A" w:rsidRPr="00DB4E02" w:rsidRDefault="00852C3A" w:rsidP="000310C1">
            <w:pPr>
              <w:pStyle w:val="Tabletext"/>
              <w:rPr>
                <w:lang w:eastAsia="zh-CN"/>
              </w:rPr>
            </w:pPr>
          </w:p>
        </w:tc>
        <w:tc>
          <w:tcPr>
            <w:tcW w:w="1739" w:type="pct"/>
          </w:tcPr>
          <w:p w14:paraId="2E3291D7"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F.1489</w:t>
            </w:r>
            <w:proofErr w:type="spellEnd"/>
          </w:p>
        </w:tc>
        <w:tc>
          <w:tcPr>
            <w:tcW w:w="1516" w:type="pct"/>
          </w:tcPr>
          <w:p w14:paraId="6511AD7C"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F.1499</w:t>
            </w:r>
            <w:proofErr w:type="spellEnd"/>
          </w:p>
        </w:tc>
      </w:tr>
      <w:tr w:rsidR="00852C3A" w:rsidRPr="00DB4E02" w14:paraId="4C6C8DD8" w14:textId="77777777" w:rsidTr="000310C1">
        <w:tc>
          <w:tcPr>
            <w:tcW w:w="1745" w:type="pct"/>
          </w:tcPr>
          <w:p w14:paraId="1D33C25C" w14:textId="77777777" w:rsidR="00852C3A" w:rsidRPr="00DB4E02" w:rsidRDefault="00852C3A" w:rsidP="000310C1">
            <w:pPr>
              <w:pStyle w:val="Tabletext"/>
              <w:rPr>
                <w:lang w:eastAsia="zh-CN"/>
              </w:rPr>
            </w:pPr>
          </w:p>
        </w:tc>
        <w:tc>
          <w:tcPr>
            <w:tcW w:w="1739" w:type="pct"/>
          </w:tcPr>
          <w:p w14:paraId="65B40715"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F.1518</w:t>
            </w:r>
            <w:proofErr w:type="spellEnd"/>
          </w:p>
        </w:tc>
        <w:tc>
          <w:tcPr>
            <w:tcW w:w="1516" w:type="pct"/>
          </w:tcPr>
          <w:p w14:paraId="46808B4B"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F.1763</w:t>
            </w:r>
            <w:proofErr w:type="spellEnd"/>
          </w:p>
        </w:tc>
      </w:tr>
      <w:tr w:rsidR="00852C3A" w:rsidRPr="00DB4E02" w14:paraId="3A0405F1" w14:textId="77777777" w:rsidTr="000310C1">
        <w:tc>
          <w:tcPr>
            <w:tcW w:w="1745" w:type="pct"/>
          </w:tcPr>
          <w:p w14:paraId="7B8A69E3" w14:textId="77777777" w:rsidR="00852C3A" w:rsidRPr="00DB4E02" w:rsidRDefault="00852C3A" w:rsidP="000310C1">
            <w:pPr>
              <w:pStyle w:val="Tabletext"/>
              <w:rPr>
                <w:lang w:eastAsia="zh-CN"/>
              </w:rPr>
            </w:pPr>
          </w:p>
        </w:tc>
        <w:tc>
          <w:tcPr>
            <w:tcW w:w="1739" w:type="pct"/>
          </w:tcPr>
          <w:p w14:paraId="080D222E"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F.1519</w:t>
            </w:r>
            <w:proofErr w:type="spellEnd"/>
          </w:p>
        </w:tc>
        <w:tc>
          <w:tcPr>
            <w:tcW w:w="1516" w:type="pct"/>
          </w:tcPr>
          <w:p w14:paraId="7AE4E3CC" w14:textId="77777777" w:rsidR="00852C3A" w:rsidRPr="00DB4E02" w:rsidRDefault="00852C3A" w:rsidP="000310C1">
            <w:pPr>
              <w:pStyle w:val="Tabletext"/>
              <w:rPr>
                <w:lang w:eastAsia="zh-CN"/>
              </w:rPr>
            </w:pPr>
          </w:p>
        </w:tc>
      </w:tr>
      <w:tr w:rsidR="00852C3A" w:rsidRPr="00DB4E02" w14:paraId="4BB1DDE3" w14:textId="77777777" w:rsidTr="000310C1">
        <w:tc>
          <w:tcPr>
            <w:tcW w:w="1745" w:type="pct"/>
          </w:tcPr>
          <w:p w14:paraId="4764B9B4" w14:textId="77777777" w:rsidR="00852C3A" w:rsidRPr="00DB4E02" w:rsidRDefault="00852C3A" w:rsidP="000310C1">
            <w:pPr>
              <w:pStyle w:val="Tabletext"/>
              <w:rPr>
                <w:lang w:eastAsia="zh-CN"/>
              </w:rPr>
            </w:pPr>
          </w:p>
        </w:tc>
        <w:tc>
          <w:tcPr>
            <w:tcW w:w="1739" w:type="pct"/>
          </w:tcPr>
          <w:p w14:paraId="7E350F58" w14:textId="77777777" w:rsidR="00852C3A" w:rsidRPr="00DB4E02" w:rsidRDefault="00852C3A" w:rsidP="000310C1">
            <w:pPr>
              <w:pStyle w:val="Tabletext"/>
              <w:rPr>
                <w:lang w:eastAsia="zh-CN"/>
              </w:rPr>
            </w:pPr>
            <w:r w:rsidRPr="00DB4E02">
              <w:rPr>
                <w:lang w:eastAsia="zh-CN"/>
              </w:rPr>
              <w:t xml:space="preserve">Rec. ITU-R </w:t>
            </w:r>
            <w:proofErr w:type="spellStart"/>
            <w:r w:rsidRPr="00DB4E02">
              <w:rPr>
                <w:lang w:eastAsia="zh-CN"/>
              </w:rPr>
              <w:t>F.1613</w:t>
            </w:r>
            <w:proofErr w:type="spellEnd"/>
          </w:p>
        </w:tc>
        <w:tc>
          <w:tcPr>
            <w:tcW w:w="1516" w:type="pct"/>
          </w:tcPr>
          <w:p w14:paraId="549AA4D2" w14:textId="77777777" w:rsidR="00852C3A" w:rsidRPr="00DB4E02" w:rsidRDefault="00852C3A" w:rsidP="000310C1">
            <w:pPr>
              <w:pStyle w:val="Tabletext"/>
              <w:rPr>
                <w:lang w:eastAsia="zh-CN"/>
              </w:rPr>
            </w:pPr>
          </w:p>
        </w:tc>
      </w:tr>
    </w:tbl>
    <w:p w14:paraId="019A1FE4" w14:textId="77777777" w:rsidR="00852C3A" w:rsidRPr="00DB4E02" w:rsidRDefault="00852C3A" w:rsidP="00852C3A">
      <w:pPr>
        <w:pStyle w:val="Tablefin"/>
        <w:rPr>
          <w:lang w:val="en-GB"/>
        </w:rPr>
      </w:pPr>
    </w:p>
    <w:p w14:paraId="10C619D0" w14:textId="77777777" w:rsidR="00852C3A" w:rsidRPr="00DB4E02" w:rsidRDefault="00852C3A" w:rsidP="00852C3A">
      <w:pPr>
        <w:pStyle w:val="Heading1"/>
        <w:ind w:left="0" w:firstLine="0"/>
        <w:rPr>
          <w:lang w:eastAsia="zh-CN"/>
        </w:rPr>
      </w:pPr>
      <w:r w:rsidRPr="00DB4E02">
        <w:rPr>
          <w:lang w:eastAsia="zh-CN"/>
        </w:rPr>
        <w:t>4</w:t>
      </w:r>
      <w:r w:rsidRPr="00DB4E02">
        <w:rPr>
          <w:lang w:eastAsia="zh-CN"/>
        </w:rPr>
        <w:tab/>
        <w:t>Consideration on regulatory analysis</w:t>
      </w:r>
    </w:p>
    <w:p w14:paraId="1AD90BF2" w14:textId="77777777" w:rsidR="00852C3A" w:rsidRPr="00DB4E02" w:rsidRDefault="00852C3A" w:rsidP="00852C3A">
      <w:pPr>
        <w:pStyle w:val="EditorsNote"/>
        <w:rPr>
          <w:lang w:eastAsia="zh-CN"/>
        </w:rPr>
      </w:pPr>
      <w:r w:rsidRPr="00DB4E02">
        <w:rPr>
          <w:lang w:eastAsia="zh-CN"/>
        </w:rPr>
        <w:t xml:space="preserve">[Editor’s note: </w:t>
      </w:r>
      <w:r w:rsidRPr="00DB4E02">
        <w:rPr>
          <w:rFonts w:eastAsia="MS Mincho"/>
          <w:lang w:eastAsia="zh-CN"/>
        </w:rPr>
        <w:t xml:space="preserve">This section provides </w:t>
      </w:r>
      <w:r w:rsidRPr="00DB4E02">
        <w:rPr>
          <w:lang w:eastAsia="zh-CN"/>
        </w:rPr>
        <w:t xml:space="preserve">the </w:t>
      </w:r>
      <w:r w:rsidRPr="00DB4E02">
        <w:rPr>
          <w:rFonts w:eastAsia="MS Mincho"/>
          <w:lang w:eastAsia="zh-CN"/>
        </w:rPr>
        <w:t>possible regulatory provisions</w:t>
      </w:r>
      <w:r w:rsidRPr="00DB4E02">
        <w:rPr>
          <w:lang w:eastAsia="zh-CN"/>
        </w:rPr>
        <w:t xml:space="preserve"> analysis</w:t>
      </w:r>
      <w:r w:rsidRPr="00DB4E02">
        <w:rPr>
          <w:rFonts w:eastAsia="MS Mincho"/>
          <w:lang w:eastAsia="zh-CN"/>
        </w:rPr>
        <w:t xml:space="preserve"> </w:t>
      </w:r>
      <w:r w:rsidRPr="00DB4E02">
        <w:rPr>
          <w:lang w:eastAsia="zh-CN"/>
        </w:rPr>
        <w:t>on using IMT system for fixed wireless broadband in the frequency bands allocated to the fixed service on a primary basis which could be included in the summary section of the draft CPM text.]</w:t>
      </w:r>
    </w:p>
    <w:p w14:paraId="13ABF78E" w14:textId="77777777" w:rsidR="00852C3A" w:rsidRPr="00DB4E02" w:rsidRDefault="00852C3A" w:rsidP="00852C3A">
      <w:pPr>
        <w:pStyle w:val="Heading1"/>
        <w:ind w:left="0" w:firstLine="0"/>
        <w:rPr>
          <w:lang w:eastAsia="zh-CN"/>
        </w:rPr>
      </w:pPr>
      <w:r w:rsidRPr="00DB4E02">
        <w:rPr>
          <w:lang w:eastAsia="zh-CN"/>
        </w:rPr>
        <w:t>5</w:t>
      </w:r>
      <w:r w:rsidRPr="00DB4E02">
        <w:rPr>
          <w:lang w:eastAsia="zh-CN"/>
        </w:rPr>
        <w:tab/>
        <w:t xml:space="preserve">Conclusion </w:t>
      </w:r>
    </w:p>
    <w:p w14:paraId="4744B9FF" w14:textId="77777777" w:rsidR="00852C3A" w:rsidRPr="00DB4E02" w:rsidRDefault="00852C3A" w:rsidP="00852C3A">
      <w:pPr>
        <w:pStyle w:val="EditorsNote"/>
        <w:rPr>
          <w:lang w:eastAsia="zh-CN"/>
        </w:rPr>
      </w:pPr>
      <w:r w:rsidRPr="00DB4E02">
        <w:rPr>
          <w:lang w:eastAsia="zh-CN"/>
        </w:rPr>
        <w:t>[Editor’s note: This section provides conclusion and suggestion.]</w:t>
      </w:r>
    </w:p>
    <w:p w14:paraId="1CA4951D" w14:textId="14CFFFCD" w:rsidR="00852C3A" w:rsidRPr="00DB4E02" w:rsidRDefault="00852C3A" w:rsidP="00DF412F">
      <w:pPr>
        <w:rPr>
          <w:lang w:eastAsia="zh-CN"/>
        </w:rPr>
      </w:pPr>
      <w:r w:rsidRPr="00DB4E02">
        <w:rPr>
          <w:bCs/>
          <w:spacing w:val="2"/>
          <w:szCs w:val="24"/>
          <w:lang w:eastAsia="zh-CN"/>
        </w:rPr>
        <w:t xml:space="preserve">The co-signing Administration(s) proposes </w:t>
      </w:r>
      <w:r w:rsidRPr="00DB4E02">
        <w:rPr>
          <w:lang w:eastAsia="zh-CN"/>
        </w:rPr>
        <w:t>to develop a new ITU-R Recommendation and revise the existing ITU-R Recommendation(s)/Report(s) toward WRC-23 agenda item 9.1, topic c), and the study results could be included in the draft CPM text.</w:t>
      </w:r>
    </w:p>
    <w:sectPr w:rsidR="00852C3A" w:rsidRPr="00DB4E02"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1C3C" w14:textId="77777777" w:rsidR="0029262E" w:rsidRDefault="0029262E">
      <w:r>
        <w:separator/>
      </w:r>
    </w:p>
  </w:endnote>
  <w:endnote w:type="continuationSeparator" w:id="0">
    <w:p w14:paraId="009F73F3" w14:textId="77777777" w:rsidR="0029262E" w:rsidRDefault="002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035B" w14:textId="3AFAF953" w:rsidR="00FA124A" w:rsidRPr="002F7CB3" w:rsidRDefault="00EC2A6F">
    <w:pPr>
      <w:pStyle w:val="Footer"/>
      <w:rPr>
        <w:lang w:val="en-US"/>
      </w:rPr>
    </w:pPr>
    <w:fldSimple w:instr=" FILENAME \p \* MERGEFORMAT ">
      <w:r w:rsidR="00DF412F" w:rsidRPr="00DF412F">
        <w:rPr>
          <w:lang w:val="en-US"/>
        </w:rPr>
        <w:t>M</w:t>
      </w:r>
      <w:r w:rsidR="00DF412F">
        <w:t>:\BRSGD\TEXT2019\SG05\WP5A\200\221\221N18e.docx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B4FE" w14:textId="7043E9CE" w:rsidR="005170AF" w:rsidRPr="005170AF" w:rsidRDefault="006D4601" w:rsidP="005170AF">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DF412F">
      <w:rPr>
        <w:caps/>
        <w:noProof/>
        <w:sz w:val="16"/>
        <w:lang w:val="en-US"/>
      </w:rPr>
      <w:t>M:\BRSGD\TEXT2019\SG05\WP5A\200\221\221N18e.docx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DB0D" w14:textId="77777777" w:rsidR="0029262E" w:rsidRDefault="0029262E">
      <w:r>
        <w:t>____________________</w:t>
      </w:r>
    </w:p>
  </w:footnote>
  <w:footnote w:type="continuationSeparator" w:id="0">
    <w:p w14:paraId="767D9210" w14:textId="77777777" w:rsidR="0029262E" w:rsidRDefault="0029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235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BC72DE7" w14:textId="786D78A5" w:rsidR="00FA124A" w:rsidRDefault="00154966">
    <w:pPr>
      <w:pStyle w:val="Header"/>
      <w:rPr>
        <w:lang w:val="en-US"/>
      </w:rPr>
    </w:pPr>
    <w:proofErr w:type="spellStart"/>
    <w:r>
      <w:rPr>
        <w:lang w:val="en-US"/>
      </w:rPr>
      <w:t>5A</w:t>
    </w:r>
    <w:proofErr w:type="spellEnd"/>
    <w:r>
      <w:rPr>
        <w:lang w:val="en-US"/>
      </w:rPr>
      <w:t>/</w:t>
    </w:r>
    <w:r w:rsidR="00C50060">
      <w:rPr>
        <w:lang w:val="en-US"/>
      </w:rPr>
      <w:t>221</w:t>
    </w:r>
    <w:r w:rsidR="00DF412F">
      <w:rPr>
        <w:lang w:val="en-US"/>
      </w:rPr>
      <w:t xml:space="preserve"> </w:t>
    </w:r>
    <w:r w:rsidR="00C50060">
      <w:rPr>
        <w:lang w:val="en-US"/>
      </w:rPr>
      <w:t>(Annex 18)</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0B1"/>
    <w:multiLevelType w:val="hybridMultilevel"/>
    <w:tmpl w:val="C0BC9E0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594B"/>
    <w:multiLevelType w:val="hybridMultilevel"/>
    <w:tmpl w:val="C3BCB1C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7CE1"/>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009E"/>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60E3"/>
    <w:multiLevelType w:val="hybridMultilevel"/>
    <w:tmpl w:val="3EBE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C2CA4"/>
    <w:multiLevelType w:val="hybridMultilevel"/>
    <w:tmpl w:val="3EBE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C1114"/>
    <w:multiLevelType w:val="hybridMultilevel"/>
    <w:tmpl w:val="37F6414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66"/>
    <w:rsid w:val="00005124"/>
    <w:rsid w:val="00006593"/>
    <w:rsid w:val="000069D4"/>
    <w:rsid w:val="000174AD"/>
    <w:rsid w:val="00047A1D"/>
    <w:rsid w:val="000604B9"/>
    <w:rsid w:val="000A7D55"/>
    <w:rsid w:val="000C12C8"/>
    <w:rsid w:val="000C2E8E"/>
    <w:rsid w:val="000E0E7C"/>
    <w:rsid w:val="000E599E"/>
    <w:rsid w:val="000F1B4B"/>
    <w:rsid w:val="0010549C"/>
    <w:rsid w:val="0012744F"/>
    <w:rsid w:val="00131178"/>
    <w:rsid w:val="00154966"/>
    <w:rsid w:val="00156F66"/>
    <w:rsid w:val="00163271"/>
    <w:rsid w:val="00172122"/>
    <w:rsid w:val="00182528"/>
    <w:rsid w:val="0018500B"/>
    <w:rsid w:val="00196A19"/>
    <w:rsid w:val="001D3F76"/>
    <w:rsid w:val="00201E24"/>
    <w:rsid w:val="00202DC1"/>
    <w:rsid w:val="002116EE"/>
    <w:rsid w:val="0022147B"/>
    <w:rsid w:val="00222CCC"/>
    <w:rsid w:val="002309D8"/>
    <w:rsid w:val="0029262E"/>
    <w:rsid w:val="002A7FE2"/>
    <w:rsid w:val="002C233F"/>
    <w:rsid w:val="002C5DCC"/>
    <w:rsid w:val="002D358E"/>
    <w:rsid w:val="002E10E8"/>
    <w:rsid w:val="002E1B4F"/>
    <w:rsid w:val="002F2E67"/>
    <w:rsid w:val="002F3C09"/>
    <w:rsid w:val="002F7CB3"/>
    <w:rsid w:val="00315546"/>
    <w:rsid w:val="00330567"/>
    <w:rsid w:val="00386A9D"/>
    <w:rsid w:val="00391081"/>
    <w:rsid w:val="003B2789"/>
    <w:rsid w:val="003C13CE"/>
    <w:rsid w:val="003C697E"/>
    <w:rsid w:val="003E2518"/>
    <w:rsid w:val="003E329B"/>
    <w:rsid w:val="003E7CEF"/>
    <w:rsid w:val="00454003"/>
    <w:rsid w:val="00493F6D"/>
    <w:rsid w:val="004B1EF7"/>
    <w:rsid w:val="004B3FAD"/>
    <w:rsid w:val="004C5749"/>
    <w:rsid w:val="004F090C"/>
    <w:rsid w:val="00501DCA"/>
    <w:rsid w:val="00513A47"/>
    <w:rsid w:val="005170AF"/>
    <w:rsid w:val="005408DF"/>
    <w:rsid w:val="00566805"/>
    <w:rsid w:val="00573344"/>
    <w:rsid w:val="00583F9B"/>
    <w:rsid w:val="00597C16"/>
    <w:rsid w:val="005B0D29"/>
    <w:rsid w:val="005B4EB9"/>
    <w:rsid w:val="005E5C10"/>
    <w:rsid w:val="005F2C78"/>
    <w:rsid w:val="006144E4"/>
    <w:rsid w:val="00622016"/>
    <w:rsid w:val="006270CC"/>
    <w:rsid w:val="00650299"/>
    <w:rsid w:val="00655FC5"/>
    <w:rsid w:val="006D4601"/>
    <w:rsid w:val="006D7682"/>
    <w:rsid w:val="007174DF"/>
    <w:rsid w:val="007E54F0"/>
    <w:rsid w:val="0080538C"/>
    <w:rsid w:val="00814E0A"/>
    <w:rsid w:val="00822581"/>
    <w:rsid w:val="008309DD"/>
    <w:rsid w:val="0083227A"/>
    <w:rsid w:val="00852C3A"/>
    <w:rsid w:val="00866900"/>
    <w:rsid w:val="00876A8A"/>
    <w:rsid w:val="00881BA1"/>
    <w:rsid w:val="00885C8A"/>
    <w:rsid w:val="008C2302"/>
    <w:rsid w:val="008C26B8"/>
    <w:rsid w:val="008F208F"/>
    <w:rsid w:val="0094554C"/>
    <w:rsid w:val="009776A3"/>
    <w:rsid w:val="00982084"/>
    <w:rsid w:val="00995963"/>
    <w:rsid w:val="009B61EB"/>
    <w:rsid w:val="009C2064"/>
    <w:rsid w:val="009D1697"/>
    <w:rsid w:val="009E348B"/>
    <w:rsid w:val="009F3A46"/>
    <w:rsid w:val="009F6520"/>
    <w:rsid w:val="00A014F8"/>
    <w:rsid w:val="00A024B5"/>
    <w:rsid w:val="00A1584A"/>
    <w:rsid w:val="00A5173C"/>
    <w:rsid w:val="00A61AEF"/>
    <w:rsid w:val="00AA64FE"/>
    <w:rsid w:val="00AD2345"/>
    <w:rsid w:val="00AE7FC5"/>
    <w:rsid w:val="00AF173A"/>
    <w:rsid w:val="00B066A4"/>
    <w:rsid w:val="00B07A13"/>
    <w:rsid w:val="00B4279B"/>
    <w:rsid w:val="00B45FC9"/>
    <w:rsid w:val="00B76F35"/>
    <w:rsid w:val="00B81138"/>
    <w:rsid w:val="00BC7CCF"/>
    <w:rsid w:val="00BE470B"/>
    <w:rsid w:val="00C50060"/>
    <w:rsid w:val="00C57A91"/>
    <w:rsid w:val="00C65949"/>
    <w:rsid w:val="00CC01C2"/>
    <w:rsid w:val="00CC0264"/>
    <w:rsid w:val="00CF21F2"/>
    <w:rsid w:val="00D02712"/>
    <w:rsid w:val="00D046A7"/>
    <w:rsid w:val="00D16482"/>
    <w:rsid w:val="00D214D0"/>
    <w:rsid w:val="00D6546B"/>
    <w:rsid w:val="00D976C6"/>
    <w:rsid w:val="00DB178B"/>
    <w:rsid w:val="00DB4E02"/>
    <w:rsid w:val="00DC17D3"/>
    <w:rsid w:val="00DD4BED"/>
    <w:rsid w:val="00DE39F0"/>
    <w:rsid w:val="00DF0AF3"/>
    <w:rsid w:val="00DF412F"/>
    <w:rsid w:val="00DF56C2"/>
    <w:rsid w:val="00DF7E9F"/>
    <w:rsid w:val="00E002CF"/>
    <w:rsid w:val="00E27D7E"/>
    <w:rsid w:val="00E42E13"/>
    <w:rsid w:val="00E51AA8"/>
    <w:rsid w:val="00E56D5C"/>
    <w:rsid w:val="00E6257C"/>
    <w:rsid w:val="00E63C59"/>
    <w:rsid w:val="00E80688"/>
    <w:rsid w:val="00EC2A6F"/>
    <w:rsid w:val="00F25662"/>
    <w:rsid w:val="00F81585"/>
    <w:rsid w:val="00F864B4"/>
    <w:rsid w:val="00FA124A"/>
    <w:rsid w:val="00FA68E9"/>
    <w:rsid w:val="00FC08DD"/>
    <w:rsid w:val="00FC2316"/>
    <w:rsid w:val="00FC2CFD"/>
    <w:rsid w:val="00FC3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343F90"/>
  <w15:docId w15:val="{C8F25F9C-50E2-4F60-971D-7227EB42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ECC Hyperlink"/>
    <w:basedOn w:val="DefaultParagraphFont"/>
    <w:uiPriority w:val="99"/>
    <w:rsid w:val="009776A3"/>
    <w:rPr>
      <w:color w:val="0000FF"/>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9776A3"/>
    <w:rPr>
      <w:rFonts w:ascii="Times New Roman" w:hAnsi="Times New Roman"/>
      <w:b/>
      <w:sz w:val="28"/>
      <w:lang w:val="en-GB" w:eastAsia="en-US"/>
    </w:rPr>
  </w:style>
  <w:style w:type="character" w:customStyle="1" w:styleId="TabletextChar">
    <w:name w:val="Table_text Char"/>
    <w:basedOn w:val="DefaultParagraphFont"/>
    <w:link w:val="Tabletext"/>
    <w:locked/>
    <w:rsid w:val="009776A3"/>
    <w:rPr>
      <w:rFonts w:ascii="Times New Roman" w:hAnsi="Times New Roman"/>
      <w:lang w:val="en-GB" w:eastAsia="en-US"/>
    </w:rPr>
  </w:style>
  <w:style w:type="table" w:styleId="TableGrid">
    <w:name w:val="Table Grid"/>
    <w:basedOn w:val="TableNormal"/>
    <w:rsid w:val="0097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2CF"/>
    <w:rPr>
      <w:color w:val="605E5C"/>
      <w:shd w:val="clear" w:color="auto" w:fill="E1DFDD"/>
    </w:rPr>
  </w:style>
  <w:style w:type="character" w:styleId="FollowedHyperlink">
    <w:name w:val="FollowedHyperlink"/>
    <w:basedOn w:val="DefaultParagraphFont"/>
    <w:semiHidden/>
    <w:unhideWhenUsed/>
    <w:rsid w:val="00F864B4"/>
    <w:rPr>
      <w:color w:val="800080" w:themeColor="followedHyperlink"/>
      <w:u w:val="single"/>
    </w:rPr>
  </w:style>
  <w:style w:type="character" w:customStyle="1" w:styleId="href">
    <w:name w:val="href"/>
    <w:basedOn w:val="DefaultParagraphFont"/>
    <w:rsid w:val="00597C16"/>
  </w:style>
  <w:style w:type="paragraph" w:customStyle="1" w:styleId="Tablefin">
    <w:name w:val="Table_fin"/>
    <w:basedOn w:val="Normalaftertitle"/>
    <w:rsid w:val="00852C3A"/>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852C3A"/>
    <w:pPr>
      <w:spacing w:before="240" w:after="240"/>
    </w:pPr>
    <w:rPr>
      <w:i/>
      <w:iCs/>
    </w:rPr>
  </w:style>
  <w:style w:type="character" w:customStyle="1" w:styleId="Tabletext0">
    <w:name w:val="Table_text (文字)"/>
    <w:rsid w:val="00852C3A"/>
    <w:rPr>
      <w:rFonts w:ascii="Times New Roman" w:hAnsi="Times New Roman"/>
      <w:lang w:val="en-GB" w:eastAsia="en-US"/>
    </w:rPr>
  </w:style>
  <w:style w:type="character" w:customStyle="1" w:styleId="NormalaftertitleChar">
    <w:name w:val="Normal_after_title Char"/>
    <w:basedOn w:val="DefaultParagraphFont"/>
    <w:link w:val="Normalaftertitle"/>
    <w:locked/>
    <w:rsid w:val="00852C3A"/>
    <w:rPr>
      <w:rFonts w:ascii="Times New Roman" w:hAnsi="Times New Roman"/>
      <w:sz w:val="24"/>
      <w:lang w:val="en-GB" w:eastAsia="en-US"/>
    </w:rPr>
  </w:style>
  <w:style w:type="paragraph" w:customStyle="1" w:styleId="HeadingSum">
    <w:name w:val="Heading_Sum"/>
    <w:basedOn w:val="Headingb"/>
    <w:next w:val="Normal"/>
    <w:autoRedefine/>
    <w:rsid w:val="00852C3A"/>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rPr>
  </w:style>
  <w:style w:type="character" w:customStyle="1" w:styleId="CallChar">
    <w:name w:val="Call Char"/>
    <w:basedOn w:val="DefaultParagraphFont"/>
    <w:link w:val="Call"/>
    <w:locked/>
    <w:rsid w:val="00852C3A"/>
    <w:rPr>
      <w:rFonts w:ascii="Times New Roman" w:hAnsi="Times New Roman"/>
      <w:i/>
      <w:sz w:val="24"/>
      <w:lang w:val="en-GB" w:eastAsia="en-US"/>
    </w:rPr>
  </w:style>
  <w:style w:type="paragraph" w:customStyle="1" w:styleId="Summary">
    <w:name w:val="Summary"/>
    <w:basedOn w:val="Normal"/>
    <w:next w:val="Normalaftertitle"/>
    <w:link w:val="SummaryChar"/>
    <w:autoRedefine/>
    <w:rsid w:val="00852C3A"/>
    <w:pPr>
      <w:tabs>
        <w:tab w:val="clear" w:pos="1134"/>
        <w:tab w:val="clear" w:pos="1871"/>
        <w:tab w:val="clear" w:pos="2268"/>
        <w:tab w:val="left" w:pos="794"/>
        <w:tab w:val="left" w:pos="1191"/>
        <w:tab w:val="left" w:pos="1588"/>
        <w:tab w:val="left" w:pos="1985"/>
      </w:tabs>
      <w:spacing w:after="480"/>
      <w:jc w:val="both"/>
    </w:pPr>
    <w:rPr>
      <w:rFonts w:eastAsiaTheme="minorEastAsia"/>
      <w:sz w:val="22"/>
      <w:szCs w:val="22"/>
      <w:lang w:val="en-US" w:eastAsia="ja-JP"/>
    </w:rPr>
  </w:style>
  <w:style w:type="character" w:customStyle="1" w:styleId="SummaryChar">
    <w:name w:val="Summary Char"/>
    <w:basedOn w:val="DefaultParagraphFont"/>
    <w:link w:val="Summary"/>
    <w:rsid w:val="00852C3A"/>
    <w:rPr>
      <w:rFonts w:ascii="Times New Roman" w:eastAsiaTheme="minorEastAsia" w:hAnsi="Times New Roman"/>
      <w:sz w:val="22"/>
      <w:szCs w:val="22"/>
      <w:lang w:eastAsia="ja-JP"/>
    </w:rPr>
  </w:style>
  <w:style w:type="character" w:customStyle="1" w:styleId="enumlev10">
    <w:name w:val="enumlev1 Знак"/>
    <w:basedOn w:val="DefaultParagraphFont"/>
    <w:link w:val="enumlev1"/>
    <w:locked/>
    <w:rsid w:val="00852C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00-CA-CIR-025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rec/R-REC-F.1399/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F.592/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WP5A-C-00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83917-4665-4C4A-8652-1561DCCC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8190C-1CB6-47A2-A601-0CD9DDA91B99}">
  <ds:schemaRefs>
    <ds:schemaRef ds:uri="http://purl.org/dc/terms/"/>
    <ds:schemaRef ds:uri="http://schemas.openxmlformats.org/package/2006/metadata/core-properties"/>
    <ds:schemaRef ds:uri="3fe6f186-f5f4-40d9-8ed0-d4129be3f1dd"/>
    <ds:schemaRef ds:uri="http://schemas.microsoft.com/office/2006/documentManagement/types"/>
    <ds:schemaRef ds:uri="http://schemas.microsoft.com/office/infopath/2007/PartnerControls"/>
    <ds:schemaRef ds:uri="http://purl.org/dc/elements/1.1/"/>
    <ds:schemaRef ds:uri="http://schemas.microsoft.com/office/2006/metadata/properties"/>
    <ds:schemaRef ds:uri="10299242-1a9f-41a3-ba29-0a43e323a3a2"/>
    <ds:schemaRef ds:uri="http://www.w3.org/XML/1998/namespace"/>
    <ds:schemaRef ds:uri="http://purl.org/dc/dcmitype/"/>
  </ds:schemaRefs>
</ds:datastoreItem>
</file>

<file path=customXml/itemProps3.xml><?xml version="1.0" encoding="utf-8"?>
<ds:datastoreItem xmlns:ds="http://schemas.openxmlformats.org/officeDocument/2006/customXml" ds:itemID="{C86A8737-C9CF-4A2F-8136-9DE277962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18</TotalTime>
  <Pages>4</Pages>
  <Words>1232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 ITU -</cp:lastModifiedBy>
  <cp:revision>3</cp:revision>
  <cp:lastPrinted>2008-02-21T14:04:00Z</cp:lastPrinted>
  <dcterms:created xsi:type="dcterms:W3CDTF">2020-11-24T08:37:00Z</dcterms:created>
  <dcterms:modified xsi:type="dcterms:W3CDTF">2020-11-24T09:08:00Z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