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55CCBED" w14:textId="77777777" w:rsidTr="00876A8A">
        <w:trPr>
          <w:cantSplit/>
        </w:trPr>
        <w:tc>
          <w:tcPr>
            <w:tcW w:w="6487" w:type="dxa"/>
            <w:vAlign w:val="center"/>
          </w:tcPr>
          <w:p w14:paraId="1C81C673"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9A6F6F4" w14:textId="6850B14D" w:rsidR="009F6520" w:rsidRDefault="00903161" w:rsidP="00903161">
            <w:pPr>
              <w:shd w:val="solid" w:color="FFFFFF" w:fill="FFFFFF"/>
              <w:spacing w:before="0" w:line="240" w:lineRule="atLeast"/>
            </w:pPr>
            <w:bookmarkStart w:id="0" w:name="ditulogo"/>
            <w:bookmarkEnd w:id="0"/>
            <w:r>
              <w:rPr>
                <w:noProof/>
                <w:lang w:eastAsia="en-GB"/>
              </w:rPr>
              <w:drawing>
                <wp:inline distT="0" distB="0" distL="0" distR="0" wp14:anchorId="7AAEC4BD" wp14:editId="1DBE8AD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6B4A755" w14:textId="77777777" w:rsidTr="00876A8A">
        <w:trPr>
          <w:cantSplit/>
        </w:trPr>
        <w:tc>
          <w:tcPr>
            <w:tcW w:w="6487" w:type="dxa"/>
            <w:tcBorders>
              <w:bottom w:val="single" w:sz="12" w:space="0" w:color="auto"/>
            </w:tcBorders>
          </w:tcPr>
          <w:p w14:paraId="6408226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71CCB6C"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E68135D" w14:textId="77777777" w:rsidTr="00876A8A">
        <w:trPr>
          <w:cantSplit/>
        </w:trPr>
        <w:tc>
          <w:tcPr>
            <w:tcW w:w="6487" w:type="dxa"/>
            <w:tcBorders>
              <w:top w:val="single" w:sz="12" w:space="0" w:color="auto"/>
            </w:tcBorders>
          </w:tcPr>
          <w:p w14:paraId="2B842B1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75E893" w14:textId="77777777" w:rsidR="000069D4" w:rsidRPr="00710D66" w:rsidRDefault="000069D4" w:rsidP="00A5173C">
            <w:pPr>
              <w:shd w:val="solid" w:color="FFFFFF" w:fill="FFFFFF"/>
              <w:spacing w:before="0" w:after="48" w:line="240" w:lineRule="atLeast"/>
              <w:rPr>
                <w:lang w:val="en-US"/>
              </w:rPr>
            </w:pPr>
          </w:p>
        </w:tc>
      </w:tr>
      <w:tr w:rsidR="000069D4" w:rsidRPr="00775A9D" w14:paraId="417CFE9B" w14:textId="77777777" w:rsidTr="00876A8A">
        <w:trPr>
          <w:cantSplit/>
        </w:trPr>
        <w:tc>
          <w:tcPr>
            <w:tcW w:w="6487" w:type="dxa"/>
            <w:vMerge w:val="restart"/>
          </w:tcPr>
          <w:p w14:paraId="69BBA6F5" w14:textId="71EA14D0" w:rsidR="00903161" w:rsidRPr="002B1E82" w:rsidRDefault="00304564" w:rsidP="00903161">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2B1E82">
              <w:rPr>
                <w:rFonts w:ascii="Verdana" w:hAnsi="Verdana"/>
                <w:sz w:val="20"/>
                <w:lang w:val="fr-FR"/>
              </w:rPr>
              <w:t>Source</w:t>
            </w:r>
            <w:r w:rsidR="00903161" w:rsidRPr="002B1E82">
              <w:rPr>
                <w:rFonts w:ascii="Verdana" w:hAnsi="Verdana"/>
                <w:sz w:val="20"/>
                <w:lang w:val="fr-FR"/>
              </w:rPr>
              <w:t>:</w:t>
            </w:r>
            <w:r w:rsidRPr="002B1E82">
              <w:rPr>
                <w:rFonts w:ascii="Verdana" w:hAnsi="Verdana"/>
                <w:sz w:val="20"/>
                <w:lang w:val="fr-FR"/>
              </w:rPr>
              <w:tab/>
            </w:r>
            <w:r w:rsidR="007869A2" w:rsidRPr="002B1E82">
              <w:rPr>
                <w:rFonts w:ascii="Verdana" w:hAnsi="Verdana"/>
                <w:sz w:val="20"/>
                <w:lang w:val="fr-FR"/>
              </w:rPr>
              <w:t>Document 5A/TEMP/241(Rev.1)</w:t>
            </w:r>
          </w:p>
        </w:tc>
        <w:tc>
          <w:tcPr>
            <w:tcW w:w="3402" w:type="dxa"/>
          </w:tcPr>
          <w:p w14:paraId="5F00EC7A" w14:textId="548AC201" w:rsidR="000069D4" w:rsidRPr="00775A9D" w:rsidRDefault="007869A2" w:rsidP="00A5173C">
            <w:pPr>
              <w:shd w:val="solid" w:color="FFFFFF" w:fill="FFFFFF"/>
              <w:spacing w:before="0" w:line="240" w:lineRule="atLeast"/>
              <w:rPr>
                <w:rFonts w:ascii="Verdana" w:hAnsi="Verdana"/>
                <w:sz w:val="20"/>
                <w:lang w:val="fr-FR" w:eastAsia="zh-CN"/>
              </w:rPr>
            </w:pPr>
            <w:r>
              <w:rPr>
                <w:rFonts w:ascii="Verdana" w:hAnsi="Verdana"/>
                <w:b/>
                <w:sz w:val="20"/>
                <w:lang w:val="fr-FR" w:eastAsia="zh-CN"/>
              </w:rPr>
              <w:t xml:space="preserve">Annex 5 </w:t>
            </w:r>
            <w:r w:rsidRPr="009477C4">
              <w:rPr>
                <w:rFonts w:ascii="Verdana" w:hAnsi="Verdana"/>
                <w:b/>
                <w:sz w:val="20"/>
                <w:lang w:val="fr-FR" w:eastAsia="zh-CN"/>
              </w:rPr>
              <w:t>t</w:t>
            </w:r>
            <w:r>
              <w:rPr>
                <w:rFonts w:ascii="Verdana" w:hAnsi="Verdana"/>
                <w:b/>
                <w:sz w:val="20"/>
                <w:lang w:val="fr-FR" w:eastAsia="zh-CN"/>
              </w:rPr>
              <w:t>o</w:t>
            </w:r>
            <w:r w:rsidRPr="009477C4">
              <w:rPr>
                <w:rFonts w:ascii="Verdana" w:hAnsi="Verdana"/>
                <w:b/>
                <w:sz w:val="20"/>
                <w:lang w:val="fr-FR" w:eastAsia="zh-CN"/>
              </w:rPr>
              <w:br/>
              <w:t>Document 5A/</w:t>
            </w:r>
            <w:r>
              <w:rPr>
                <w:rFonts w:ascii="Verdana" w:hAnsi="Verdana"/>
                <w:b/>
                <w:sz w:val="20"/>
                <w:lang w:val="fr-FR" w:eastAsia="zh-CN"/>
              </w:rPr>
              <w:t>597</w:t>
            </w:r>
            <w:r w:rsidRPr="009477C4">
              <w:rPr>
                <w:rFonts w:ascii="Verdana" w:hAnsi="Verdana"/>
                <w:b/>
                <w:sz w:val="20"/>
                <w:lang w:val="fr-FR" w:eastAsia="zh-CN"/>
              </w:rPr>
              <w:t>-E</w:t>
            </w:r>
          </w:p>
        </w:tc>
      </w:tr>
      <w:tr w:rsidR="000069D4" w14:paraId="470C4259" w14:textId="77777777" w:rsidTr="00876A8A">
        <w:trPr>
          <w:cantSplit/>
        </w:trPr>
        <w:tc>
          <w:tcPr>
            <w:tcW w:w="6487" w:type="dxa"/>
            <w:vMerge/>
          </w:tcPr>
          <w:p w14:paraId="73404491" w14:textId="77777777" w:rsidR="000069D4" w:rsidRPr="00775A9D" w:rsidRDefault="000069D4" w:rsidP="00A5173C">
            <w:pPr>
              <w:spacing w:before="60"/>
              <w:jc w:val="center"/>
              <w:rPr>
                <w:b/>
                <w:smallCaps/>
                <w:sz w:val="32"/>
                <w:lang w:val="fr-FR" w:eastAsia="zh-CN"/>
              </w:rPr>
            </w:pPr>
            <w:bookmarkStart w:id="3" w:name="ddate" w:colFirst="1" w:colLast="1"/>
            <w:bookmarkEnd w:id="2"/>
          </w:p>
        </w:tc>
        <w:tc>
          <w:tcPr>
            <w:tcW w:w="3402" w:type="dxa"/>
          </w:tcPr>
          <w:p w14:paraId="03935ABA" w14:textId="47353184" w:rsidR="000069D4" w:rsidRPr="00903161" w:rsidRDefault="002B1E82"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903161">
              <w:rPr>
                <w:rFonts w:ascii="Verdana" w:hAnsi="Verdana"/>
                <w:b/>
                <w:sz w:val="20"/>
                <w:lang w:eastAsia="zh-CN"/>
              </w:rPr>
              <w:t xml:space="preserve"> June 2022</w:t>
            </w:r>
          </w:p>
        </w:tc>
      </w:tr>
      <w:tr w:rsidR="000069D4" w14:paraId="5184AD89" w14:textId="77777777" w:rsidTr="00876A8A">
        <w:trPr>
          <w:cantSplit/>
        </w:trPr>
        <w:tc>
          <w:tcPr>
            <w:tcW w:w="6487" w:type="dxa"/>
            <w:vMerge/>
          </w:tcPr>
          <w:p w14:paraId="3C5A33B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B7DBB3B" w14:textId="773620A9" w:rsidR="000069D4" w:rsidRPr="00903161" w:rsidRDefault="0090316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233487B" w14:textId="77777777" w:rsidTr="00D046A7">
        <w:trPr>
          <w:cantSplit/>
        </w:trPr>
        <w:tc>
          <w:tcPr>
            <w:tcW w:w="9889" w:type="dxa"/>
            <w:gridSpan w:val="2"/>
          </w:tcPr>
          <w:p w14:paraId="6A023835" w14:textId="7A443F0F" w:rsidR="000069D4" w:rsidRDefault="007869A2" w:rsidP="00903161">
            <w:pPr>
              <w:pStyle w:val="Source"/>
              <w:rPr>
                <w:lang w:eastAsia="zh-CN"/>
              </w:rPr>
            </w:pPr>
            <w:bookmarkStart w:id="5" w:name="dsource" w:colFirst="0" w:colLast="0"/>
            <w:bookmarkEnd w:id="4"/>
            <w:r w:rsidRPr="00357618">
              <w:rPr>
                <w:lang w:eastAsia="ja-JP"/>
              </w:rPr>
              <w:t xml:space="preserve">Annex </w:t>
            </w:r>
            <w:r>
              <w:rPr>
                <w:lang w:eastAsia="ja-JP"/>
              </w:rPr>
              <w:t>5</w:t>
            </w:r>
            <w:r w:rsidRPr="00357618">
              <w:rPr>
                <w:lang w:eastAsia="ja-JP"/>
              </w:rPr>
              <w:t xml:space="preserve"> to Working Party 5A Chairman’s Report</w:t>
            </w:r>
          </w:p>
        </w:tc>
      </w:tr>
      <w:tr w:rsidR="000069D4" w14:paraId="5B0C3A3B" w14:textId="77777777" w:rsidTr="00D046A7">
        <w:trPr>
          <w:cantSplit/>
        </w:trPr>
        <w:tc>
          <w:tcPr>
            <w:tcW w:w="9889" w:type="dxa"/>
            <w:gridSpan w:val="2"/>
          </w:tcPr>
          <w:p w14:paraId="347080DC" w14:textId="430DABFB" w:rsidR="000069D4" w:rsidRDefault="00304564" w:rsidP="00A5173C">
            <w:pPr>
              <w:pStyle w:val="Title1"/>
              <w:rPr>
                <w:lang w:eastAsia="zh-CN"/>
              </w:rPr>
            </w:pPr>
            <w:bookmarkStart w:id="6" w:name="drec" w:colFirst="0" w:colLast="0"/>
            <w:bookmarkStart w:id="7" w:name="_Hlk105655834"/>
            <w:bookmarkEnd w:id="5"/>
            <w:r w:rsidRPr="00304564">
              <w:rPr>
                <w:lang w:eastAsia="zh-CN"/>
              </w:rPr>
              <w:t>REPORT OF ACTIVITIES IN SUPPORT OF WRC-23 Agenda Item 1.3</w:t>
            </w:r>
            <w:bookmarkEnd w:id="7"/>
          </w:p>
        </w:tc>
      </w:tr>
      <w:tr w:rsidR="000069D4" w14:paraId="77FCD44F" w14:textId="77777777" w:rsidTr="00D046A7">
        <w:trPr>
          <w:cantSplit/>
        </w:trPr>
        <w:tc>
          <w:tcPr>
            <w:tcW w:w="9889" w:type="dxa"/>
            <w:gridSpan w:val="2"/>
          </w:tcPr>
          <w:p w14:paraId="7F22E01E" w14:textId="77777777" w:rsidR="000069D4" w:rsidRDefault="000069D4" w:rsidP="00A5173C">
            <w:pPr>
              <w:pStyle w:val="Title1"/>
              <w:rPr>
                <w:lang w:eastAsia="zh-CN"/>
              </w:rPr>
            </w:pPr>
            <w:bookmarkStart w:id="8" w:name="dtitle1" w:colFirst="0" w:colLast="0"/>
            <w:bookmarkEnd w:id="6"/>
          </w:p>
        </w:tc>
      </w:tr>
    </w:tbl>
    <w:p w14:paraId="6DC02B04" w14:textId="77777777" w:rsidR="00304564" w:rsidRPr="00761C6A" w:rsidRDefault="00304564" w:rsidP="00761C6A">
      <w:pPr>
        <w:pStyle w:val="Normalaftertitle"/>
        <w:spacing w:after="120"/>
      </w:pPr>
      <w:bookmarkStart w:id="9" w:name="dbreak"/>
      <w:bookmarkStart w:id="10" w:name="OLE_LINK1"/>
      <w:bookmarkEnd w:id="8"/>
      <w:bookmarkEnd w:id="9"/>
      <w:r w:rsidRPr="00B04348">
        <w:t>For work on WRC-</w:t>
      </w:r>
      <w:r>
        <w:t>23</w:t>
      </w:r>
      <w:r w:rsidRPr="00B04348">
        <w:t xml:space="preserve"> agenda item 1.</w:t>
      </w:r>
      <w:r>
        <w:t>3</w:t>
      </w:r>
      <w:r w:rsidRPr="00B04348">
        <w:t xml:space="preserve"> the following tables represent the work undertaken and remaining work to be done.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2809"/>
        <w:gridCol w:w="6830"/>
      </w:tblGrid>
      <w:tr w:rsidR="00304564" w:rsidRPr="005D0E54" w14:paraId="405E7DFE" w14:textId="77777777" w:rsidTr="00186D08">
        <w:trPr>
          <w:cantSplit/>
          <w:tblHeader/>
          <w:jc w:val="center"/>
        </w:trPr>
        <w:tc>
          <w:tcPr>
            <w:tcW w:w="2809" w:type="dxa"/>
            <w:vAlign w:val="center"/>
          </w:tcPr>
          <w:p w14:paraId="003F1D9C" w14:textId="77777777" w:rsidR="00304564" w:rsidRPr="005D0E54" w:rsidRDefault="00304564" w:rsidP="00186D08">
            <w:pPr>
              <w:pStyle w:val="Tablehead"/>
            </w:pPr>
            <w:r w:rsidRPr="005D0E54">
              <w:t>Working Party 5A meetings</w:t>
            </w:r>
          </w:p>
        </w:tc>
        <w:tc>
          <w:tcPr>
            <w:tcW w:w="6830" w:type="dxa"/>
            <w:vAlign w:val="center"/>
          </w:tcPr>
          <w:p w14:paraId="105FA58B" w14:textId="77777777" w:rsidR="00304564" w:rsidRPr="005D0E54" w:rsidRDefault="00304564" w:rsidP="00186D08">
            <w:pPr>
              <w:pStyle w:val="Tablehead"/>
            </w:pPr>
            <w:r w:rsidRPr="005D0E54">
              <w:t>Activity</w:t>
            </w:r>
          </w:p>
        </w:tc>
      </w:tr>
      <w:tr w:rsidR="00304564" w:rsidRPr="00761C6A" w14:paraId="2D2B0B86" w14:textId="77777777" w:rsidTr="00186D08">
        <w:trPr>
          <w:cantSplit/>
          <w:jc w:val="center"/>
        </w:trPr>
        <w:tc>
          <w:tcPr>
            <w:tcW w:w="2809" w:type="dxa"/>
          </w:tcPr>
          <w:p w14:paraId="04145FD6" w14:textId="77777777" w:rsidR="00304564" w:rsidRPr="00761C6A" w:rsidRDefault="00304564" w:rsidP="00186D08">
            <w:pPr>
              <w:pStyle w:val="Tabletext"/>
            </w:pPr>
            <w:r w:rsidRPr="00761C6A">
              <w:t>1</w:t>
            </w:r>
            <w:r w:rsidRPr="00761C6A">
              <w:rPr>
                <w:vertAlign w:val="superscript"/>
              </w:rPr>
              <w:t>st</w:t>
            </w:r>
            <w:r w:rsidRPr="00761C6A">
              <w:t xml:space="preserve"> meeting of the study cycle</w:t>
            </w:r>
          </w:p>
          <w:p w14:paraId="1CAD4346" w14:textId="77777777" w:rsidR="00304564" w:rsidRPr="00761C6A" w:rsidRDefault="00304564" w:rsidP="00186D08">
            <w:pPr>
              <w:pStyle w:val="Tabletext"/>
            </w:pPr>
            <w:r w:rsidRPr="00761C6A">
              <w:t>(23</w:t>
            </w:r>
            <w:r w:rsidRPr="00761C6A">
              <w:rPr>
                <w:vertAlign w:val="superscript"/>
              </w:rPr>
              <w:t>rd</w:t>
            </w:r>
            <w:r w:rsidRPr="00761C6A">
              <w:t xml:space="preserve"> meeting of WP5A)</w:t>
            </w:r>
          </w:p>
          <w:p w14:paraId="3DFAA68D" w14:textId="77777777" w:rsidR="00304564" w:rsidRPr="00761C6A" w:rsidRDefault="00304564" w:rsidP="000A2128">
            <w:pPr>
              <w:pStyle w:val="Tabletext"/>
            </w:pPr>
            <w:r w:rsidRPr="00761C6A">
              <w:t>July 2020</w:t>
            </w:r>
          </w:p>
        </w:tc>
        <w:tc>
          <w:tcPr>
            <w:tcW w:w="6830" w:type="dxa"/>
          </w:tcPr>
          <w:p w14:paraId="53D44C0F" w14:textId="77777777" w:rsidR="00304564" w:rsidRPr="00761C6A" w:rsidRDefault="00304564" w:rsidP="00186D08">
            <w:pPr>
              <w:pStyle w:val="Tabletext"/>
              <w:ind w:left="284" w:hanging="284"/>
            </w:pPr>
            <w:r w:rsidRPr="00761C6A">
              <w:t>•</w:t>
            </w:r>
            <w:r w:rsidRPr="00761C6A">
              <w:tab/>
              <w:t>Consider</w:t>
            </w:r>
            <w:r>
              <w:t>ed</w:t>
            </w:r>
            <w:r w:rsidRPr="00761C6A">
              <w:t xml:space="preserve"> input contributions</w:t>
            </w:r>
          </w:p>
          <w:p w14:paraId="1276B750" w14:textId="77777777" w:rsidR="00304564" w:rsidRPr="00761C6A" w:rsidRDefault="00304564" w:rsidP="00186D08">
            <w:pPr>
              <w:pStyle w:val="Tabletext"/>
              <w:ind w:left="284" w:hanging="284"/>
            </w:pPr>
            <w:r w:rsidRPr="00761C6A">
              <w:t>•</w:t>
            </w:r>
            <w:r w:rsidRPr="00761C6A">
              <w:tab/>
              <w:t>Develop</w:t>
            </w:r>
            <w:r>
              <w:t>ed an</w:t>
            </w:r>
            <w:r w:rsidRPr="00761C6A">
              <w:t xml:space="preserve"> initial work plan</w:t>
            </w:r>
          </w:p>
          <w:p w14:paraId="6F63460F" w14:textId="77777777" w:rsidR="00304564" w:rsidRPr="00761C6A" w:rsidRDefault="00304564" w:rsidP="00186D08">
            <w:pPr>
              <w:pStyle w:val="Tabletext"/>
              <w:ind w:left="284" w:hanging="284"/>
            </w:pPr>
            <w:r w:rsidRPr="00761C6A">
              <w:t>•</w:t>
            </w:r>
            <w:r w:rsidRPr="00761C6A">
              <w:tab/>
              <w:t>Develop</w:t>
            </w:r>
            <w:r>
              <w:t xml:space="preserve">ed </w:t>
            </w:r>
            <w:r w:rsidRPr="00761C6A">
              <w:t>liaison statement</w:t>
            </w:r>
            <w:r>
              <w:t>s</w:t>
            </w:r>
            <w:r w:rsidRPr="00761C6A">
              <w:t xml:space="preserve"> to contributing groups</w:t>
            </w:r>
          </w:p>
          <w:p w14:paraId="4E83B106" w14:textId="77777777" w:rsidR="00304564" w:rsidRPr="00761C6A" w:rsidDel="00B71C6C" w:rsidRDefault="00304564" w:rsidP="005D0E54">
            <w:pPr>
              <w:pStyle w:val="Tabletext"/>
              <w:ind w:left="284" w:hanging="284"/>
            </w:pPr>
            <w:r w:rsidRPr="00761C6A">
              <w:t>•</w:t>
            </w:r>
            <w:r w:rsidRPr="00761C6A">
              <w:tab/>
              <w:t>Create</w:t>
            </w:r>
            <w:r>
              <w:t>d a</w:t>
            </w:r>
            <w:r w:rsidRPr="00761C6A">
              <w:t xml:space="preserve"> placeholder </w:t>
            </w:r>
            <w:r>
              <w:t xml:space="preserve">document </w:t>
            </w:r>
            <w:r w:rsidRPr="00761C6A">
              <w:t>for draft CPM text</w:t>
            </w:r>
          </w:p>
        </w:tc>
      </w:tr>
      <w:tr w:rsidR="00304564" w:rsidRPr="00761C6A" w14:paraId="6EA9AE9B" w14:textId="77777777" w:rsidTr="00186D08">
        <w:trPr>
          <w:cantSplit/>
          <w:jc w:val="center"/>
        </w:trPr>
        <w:tc>
          <w:tcPr>
            <w:tcW w:w="2809" w:type="dxa"/>
          </w:tcPr>
          <w:p w14:paraId="6765CD13" w14:textId="77777777" w:rsidR="00304564" w:rsidRPr="00761C6A" w:rsidRDefault="00304564" w:rsidP="00186D08">
            <w:pPr>
              <w:pStyle w:val="Tabletext"/>
            </w:pPr>
            <w:r w:rsidRPr="00761C6A">
              <w:t>2</w:t>
            </w:r>
            <w:r w:rsidRPr="00761C6A">
              <w:rPr>
                <w:vertAlign w:val="superscript"/>
              </w:rPr>
              <w:t>nd</w:t>
            </w:r>
            <w:r w:rsidRPr="00761C6A">
              <w:t xml:space="preserve"> meeting of the study cycle</w:t>
            </w:r>
          </w:p>
          <w:p w14:paraId="477930FC" w14:textId="77777777" w:rsidR="00304564" w:rsidRPr="00761C6A" w:rsidRDefault="00304564" w:rsidP="00186D08">
            <w:pPr>
              <w:pStyle w:val="Tabletext"/>
            </w:pPr>
            <w:r w:rsidRPr="00761C6A">
              <w:t>(24</w:t>
            </w:r>
            <w:r w:rsidRPr="00761C6A">
              <w:rPr>
                <w:vertAlign w:val="superscript"/>
              </w:rPr>
              <w:t>th</w:t>
            </w:r>
            <w:r w:rsidRPr="00761C6A">
              <w:t xml:space="preserve"> meeting of WP5A)</w:t>
            </w:r>
          </w:p>
          <w:p w14:paraId="0F5920A5" w14:textId="77777777" w:rsidR="00304564" w:rsidRPr="00761C6A" w:rsidRDefault="00304564" w:rsidP="000A2128">
            <w:pPr>
              <w:pStyle w:val="Tabletext"/>
            </w:pPr>
            <w:r w:rsidRPr="00761C6A">
              <w:t>November 2020</w:t>
            </w:r>
          </w:p>
        </w:tc>
        <w:tc>
          <w:tcPr>
            <w:tcW w:w="6830" w:type="dxa"/>
          </w:tcPr>
          <w:p w14:paraId="69461F66" w14:textId="77777777" w:rsidR="00304564" w:rsidRPr="00761C6A" w:rsidRDefault="00304564" w:rsidP="00186D08">
            <w:pPr>
              <w:pStyle w:val="Tabletext"/>
              <w:ind w:left="284" w:hanging="284"/>
            </w:pPr>
            <w:r w:rsidRPr="00761C6A">
              <w:t>•</w:t>
            </w:r>
            <w:r w:rsidRPr="00761C6A">
              <w:tab/>
              <w:t>Consider</w:t>
            </w:r>
            <w:r>
              <w:t>ed</w:t>
            </w:r>
            <w:r w:rsidRPr="00761C6A">
              <w:t xml:space="preserve"> input contributions</w:t>
            </w:r>
          </w:p>
          <w:p w14:paraId="422F7481" w14:textId="77777777" w:rsidR="00304564" w:rsidRPr="00761C6A" w:rsidRDefault="00304564" w:rsidP="00186D08">
            <w:pPr>
              <w:pStyle w:val="Tabletext"/>
              <w:ind w:left="284" w:hanging="284"/>
            </w:pPr>
            <w:r w:rsidRPr="00761C6A">
              <w:t>•</w:t>
            </w:r>
            <w:r w:rsidRPr="00761C6A">
              <w:tab/>
            </w:r>
            <w:r>
              <w:t>Revised</w:t>
            </w:r>
            <w:r w:rsidRPr="00761C6A">
              <w:t xml:space="preserve"> the work plan</w:t>
            </w:r>
          </w:p>
          <w:p w14:paraId="31955AA5" w14:textId="77777777" w:rsidR="00304564" w:rsidRPr="00761C6A" w:rsidRDefault="00304564" w:rsidP="00186D08">
            <w:pPr>
              <w:pStyle w:val="Tabletext"/>
              <w:ind w:left="284" w:hanging="284"/>
            </w:pPr>
            <w:r w:rsidRPr="00761C6A">
              <w:t>•</w:t>
            </w:r>
            <w:r w:rsidRPr="00761C6A">
              <w:tab/>
              <w:t>Prepare</w:t>
            </w:r>
            <w:r>
              <w:t>d</w:t>
            </w:r>
            <w:r w:rsidRPr="00761C6A">
              <w:t xml:space="preserve"> </w:t>
            </w:r>
            <w:r>
              <w:t>a</w:t>
            </w:r>
            <w:r w:rsidRPr="00761C6A">
              <w:t xml:space="preserve"> compilation of parameters received in response to liaison statements and contributions to WP5A</w:t>
            </w:r>
          </w:p>
          <w:p w14:paraId="49C3475B" w14:textId="77777777" w:rsidR="00304564" w:rsidRPr="00761C6A" w:rsidRDefault="00304564" w:rsidP="00186D08">
            <w:pPr>
              <w:pStyle w:val="Tabletext"/>
              <w:ind w:left="284" w:hanging="284"/>
            </w:pPr>
            <w:r w:rsidRPr="00761C6A">
              <w:t>•</w:t>
            </w:r>
            <w:r w:rsidRPr="00761C6A">
              <w:tab/>
              <w:t>Analyse</w:t>
            </w:r>
            <w:r>
              <w:t>d</w:t>
            </w:r>
            <w:r w:rsidRPr="00761C6A">
              <w:t xml:space="preserve"> existing ITU-R Reports relevant to the sharing and compatibility studies</w:t>
            </w:r>
          </w:p>
          <w:p w14:paraId="6395389C" w14:textId="77777777" w:rsidR="00304564" w:rsidRPr="00761C6A" w:rsidRDefault="00304564" w:rsidP="005B6781">
            <w:pPr>
              <w:pStyle w:val="Tabletext"/>
              <w:ind w:left="284" w:hanging="284"/>
            </w:pPr>
            <w:r w:rsidRPr="00761C6A">
              <w:t>•</w:t>
            </w:r>
            <w:r w:rsidRPr="00761C6A">
              <w:tab/>
              <w:t>Develop</w:t>
            </w:r>
            <w:r>
              <w:t>ed</w:t>
            </w:r>
            <w:r w:rsidRPr="00761C6A">
              <w:t xml:space="preserve"> </w:t>
            </w:r>
            <w:r>
              <w:t xml:space="preserve">an </w:t>
            </w:r>
            <w:r w:rsidRPr="00761C6A">
              <w:t xml:space="preserve">initial version of </w:t>
            </w:r>
            <w:r>
              <w:t xml:space="preserve">the </w:t>
            </w:r>
            <w:r w:rsidRPr="00761C6A">
              <w:t>draft CPM text</w:t>
            </w:r>
          </w:p>
        </w:tc>
      </w:tr>
      <w:tr w:rsidR="00304564" w:rsidRPr="00761C6A" w14:paraId="418D0797" w14:textId="77777777" w:rsidTr="00186D08">
        <w:trPr>
          <w:cantSplit/>
          <w:jc w:val="center"/>
        </w:trPr>
        <w:tc>
          <w:tcPr>
            <w:tcW w:w="2809" w:type="dxa"/>
          </w:tcPr>
          <w:p w14:paraId="7E9C6CC3" w14:textId="77777777" w:rsidR="00304564" w:rsidRPr="00761C6A" w:rsidRDefault="00304564" w:rsidP="00186D08">
            <w:pPr>
              <w:pStyle w:val="Tabletext"/>
            </w:pPr>
            <w:r w:rsidRPr="00761C6A">
              <w:t>3</w:t>
            </w:r>
            <w:r w:rsidRPr="00761C6A">
              <w:rPr>
                <w:vertAlign w:val="superscript"/>
              </w:rPr>
              <w:t>rd</w:t>
            </w:r>
            <w:r w:rsidRPr="00761C6A">
              <w:t xml:space="preserve"> meeting of the study cycle</w:t>
            </w:r>
          </w:p>
          <w:p w14:paraId="520569CD" w14:textId="77777777" w:rsidR="00304564" w:rsidRPr="00761C6A" w:rsidRDefault="00304564" w:rsidP="00186D08">
            <w:pPr>
              <w:pStyle w:val="Tabletext"/>
            </w:pPr>
            <w:r w:rsidRPr="00761C6A">
              <w:t>(25</w:t>
            </w:r>
            <w:r w:rsidRPr="00761C6A">
              <w:rPr>
                <w:vertAlign w:val="superscript"/>
              </w:rPr>
              <w:t>th</w:t>
            </w:r>
            <w:r w:rsidRPr="00761C6A">
              <w:t xml:space="preserve"> meeting of WP5A)</w:t>
            </w:r>
          </w:p>
          <w:p w14:paraId="34B8CC25" w14:textId="77777777" w:rsidR="00304564" w:rsidRPr="00761C6A" w:rsidRDefault="00304564" w:rsidP="00186D08">
            <w:pPr>
              <w:pStyle w:val="Tabletext"/>
            </w:pPr>
            <w:r w:rsidRPr="00761C6A">
              <w:t>May 2021</w:t>
            </w:r>
          </w:p>
        </w:tc>
        <w:tc>
          <w:tcPr>
            <w:tcW w:w="6830" w:type="dxa"/>
          </w:tcPr>
          <w:p w14:paraId="307C65C8" w14:textId="77777777" w:rsidR="00304564" w:rsidRPr="00761C6A" w:rsidRDefault="00304564" w:rsidP="00186D08">
            <w:pPr>
              <w:pStyle w:val="Tabletext"/>
              <w:ind w:left="284" w:hanging="284"/>
            </w:pPr>
            <w:r w:rsidRPr="00761C6A">
              <w:t>•</w:t>
            </w:r>
            <w:r w:rsidRPr="00761C6A">
              <w:tab/>
              <w:t>Consider</w:t>
            </w:r>
            <w:r>
              <w:t>ed</w:t>
            </w:r>
            <w:r w:rsidRPr="00761C6A">
              <w:t xml:space="preserve"> input contributions</w:t>
            </w:r>
          </w:p>
          <w:p w14:paraId="2F59884B" w14:textId="77777777" w:rsidR="00304564" w:rsidRDefault="00304564" w:rsidP="005B6781">
            <w:pPr>
              <w:pStyle w:val="Tabletext"/>
              <w:ind w:left="284" w:hanging="284"/>
            </w:pPr>
            <w:r w:rsidRPr="00761C6A">
              <w:t>•</w:t>
            </w:r>
            <w:r w:rsidRPr="00761C6A">
              <w:tab/>
              <w:t>Continue</w:t>
            </w:r>
            <w:r>
              <w:t>d</w:t>
            </w:r>
            <w:r w:rsidRPr="00761C6A">
              <w:t xml:space="preserve"> the analysis of existing ITU-R Reports, and of new parameters/criteria received</w:t>
            </w:r>
          </w:p>
          <w:p w14:paraId="18CE6889" w14:textId="77777777" w:rsidR="00304564" w:rsidRPr="00761C6A" w:rsidRDefault="00304564" w:rsidP="005B6781">
            <w:pPr>
              <w:pStyle w:val="Tabletext"/>
              <w:ind w:left="284" w:hanging="284"/>
            </w:pPr>
            <w:r w:rsidRPr="00761C6A">
              <w:t>•</w:t>
            </w:r>
            <w:r w:rsidRPr="00761C6A">
              <w:tab/>
            </w:r>
            <w:r>
              <w:t>Updated the</w:t>
            </w:r>
            <w:r w:rsidRPr="00761C6A">
              <w:t xml:space="preserve"> compilation of parameters received in response to liaison statements and contributions to WP5A</w:t>
            </w:r>
          </w:p>
        </w:tc>
      </w:tr>
      <w:tr w:rsidR="00304564" w:rsidRPr="00761C6A" w14:paraId="696A0778" w14:textId="77777777" w:rsidTr="00186D08">
        <w:trPr>
          <w:cantSplit/>
          <w:jc w:val="center"/>
        </w:trPr>
        <w:tc>
          <w:tcPr>
            <w:tcW w:w="2809" w:type="dxa"/>
          </w:tcPr>
          <w:p w14:paraId="5A69120E" w14:textId="77777777" w:rsidR="00304564" w:rsidRPr="00761C6A" w:rsidRDefault="00304564" w:rsidP="00186D08">
            <w:pPr>
              <w:pStyle w:val="Tabletext"/>
            </w:pPr>
            <w:r w:rsidRPr="00761C6A">
              <w:t>4</w:t>
            </w:r>
            <w:r w:rsidRPr="00761C6A">
              <w:rPr>
                <w:vertAlign w:val="superscript"/>
              </w:rPr>
              <w:t>th</w:t>
            </w:r>
            <w:r w:rsidRPr="00761C6A">
              <w:t xml:space="preserve"> meeting of the study cycle</w:t>
            </w:r>
          </w:p>
          <w:p w14:paraId="0BE69A00" w14:textId="77777777" w:rsidR="00304564" w:rsidRPr="00761C6A" w:rsidRDefault="00304564" w:rsidP="00186D08">
            <w:pPr>
              <w:pStyle w:val="Tabletext"/>
            </w:pPr>
            <w:r w:rsidRPr="00761C6A">
              <w:t>(26</w:t>
            </w:r>
            <w:r w:rsidRPr="00761C6A">
              <w:rPr>
                <w:vertAlign w:val="superscript"/>
              </w:rPr>
              <w:t>th</w:t>
            </w:r>
            <w:r w:rsidRPr="00761C6A">
              <w:t xml:space="preserve"> meeting of WP5A)</w:t>
            </w:r>
          </w:p>
          <w:p w14:paraId="28AEAF98" w14:textId="77777777" w:rsidR="00304564" w:rsidRPr="00761C6A" w:rsidRDefault="00304564" w:rsidP="00186D08">
            <w:pPr>
              <w:pStyle w:val="Tabletext"/>
            </w:pPr>
            <w:r w:rsidRPr="00761C6A">
              <w:t>November 2021</w:t>
            </w:r>
          </w:p>
        </w:tc>
        <w:tc>
          <w:tcPr>
            <w:tcW w:w="6830" w:type="dxa"/>
          </w:tcPr>
          <w:p w14:paraId="50931988" w14:textId="77777777" w:rsidR="00304564" w:rsidRDefault="00304564" w:rsidP="00186D08">
            <w:pPr>
              <w:pStyle w:val="Tabletext"/>
              <w:ind w:left="284" w:hanging="284"/>
            </w:pPr>
            <w:r w:rsidRPr="00761C6A">
              <w:t>•</w:t>
            </w:r>
            <w:r w:rsidRPr="00761C6A">
              <w:tab/>
              <w:t>Consider</w:t>
            </w:r>
            <w:r>
              <w:t>ed</w:t>
            </w:r>
            <w:r w:rsidRPr="00761C6A">
              <w:t xml:space="preserve"> input contributions</w:t>
            </w:r>
          </w:p>
          <w:p w14:paraId="364762E7" w14:textId="77777777" w:rsidR="00304564" w:rsidRPr="00761C6A" w:rsidRDefault="00304564" w:rsidP="00186D08">
            <w:pPr>
              <w:pStyle w:val="Tabletext"/>
              <w:ind w:left="284" w:hanging="284"/>
            </w:pPr>
            <w:r w:rsidRPr="00761C6A">
              <w:t>•</w:t>
            </w:r>
            <w:r w:rsidRPr="00761C6A">
              <w:tab/>
            </w:r>
            <w:r>
              <w:t xml:space="preserve">Continued development of the </w:t>
            </w:r>
            <w:r w:rsidRPr="00761C6A">
              <w:t>draft CPM text</w:t>
            </w:r>
          </w:p>
          <w:p w14:paraId="6BAA125B" w14:textId="77777777" w:rsidR="00304564" w:rsidRPr="00761C6A" w:rsidRDefault="00304564" w:rsidP="00186D08">
            <w:pPr>
              <w:pStyle w:val="Tabletext"/>
              <w:ind w:left="284" w:hanging="284"/>
            </w:pPr>
            <w:r w:rsidRPr="00761C6A">
              <w:t>•</w:t>
            </w:r>
            <w:r w:rsidRPr="00761C6A">
              <w:tab/>
            </w:r>
            <w:r>
              <w:t>Created a</w:t>
            </w:r>
            <w:r w:rsidRPr="00761C6A">
              <w:t xml:space="preserve"> working document on sharing and compatibility studies</w:t>
            </w:r>
          </w:p>
          <w:p w14:paraId="768F101C" w14:textId="77777777" w:rsidR="00304564" w:rsidRPr="00761C6A" w:rsidRDefault="00304564" w:rsidP="00186D08">
            <w:pPr>
              <w:pStyle w:val="Tabletext"/>
              <w:ind w:left="284" w:hanging="284"/>
            </w:pPr>
            <w:r w:rsidRPr="00761C6A">
              <w:t>•</w:t>
            </w:r>
            <w:r w:rsidRPr="00761C6A">
              <w:tab/>
            </w:r>
            <w:r>
              <w:t>Revised</w:t>
            </w:r>
            <w:r w:rsidRPr="00761C6A">
              <w:t xml:space="preserve"> the work plan</w:t>
            </w:r>
          </w:p>
        </w:tc>
      </w:tr>
      <w:tr w:rsidR="00304564" w:rsidRPr="005D0E54" w14:paraId="7929B3AC" w14:textId="77777777" w:rsidTr="00186D08">
        <w:trPr>
          <w:cantSplit/>
          <w:jc w:val="center"/>
        </w:trPr>
        <w:tc>
          <w:tcPr>
            <w:tcW w:w="2809" w:type="dxa"/>
          </w:tcPr>
          <w:p w14:paraId="23AD65D4" w14:textId="77777777" w:rsidR="00304564" w:rsidRPr="00761C6A" w:rsidRDefault="00304564" w:rsidP="00186D08">
            <w:pPr>
              <w:pStyle w:val="Tabletext"/>
            </w:pPr>
            <w:r w:rsidRPr="00761C6A">
              <w:t>5</w:t>
            </w:r>
            <w:r w:rsidRPr="00761C6A">
              <w:rPr>
                <w:vertAlign w:val="superscript"/>
              </w:rPr>
              <w:t>th</w:t>
            </w:r>
            <w:r w:rsidRPr="00761C6A">
              <w:t xml:space="preserve"> meeting of the study cycle</w:t>
            </w:r>
          </w:p>
          <w:p w14:paraId="4E284AAF" w14:textId="77777777" w:rsidR="00304564" w:rsidRPr="00761C6A" w:rsidRDefault="00304564" w:rsidP="00186D08">
            <w:pPr>
              <w:pStyle w:val="Tabletext"/>
            </w:pPr>
            <w:r w:rsidRPr="00761C6A">
              <w:t>(27</w:t>
            </w:r>
            <w:r w:rsidRPr="00761C6A">
              <w:rPr>
                <w:vertAlign w:val="superscript"/>
              </w:rPr>
              <w:t>th</w:t>
            </w:r>
            <w:r w:rsidRPr="00761C6A">
              <w:t xml:space="preserve"> meeting of WP5A)</w:t>
            </w:r>
          </w:p>
          <w:p w14:paraId="7AC5FF27" w14:textId="77777777" w:rsidR="00304564" w:rsidRPr="00761C6A" w:rsidRDefault="00304564" w:rsidP="00186D08">
            <w:pPr>
              <w:pStyle w:val="Tabletext"/>
            </w:pPr>
            <w:r w:rsidRPr="00761C6A">
              <w:t>May 2022</w:t>
            </w:r>
          </w:p>
        </w:tc>
        <w:tc>
          <w:tcPr>
            <w:tcW w:w="6830" w:type="dxa"/>
          </w:tcPr>
          <w:p w14:paraId="18DA645F" w14:textId="77777777" w:rsidR="00304564" w:rsidRDefault="00304564" w:rsidP="005B6781">
            <w:pPr>
              <w:pStyle w:val="Tabletext"/>
              <w:ind w:left="284" w:hanging="284"/>
            </w:pPr>
            <w:r w:rsidRPr="00761C6A">
              <w:t>•</w:t>
            </w:r>
            <w:r w:rsidRPr="00761C6A">
              <w:tab/>
              <w:t>Consider</w:t>
            </w:r>
            <w:r>
              <w:t>ed</w:t>
            </w:r>
            <w:r w:rsidRPr="00761C6A">
              <w:t xml:space="preserve"> input contributions</w:t>
            </w:r>
          </w:p>
          <w:p w14:paraId="0D4944E4" w14:textId="77777777" w:rsidR="00304564" w:rsidRPr="00761C6A" w:rsidRDefault="00304564" w:rsidP="00903C01">
            <w:pPr>
              <w:pStyle w:val="Tabletext"/>
              <w:ind w:left="284" w:hanging="284"/>
            </w:pPr>
            <w:r w:rsidRPr="00761C6A">
              <w:t>•</w:t>
            </w:r>
            <w:r w:rsidRPr="00761C6A">
              <w:tab/>
              <w:t>Finalized draft CPM Text</w:t>
            </w:r>
          </w:p>
          <w:p w14:paraId="4EE49108" w14:textId="77777777" w:rsidR="00304564" w:rsidRPr="00761C6A" w:rsidRDefault="00304564" w:rsidP="00903C01">
            <w:pPr>
              <w:pStyle w:val="Tabletext"/>
              <w:ind w:left="284" w:hanging="284"/>
            </w:pPr>
            <w:r w:rsidRPr="00761C6A">
              <w:t>•</w:t>
            </w:r>
            <w:r w:rsidRPr="00761C6A">
              <w:tab/>
              <w:t>Transmitted draft CPM Text to Chapter Rapporteur</w:t>
            </w:r>
          </w:p>
          <w:p w14:paraId="319CAE35" w14:textId="77777777" w:rsidR="00304564" w:rsidRPr="00761C6A" w:rsidRDefault="00304564" w:rsidP="005B6781">
            <w:pPr>
              <w:pStyle w:val="Tabletext"/>
              <w:ind w:left="284" w:hanging="284"/>
            </w:pPr>
            <w:r w:rsidRPr="00761C6A">
              <w:t>•</w:t>
            </w:r>
            <w:r w:rsidRPr="00761C6A">
              <w:tab/>
            </w:r>
            <w:r>
              <w:t xml:space="preserve">Revised the </w:t>
            </w:r>
            <w:r w:rsidRPr="00761C6A">
              <w:t>working document on sharing and compatibility studies</w:t>
            </w:r>
          </w:p>
          <w:p w14:paraId="62D3F9F9" w14:textId="77777777" w:rsidR="00304564" w:rsidRPr="005D0E54" w:rsidRDefault="00304564" w:rsidP="00903C01">
            <w:pPr>
              <w:pStyle w:val="Tabletext"/>
              <w:ind w:left="284" w:hanging="284"/>
            </w:pPr>
            <w:r w:rsidRPr="00761C6A">
              <w:t>•</w:t>
            </w:r>
            <w:r w:rsidRPr="00761C6A">
              <w:tab/>
              <w:t>Converted the work plan to a report of activities</w:t>
            </w:r>
          </w:p>
        </w:tc>
      </w:tr>
      <w:bookmarkEnd w:id="10"/>
    </w:tbl>
    <w:p w14:paraId="4FDED51B" w14:textId="77777777" w:rsidR="00304564" w:rsidRDefault="00304564" w:rsidP="00A75CD0">
      <w:pPr>
        <w:rPr>
          <w:lang w:eastAsia="zh-CN"/>
        </w:rPr>
      </w:pPr>
    </w:p>
    <w:p w14:paraId="32A23DF5" w14:textId="77777777" w:rsidR="00304564" w:rsidRPr="00B04348" w:rsidRDefault="00304564" w:rsidP="00304564">
      <w:pPr>
        <w:keepNext/>
        <w:spacing w:after="120"/>
        <w:rPr>
          <w:lang w:eastAsia="zh-CN"/>
        </w:rPr>
      </w:pPr>
      <w:r w:rsidRPr="00B04348">
        <w:rPr>
          <w:lang w:eastAsia="zh-CN"/>
        </w:rPr>
        <w:lastRenderedPageBreak/>
        <w:t>Remaining actions at future meetings of WP 5A:</w:t>
      </w:r>
    </w:p>
    <w:tbl>
      <w:tblPr>
        <w:tblStyle w:val="TableGrid"/>
        <w:tblW w:w="0" w:type="auto"/>
        <w:tblLook w:val="04A0" w:firstRow="1" w:lastRow="0" w:firstColumn="1" w:lastColumn="0" w:noHBand="0" w:noVBand="1"/>
      </w:tblPr>
      <w:tblGrid>
        <w:gridCol w:w="2830"/>
        <w:gridCol w:w="6799"/>
      </w:tblGrid>
      <w:tr w:rsidR="00304564" w:rsidRPr="00B04348" w14:paraId="2DE9BCB1" w14:textId="77777777" w:rsidTr="007869A2">
        <w:trPr>
          <w:cantSplit/>
        </w:trPr>
        <w:tc>
          <w:tcPr>
            <w:tcW w:w="2830" w:type="dxa"/>
            <w:tcBorders>
              <w:top w:val="single" w:sz="4" w:space="0" w:color="auto"/>
              <w:left w:val="single" w:sz="4" w:space="0" w:color="auto"/>
              <w:bottom w:val="single" w:sz="4" w:space="0" w:color="auto"/>
              <w:right w:val="single" w:sz="4" w:space="0" w:color="auto"/>
            </w:tcBorders>
            <w:vAlign w:val="center"/>
          </w:tcPr>
          <w:p w14:paraId="152FAEFB" w14:textId="77777777" w:rsidR="00304564" w:rsidRPr="005D0E54" w:rsidRDefault="00304564" w:rsidP="00903C01">
            <w:pPr>
              <w:pStyle w:val="Tabletext"/>
            </w:pPr>
            <w:r w:rsidRPr="005D0E54">
              <w:t>6</w:t>
            </w:r>
            <w:r w:rsidRPr="005D0E54">
              <w:rPr>
                <w:vertAlign w:val="superscript"/>
              </w:rPr>
              <w:t>th</w:t>
            </w:r>
            <w:r w:rsidRPr="005D0E54">
              <w:t xml:space="preserve"> meeting of the study cycle</w:t>
            </w:r>
          </w:p>
          <w:p w14:paraId="615897E4" w14:textId="77777777" w:rsidR="00304564" w:rsidRPr="005D0E54" w:rsidRDefault="00304564" w:rsidP="00903C01">
            <w:pPr>
              <w:pStyle w:val="Tabletext"/>
            </w:pPr>
            <w:r w:rsidRPr="005D0E54">
              <w:t>(28</w:t>
            </w:r>
            <w:r w:rsidRPr="005D0E54">
              <w:rPr>
                <w:vertAlign w:val="superscript"/>
              </w:rPr>
              <w:t>th</w:t>
            </w:r>
            <w:r w:rsidRPr="005D0E54">
              <w:t xml:space="preserve"> meeting of WP5A)</w:t>
            </w:r>
          </w:p>
          <w:p w14:paraId="1EC7F553" w14:textId="77777777" w:rsidR="00304564" w:rsidRPr="00B04348" w:rsidRDefault="00304564" w:rsidP="00761C6A">
            <w:pPr>
              <w:pStyle w:val="Tabletext"/>
            </w:pPr>
            <w:r w:rsidRPr="005D0E54">
              <w:t>November 2022</w:t>
            </w:r>
          </w:p>
        </w:tc>
        <w:tc>
          <w:tcPr>
            <w:tcW w:w="6799" w:type="dxa"/>
            <w:tcBorders>
              <w:top w:val="single" w:sz="4" w:space="0" w:color="auto"/>
              <w:left w:val="single" w:sz="4" w:space="0" w:color="auto"/>
              <w:bottom w:val="single" w:sz="4" w:space="0" w:color="auto"/>
              <w:right w:val="single" w:sz="4" w:space="0" w:color="auto"/>
            </w:tcBorders>
            <w:vAlign w:val="center"/>
          </w:tcPr>
          <w:p w14:paraId="781B2F6A" w14:textId="77777777" w:rsidR="00304564" w:rsidRPr="005D0E54" w:rsidRDefault="00304564" w:rsidP="00903C01">
            <w:pPr>
              <w:pStyle w:val="Tabletext"/>
              <w:ind w:left="284" w:hanging="284"/>
            </w:pPr>
            <w:r w:rsidRPr="005D0E54">
              <w:t>•</w:t>
            </w:r>
            <w:r w:rsidRPr="005D0E54">
              <w:tab/>
              <w:t>Consider input contributions</w:t>
            </w:r>
          </w:p>
          <w:p w14:paraId="45F6F38A" w14:textId="6555887A" w:rsidR="00304564" w:rsidRPr="00B04348" w:rsidRDefault="00304564" w:rsidP="00761C6A">
            <w:pPr>
              <w:pStyle w:val="Tabletext"/>
              <w:ind w:left="284" w:hanging="284"/>
            </w:pPr>
            <w:r w:rsidRPr="005D0E54">
              <w:t>•</w:t>
            </w:r>
            <w:r w:rsidRPr="005D0E54">
              <w:tab/>
            </w:r>
            <w:r w:rsidR="00F83FDF">
              <w:t xml:space="preserve">Continue work on </w:t>
            </w:r>
            <w:r w:rsidRPr="005D0E54">
              <w:t>the working document on sharing and compatibility studies</w:t>
            </w:r>
            <w:r w:rsidR="00F83FDF">
              <w:t xml:space="preserve"> with a view to f</w:t>
            </w:r>
            <w:r w:rsidR="00F83FDF" w:rsidRPr="005D0E54">
              <w:t>inalize</w:t>
            </w:r>
            <w:r w:rsidR="00F83FDF">
              <w:t xml:space="preserve"> it</w:t>
            </w:r>
            <w:r w:rsidRPr="005D0E54">
              <w:t>, if necessary</w:t>
            </w:r>
            <w:r>
              <w:t>, for submission to Study Group 5</w:t>
            </w:r>
          </w:p>
        </w:tc>
      </w:tr>
    </w:tbl>
    <w:p w14:paraId="7AF897AE" w14:textId="77777777" w:rsidR="00304564" w:rsidRPr="005D0E54" w:rsidRDefault="00304564" w:rsidP="00304564">
      <w:pPr>
        <w:pStyle w:val="Tablefin"/>
      </w:pPr>
    </w:p>
    <w:p w14:paraId="2DDFF60F" w14:textId="77777777" w:rsidR="00304564" w:rsidRPr="00B04348" w:rsidRDefault="00304564" w:rsidP="00B50CC9">
      <w:pPr>
        <w:spacing w:line="240" w:lineRule="atLeast"/>
        <w:rPr>
          <w:color w:val="000000"/>
          <w:spacing w:val="-2"/>
        </w:rPr>
      </w:pPr>
      <w:r w:rsidRPr="00B04348">
        <w:rPr>
          <w:color w:val="000000"/>
          <w:spacing w:val="-2"/>
        </w:rPr>
        <w:t>The list of relevant Recommendations and Reports referred to in the draft CPM text and the list of abbreviations and acronyms used in the draft CPM text for WRC-</w:t>
      </w:r>
      <w:r>
        <w:rPr>
          <w:color w:val="000000"/>
          <w:spacing w:val="-2"/>
        </w:rPr>
        <w:t>23</w:t>
      </w:r>
      <w:r w:rsidRPr="00B04348">
        <w:rPr>
          <w:color w:val="000000"/>
          <w:spacing w:val="-2"/>
        </w:rPr>
        <w:t xml:space="preserve"> agenda item 1.</w:t>
      </w:r>
      <w:r>
        <w:rPr>
          <w:color w:val="000000"/>
          <w:spacing w:val="-2"/>
        </w:rPr>
        <w:t>3</w:t>
      </w:r>
      <w:r w:rsidRPr="00B04348">
        <w:rPr>
          <w:color w:val="000000"/>
          <w:spacing w:val="-2"/>
        </w:rPr>
        <w:t xml:space="preserve"> appear in Attachments 1 and 2, respectively.</w:t>
      </w:r>
    </w:p>
    <w:p w14:paraId="03EF5D11" w14:textId="77777777" w:rsidR="00304564" w:rsidRPr="00B04348" w:rsidRDefault="00304564" w:rsidP="00304564">
      <w:pPr>
        <w:pStyle w:val="Normalaftertitle"/>
        <w:spacing w:before="720"/>
        <w:rPr>
          <w:b/>
          <w:bCs/>
          <w:lang w:eastAsia="zh-CN"/>
        </w:rPr>
      </w:pPr>
      <w:r w:rsidRPr="00B04348">
        <w:rPr>
          <w:b/>
          <w:bCs/>
          <w:lang w:eastAsia="zh-CN"/>
        </w:rPr>
        <w:t>Attachments:</w:t>
      </w:r>
    </w:p>
    <w:p w14:paraId="10D210D2" w14:textId="77777777" w:rsidR="00304564" w:rsidRPr="00B04348" w:rsidRDefault="002B1E82" w:rsidP="00B50CC9">
      <w:pPr>
        <w:tabs>
          <w:tab w:val="clear" w:pos="1134"/>
          <w:tab w:val="clear" w:pos="1871"/>
          <w:tab w:val="clear" w:pos="2268"/>
          <w:tab w:val="left" w:pos="1560"/>
        </w:tabs>
        <w:rPr>
          <w:lang w:eastAsia="zh-CN"/>
        </w:rPr>
      </w:pPr>
      <w:hyperlink w:anchor="att1" w:history="1">
        <w:r w:rsidR="00304564" w:rsidRPr="00B04348">
          <w:rPr>
            <w:color w:val="0000FF"/>
            <w:u w:val="single"/>
            <w:lang w:eastAsia="zh-CN"/>
          </w:rPr>
          <w:t>Attachment 1</w:t>
        </w:r>
      </w:hyperlink>
      <w:r w:rsidR="00304564" w:rsidRPr="00B04348">
        <w:rPr>
          <w:lang w:eastAsia="zh-CN"/>
        </w:rPr>
        <w:t>:</w:t>
      </w:r>
      <w:r w:rsidR="00304564" w:rsidRPr="00B04348">
        <w:rPr>
          <w:lang w:eastAsia="zh-CN"/>
        </w:rPr>
        <w:tab/>
        <w:t>List of relevant Recommendations and Reports for agenda item 1.</w:t>
      </w:r>
      <w:r w:rsidR="00304564">
        <w:rPr>
          <w:lang w:eastAsia="zh-CN"/>
        </w:rPr>
        <w:t>3</w:t>
      </w:r>
    </w:p>
    <w:p w14:paraId="65DC123E" w14:textId="77777777" w:rsidR="00304564" w:rsidRPr="00B04348" w:rsidRDefault="002B1E82" w:rsidP="00B50CC9">
      <w:pPr>
        <w:tabs>
          <w:tab w:val="clear" w:pos="1134"/>
          <w:tab w:val="clear" w:pos="1871"/>
          <w:tab w:val="clear" w:pos="2268"/>
          <w:tab w:val="left" w:pos="1560"/>
        </w:tabs>
        <w:rPr>
          <w:lang w:eastAsia="zh-CN"/>
        </w:rPr>
      </w:pPr>
      <w:hyperlink w:anchor="att2" w:history="1">
        <w:r w:rsidR="00304564" w:rsidRPr="00B04348">
          <w:rPr>
            <w:color w:val="0000FF"/>
            <w:u w:val="single"/>
            <w:lang w:eastAsia="zh-CN"/>
          </w:rPr>
          <w:t>Attachment 2</w:t>
        </w:r>
      </w:hyperlink>
      <w:r w:rsidR="00304564" w:rsidRPr="00B04348">
        <w:rPr>
          <w:lang w:eastAsia="zh-CN"/>
        </w:rPr>
        <w:t>:</w:t>
      </w:r>
      <w:r w:rsidR="00304564" w:rsidRPr="00B04348">
        <w:rPr>
          <w:lang w:eastAsia="zh-CN"/>
        </w:rPr>
        <w:tab/>
        <w:t>List of abbreviations and acronyms used in the draft CPM text for agenda item 1.</w:t>
      </w:r>
      <w:r w:rsidR="00304564">
        <w:rPr>
          <w:lang w:eastAsia="zh-CN"/>
        </w:rPr>
        <w:t>3</w:t>
      </w:r>
    </w:p>
    <w:p w14:paraId="46B4B914" w14:textId="77777777" w:rsidR="00304564" w:rsidRPr="005D0E54" w:rsidRDefault="00304564">
      <w:pPr>
        <w:tabs>
          <w:tab w:val="clear" w:pos="1134"/>
          <w:tab w:val="clear" w:pos="1871"/>
          <w:tab w:val="clear" w:pos="2268"/>
        </w:tabs>
        <w:overflowPunct/>
        <w:autoSpaceDE/>
        <w:autoSpaceDN/>
        <w:adjustRightInd/>
        <w:spacing w:before="0"/>
        <w:textAlignment w:val="auto"/>
        <w:rPr>
          <w:lang w:eastAsia="zh-CN"/>
        </w:rPr>
      </w:pPr>
    </w:p>
    <w:p w14:paraId="1E2D04F7" w14:textId="77777777" w:rsidR="00304564" w:rsidRDefault="0030456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0244342" w14:textId="77777777" w:rsidR="00304564" w:rsidRPr="00B04348" w:rsidRDefault="00304564" w:rsidP="00B50CC9">
      <w:pPr>
        <w:pStyle w:val="AnnexNo"/>
        <w:rPr>
          <w:lang w:eastAsia="zh-CN"/>
        </w:rPr>
      </w:pPr>
      <w:bookmarkStart w:id="11" w:name="att1"/>
      <w:r w:rsidRPr="00B04348">
        <w:rPr>
          <w:lang w:eastAsia="zh-CN"/>
        </w:rPr>
        <w:lastRenderedPageBreak/>
        <w:t>Attachment 1</w:t>
      </w:r>
    </w:p>
    <w:bookmarkEnd w:id="11"/>
    <w:p w14:paraId="4A351869" w14:textId="77777777" w:rsidR="00304564" w:rsidRPr="00B04348" w:rsidRDefault="00304564" w:rsidP="00B50CC9">
      <w:pPr>
        <w:pStyle w:val="Annextitle"/>
        <w:rPr>
          <w:lang w:eastAsia="zh-CN"/>
        </w:rPr>
      </w:pPr>
      <w:r w:rsidRPr="00B04348">
        <w:rPr>
          <w:lang w:eastAsia="zh-CN"/>
        </w:rPr>
        <w:t>List of relevant Recommendations and Reports for WRC-19 agenda item 1.</w:t>
      </w:r>
      <w:r>
        <w:rPr>
          <w:lang w:eastAsia="zh-CN"/>
        </w:rPr>
        <w:t>3</w:t>
      </w:r>
    </w:p>
    <w:p w14:paraId="71F66163" w14:textId="77777777" w:rsidR="00304564" w:rsidRPr="006D0D77" w:rsidRDefault="00304564" w:rsidP="00B50CC9">
      <w:pPr>
        <w:pStyle w:val="Headingb"/>
        <w:spacing w:after="120"/>
      </w:pPr>
      <w:r w:rsidRPr="006D0D77">
        <w:t>ITU-R Recommendations: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0"/>
        <w:gridCol w:w="1759"/>
        <w:gridCol w:w="1330"/>
        <w:gridCol w:w="3870"/>
        <w:gridCol w:w="917"/>
        <w:gridCol w:w="993"/>
      </w:tblGrid>
      <w:tr w:rsidR="00304564" w:rsidRPr="00B04348" w14:paraId="48778D25" w14:textId="77777777" w:rsidTr="00304564">
        <w:trPr>
          <w:cantSplit/>
          <w:tblHeader/>
          <w:jc w:val="center"/>
        </w:trPr>
        <w:tc>
          <w:tcPr>
            <w:tcW w:w="770" w:type="dxa"/>
            <w:vAlign w:val="center"/>
          </w:tcPr>
          <w:p w14:paraId="14030CBA"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ITU-R Series</w:t>
            </w:r>
          </w:p>
        </w:tc>
        <w:tc>
          <w:tcPr>
            <w:tcW w:w="1759" w:type="dxa"/>
            <w:vAlign w:val="center"/>
          </w:tcPr>
          <w:p w14:paraId="540BF57D"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Recommendation number</w:t>
            </w:r>
          </w:p>
        </w:tc>
        <w:tc>
          <w:tcPr>
            <w:tcW w:w="1330" w:type="dxa"/>
            <w:vAlign w:val="center"/>
          </w:tcPr>
          <w:p w14:paraId="69D5A5E8"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Latest publication</w:t>
            </w:r>
          </w:p>
        </w:tc>
        <w:tc>
          <w:tcPr>
            <w:tcW w:w="3870" w:type="dxa"/>
            <w:vAlign w:val="center"/>
          </w:tcPr>
          <w:p w14:paraId="444AABE5" w14:textId="77777777" w:rsidR="00304564" w:rsidRPr="00B04348" w:rsidRDefault="00304564" w:rsidP="00C7436E">
            <w:pPr>
              <w:keepNext/>
              <w:spacing w:before="80" w:after="80"/>
              <w:jc w:val="center"/>
              <w:rPr>
                <w:rFonts w:eastAsia="SimSun"/>
                <w:b/>
                <w:sz w:val="20"/>
                <w:lang w:eastAsia="zh-CN"/>
              </w:rPr>
            </w:pPr>
            <w:r w:rsidRPr="00B04348">
              <w:rPr>
                <w:rFonts w:eastAsia="SimSun"/>
                <w:b/>
                <w:sz w:val="20"/>
                <w:lang w:eastAsia="zh-CN"/>
              </w:rPr>
              <w:t>Recommendation title</w:t>
            </w:r>
          </w:p>
        </w:tc>
        <w:tc>
          <w:tcPr>
            <w:tcW w:w="917" w:type="dxa"/>
            <w:vAlign w:val="center"/>
          </w:tcPr>
          <w:p w14:paraId="7FB13845" w14:textId="77777777" w:rsidR="00304564" w:rsidRPr="00B04348" w:rsidRDefault="00304564" w:rsidP="00C7436E">
            <w:pPr>
              <w:keepNext/>
              <w:spacing w:before="80" w:after="80"/>
              <w:jc w:val="center"/>
              <w:rPr>
                <w:rFonts w:eastAsia="SimSun"/>
                <w:b/>
                <w:sz w:val="20"/>
                <w:lang w:eastAsia="zh-CN"/>
              </w:rPr>
            </w:pPr>
            <w:r w:rsidRPr="00B04348">
              <w:rPr>
                <w:rFonts w:eastAsia="SimSun"/>
                <w:b/>
                <w:sz w:val="20"/>
                <w:lang w:eastAsia="zh-CN"/>
              </w:rPr>
              <w:t>Agenda item</w:t>
            </w:r>
          </w:p>
        </w:tc>
        <w:tc>
          <w:tcPr>
            <w:tcW w:w="993" w:type="dxa"/>
            <w:vAlign w:val="center"/>
          </w:tcPr>
          <w:p w14:paraId="4CC8A53A" w14:textId="77777777" w:rsidR="00304564" w:rsidRPr="00B04348" w:rsidRDefault="00304564" w:rsidP="00C7436E">
            <w:pPr>
              <w:keepNext/>
              <w:spacing w:before="80" w:after="80"/>
              <w:jc w:val="center"/>
              <w:rPr>
                <w:rFonts w:eastAsia="SimSun"/>
                <w:b/>
                <w:sz w:val="20"/>
                <w:lang w:eastAsia="zh-CN"/>
              </w:rPr>
            </w:pPr>
            <w:r w:rsidRPr="00B04348">
              <w:rPr>
                <w:rFonts w:eastAsia="SimSun"/>
                <w:b/>
                <w:sz w:val="20"/>
                <w:lang w:eastAsia="zh-CN"/>
              </w:rPr>
              <w:t>CPM</w:t>
            </w:r>
            <w:r w:rsidRPr="00B04348">
              <w:rPr>
                <w:rFonts w:eastAsia="SimSun"/>
                <w:b/>
                <w:sz w:val="20"/>
                <w:lang w:eastAsia="zh-CN"/>
              </w:rPr>
              <w:br/>
              <w:t>Chapter</w:t>
            </w:r>
          </w:p>
        </w:tc>
      </w:tr>
      <w:tr w:rsidR="00304564" w:rsidRPr="003566FF" w14:paraId="608F9AD5" w14:textId="77777777" w:rsidTr="00304564">
        <w:trPr>
          <w:cantSplit/>
          <w:tblHeader/>
          <w:jc w:val="center"/>
        </w:trPr>
        <w:tc>
          <w:tcPr>
            <w:tcW w:w="770" w:type="dxa"/>
            <w:vAlign w:val="center"/>
          </w:tcPr>
          <w:p w14:paraId="2D6E8D93" w14:textId="77777777" w:rsidR="00304564" w:rsidRPr="003566FF"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566FF">
              <w:rPr>
                <w:sz w:val="20"/>
              </w:rPr>
              <w:t>F</w:t>
            </w:r>
          </w:p>
        </w:tc>
        <w:tc>
          <w:tcPr>
            <w:tcW w:w="1759" w:type="dxa"/>
            <w:vAlign w:val="center"/>
          </w:tcPr>
          <w:p w14:paraId="0539FEAC" w14:textId="77777777" w:rsidR="00304564" w:rsidRPr="003566FF"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1336</w:t>
            </w:r>
          </w:p>
        </w:tc>
        <w:tc>
          <w:tcPr>
            <w:tcW w:w="1330" w:type="dxa"/>
            <w:vAlign w:val="center"/>
          </w:tcPr>
          <w:p w14:paraId="1CEBBDCA" w14:textId="77777777" w:rsidR="00304564" w:rsidRPr="003566FF"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01/2019</w:t>
            </w:r>
          </w:p>
        </w:tc>
        <w:tc>
          <w:tcPr>
            <w:tcW w:w="3870" w:type="dxa"/>
            <w:vAlign w:val="center"/>
          </w:tcPr>
          <w:p w14:paraId="1ADCB5CB" w14:textId="77777777" w:rsidR="00304564" w:rsidRPr="003566FF"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66FF">
              <w:rPr>
                <w:sz w:val="20"/>
              </w:rPr>
              <w:t>Reference radiation patterns of omnidirectional, sectoral and other antennas for the fixed and mobile service for use in sharing studies in the frequency range from 400 MHz to about 70 GHz</w:t>
            </w:r>
          </w:p>
        </w:tc>
        <w:tc>
          <w:tcPr>
            <w:tcW w:w="917" w:type="dxa"/>
            <w:vAlign w:val="center"/>
          </w:tcPr>
          <w:p w14:paraId="2036E432" w14:textId="77777777" w:rsidR="00304564" w:rsidRPr="003566FF"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lang w:eastAsia="zh-CN"/>
              </w:rPr>
              <w:t>1.3</w:t>
            </w:r>
          </w:p>
        </w:tc>
        <w:tc>
          <w:tcPr>
            <w:tcW w:w="993" w:type="dxa"/>
            <w:vAlign w:val="center"/>
          </w:tcPr>
          <w:p w14:paraId="74DD1586" w14:textId="77777777" w:rsidR="00304564" w:rsidRPr="003566FF"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lang w:eastAsia="zh-CN"/>
              </w:rPr>
              <w:t>1</w:t>
            </w:r>
          </w:p>
        </w:tc>
      </w:tr>
      <w:tr w:rsidR="00304564" w:rsidRPr="003566FF" w14:paraId="5825A4F2" w14:textId="77777777" w:rsidTr="00304564">
        <w:trPr>
          <w:cantSplit/>
          <w:tblHeader/>
          <w:jc w:val="center"/>
        </w:trPr>
        <w:tc>
          <w:tcPr>
            <w:tcW w:w="770" w:type="dxa"/>
            <w:vAlign w:val="center"/>
          </w:tcPr>
          <w:p w14:paraId="0033BF9D" w14:textId="77777777" w:rsidR="00304564" w:rsidRPr="003566FF"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w:t>
            </w:r>
          </w:p>
        </w:tc>
        <w:tc>
          <w:tcPr>
            <w:tcW w:w="1759" w:type="dxa"/>
            <w:vAlign w:val="center"/>
          </w:tcPr>
          <w:p w14:paraId="5C4AA288"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2150</w:t>
            </w:r>
          </w:p>
        </w:tc>
        <w:tc>
          <w:tcPr>
            <w:tcW w:w="1330" w:type="dxa"/>
            <w:vAlign w:val="center"/>
          </w:tcPr>
          <w:p w14:paraId="364A1399" w14:textId="77777777" w:rsidR="00304564" w:rsidRPr="003566FF"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02/2022</w:t>
            </w:r>
          </w:p>
        </w:tc>
        <w:tc>
          <w:tcPr>
            <w:tcW w:w="3870" w:type="dxa"/>
            <w:vAlign w:val="center"/>
          </w:tcPr>
          <w:p w14:paraId="52DEB4CA" w14:textId="77777777" w:rsidR="00304564" w:rsidRPr="003566FF"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66FF">
              <w:rPr>
                <w:sz w:val="20"/>
              </w:rPr>
              <w:t>Detailed specifications of the terrestrial radio interfaces of International Mobile Telecommunications-2020 (IMT-2020)</w:t>
            </w:r>
          </w:p>
        </w:tc>
        <w:tc>
          <w:tcPr>
            <w:tcW w:w="917" w:type="dxa"/>
            <w:vAlign w:val="center"/>
          </w:tcPr>
          <w:p w14:paraId="44CA8BEA" w14:textId="77777777" w:rsidR="00304564" w:rsidRPr="003566FF"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lang w:eastAsia="zh-CN"/>
              </w:rPr>
              <w:t>1.3</w:t>
            </w:r>
          </w:p>
        </w:tc>
        <w:tc>
          <w:tcPr>
            <w:tcW w:w="993" w:type="dxa"/>
            <w:vAlign w:val="center"/>
          </w:tcPr>
          <w:p w14:paraId="29666461" w14:textId="77777777" w:rsidR="00304564" w:rsidRPr="003566FF"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lang w:eastAsia="zh-CN"/>
              </w:rPr>
              <w:t>1</w:t>
            </w:r>
          </w:p>
        </w:tc>
      </w:tr>
      <w:tr w:rsidR="00304564" w:rsidRPr="00B04348" w14:paraId="01B5E6A9" w14:textId="77777777" w:rsidTr="00304564">
        <w:trPr>
          <w:cantSplit/>
          <w:jc w:val="center"/>
        </w:trPr>
        <w:tc>
          <w:tcPr>
            <w:tcW w:w="770" w:type="dxa"/>
            <w:vAlign w:val="center"/>
          </w:tcPr>
          <w:p w14:paraId="3735AB3C"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P</w:t>
            </w:r>
          </w:p>
        </w:tc>
        <w:tc>
          <w:tcPr>
            <w:tcW w:w="1759" w:type="dxa"/>
            <w:vAlign w:val="center"/>
          </w:tcPr>
          <w:p w14:paraId="20F6F60A"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452</w:t>
            </w:r>
          </w:p>
        </w:tc>
        <w:tc>
          <w:tcPr>
            <w:tcW w:w="1330" w:type="dxa"/>
            <w:vAlign w:val="center"/>
          </w:tcPr>
          <w:p w14:paraId="3D499DEC"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09/2021</w:t>
            </w:r>
          </w:p>
        </w:tc>
        <w:tc>
          <w:tcPr>
            <w:tcW w:w="3870" w:type="dxa"/>
          </w:tcPr>
          <w:p w14:paraId="4C3C3ABB" w14:textId="2C7654AB"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DB2993">
              <w:rPr>
                <w:rFonts w:eastAsia="SimSun"/>
                <w:color w:val="000000"/>
                <w:sz w:val="20"/>
              </w:rPr>
              <w:t>Prediction procedure for the evaluation of interference between stations on the surface of the Earth at frequencies above about 0.1</w:t>
            </w:r>
            <w:r>
              <w:rPr>
                <w:rFonts w:eastAsia="SimSun"/>
                <w:color w:val="000000"/>
                <w:sz w:val="20"/>
              </w:rPr>
              <w:t> </w:t>
            </w:r>
            <w:r w:rsidRPr="00DB2993">
              <w:rPr>
                <w:rFonts w:eastAsia="SimSun"/>
                <w:color w:val="000000"/>
                <w:sz w:val="20"/>
              </w:rPr>
              <w:t>GHz</w:t>
            </w:r>
          </w:p>
        </w:tc>
        <w:tc>
          <w:tcPr>
            <w:tcW w:w="917" w:type="dxa"/>
            <w:vAlign w:val="center"/>
          </w:tcPr>
          <w:p w14:paraId="3DA5E329"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993" w:type="dxa"/>
            <w:vAlign w:val="center"/>
          </w:tcPr>
          <w:p w14:paraId="200883D3"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402A77EF" w14:textId="77777777" w:rsidTr="00304564">
        <w:trPr>
          <w:cantSplit/>
          <w:jc w:val="center"/>
        </w:trPr>
        <w:tc>
          <w:tcPr>
            <w:tcW w:w="770" w:type="dxa"/>
            <w:vAlign w:val="center"/>
          </w:tcPr>
          <w:p w14:paraId="3A5E8CEE"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P</w:t>
            </w:r>
          </w:p>
        </w:tc>
        <w:tc>
          <w:tcPr>
            <w:tcW w:w="1759" w:type="dxa"/>
            <w:vAlign w:val="center"/>
          </w:tcPr>
          <w:p w14:paraId="58514E65"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1238</w:t>
            </w:r>
          </w:p>
        </w:tc>
        <w:tc>
          <w:tcPr>
            <w:tcW w:w="1330" w:type="dxa"/>
            <w:vAlign w:val="center"/>
          </w:tcPr>
          <w:p w14:paraId="4239518E"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09/2021</w:t>
            </w:r>
          </w:p>
        </w:tc>
        <w:tc>
          <w:tcPr>
            <w:tcW w:w="3870" w:type="dxa"/>
          </w:tcPr>
          <w:p w14:paraId="2BFA9EC3" w14:textId="77777777" w:rsidR="00304564" w:rsidRPr="00DB2993"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3566FF">
              <w:rPr>
                <w:rFonts w:eastAsia="SimSun"/>
                <w:color w:val="000000"/>
                <w:sz w:val="20"/>
              </w:rPr>
              <w:t>Propagation data and prediction methods for the planning of indoor radiocommunication systems and radio local area networks in the frequency range 300 MHz to 450 GHz</w:t>
            </w:r>
          </w:p>
        </w:tc>
        <w:tc>
          <w:tcPr>
            <w:tcW w:w="917" w:type="dxa"/>
            <w:vAlign w:val="center"/>
          </w:tcPr>
          <w:p w14:paraId="48A96114" w14:textId="77777777" w:rsidR="00304564"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993" w:type="dxa"/>
            <w:vAlign w:val="center"/>
          </w:tcPr>
          <w:p w14:paraId="24FE059F" w14:textId="77777777" w:rsidR="00304564"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190AF7E3" w14:textId="77777777" w:rsidTr="00304564">
        <w:trPr>
          <w:cantSplit/>
          <w:jc w:val="center"/>
        </w:trPr>
        <w:tc>
          <w:tcPr>
            <w:tcW w:w="770" w:type="dxa"/>
            <w:vAlign w:val="center"/>
          </w:tcPr>
          <w:p w14:paraId="3847D721"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P</w:t>
            </w:r>
          </w:p>
        </w:tc>
        <w:tc>
          <w:tcPr>
            <w:tcW w:w="1759" w:type="dxa"/>
            <w:vAlign w:val="center"/>
          </w:tcPr>
          <w:p w14:paraId="3714D585"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2001</w:t>
            </w:r>
          </w:p>
        </w:tc>
        <w:tc>
          <w:tcPr>
            <w:tcW w:w="1330" w:type="dxa"/>
            <w:vAlign w:val="center"/>
          </w:tcPr>
          <w:p w14:paraId="35502290"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09/2021</w:t>
            </w:r>
          </w:p>
        </w:tc>
        <w:tc>
          <w:tcPr>
            <w:tcW w:w="3870" w:type="dxa"/>
          </w:tcPr>
          <w:p w14:paraId="5E4AC095" w14:textId="40EF191E" w:rsidR="00304564" w:rsidRPr="00DB2993"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3566FF">
              <w:rPr>
                <w:rFonts w:eastAsia="SimSun"/>
                <w:color w:val="000000"/>
                <w:sz w:val="20"/>
              </w:rPr>
              <w:t>A general purpose wide-range terrestrial propagation model in the frequency range 30</w:t>
            </w:r>
            <w:r>
              <w:rPr>
                <w:rFonts w:eastAsia="SimSun"/>
                <w:color w:val="000000"/>
                <w:sz w:val="20"/>
              </w:rPr>
              <w:t> </w:t>
            </w:r>
            <w:r w:rsidRPr="003566FF">
              <w:rPr>
                <w:rFonts w:eastAsia="SimSun"/>
                <w:color w:val="000000"/>
                <w:sz w:val="20"/>
              </w:rPr>
              <w:t>MHz to 50 GHz</w:t>
            </w:r>
          </w:p>
        </w:tc>
        <w:tc>
          <w:tcPr>
            <w:tcW w:w="917" w:type="dxa"/>
            <w:vAlign w:val="center"/>
          </w:tcPr>
          <w:p w14:paraId="74CAFEE6" w14:textId="77777777" w:rsidR="00304564"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993" w:type="dxa"/>
            <w:vAlign w:val="center"/>
          </w:tcPr>
          <w:p w14:paraId="2AA1B78A" w14:textId="77777777" w:rsidR="00304564"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46324A36" w14:textId="77777777" w:rsidTr="00304564">
        <w:trPr>
          <w:cantSplit/>
          <w:jc w:val="center"/>
        </w:trPr>
        <w:tc>
          <w:tcPr>
            <w:tcW w:w="770" w:type="dxa"/>
            <w:vAlign w:val="center"/>
          </w:tcPr>
          <w:p w14:paraId="54D46F45"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P</w:t>
            </w:r>
          </w:p>
        </w:tc>
        <w:tc>
          <w:tcPr>
            <w:tcW w:w="1759" w:type="dxa"/>
            <w:vAlign w:val="center"/>
          </w:tcPr>
          <w:p w14:paraId="74BD7F8F"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2040</w:t>
            </w:r>
          </w:p>
        </w:tc>
        <w:tc>
          <w:tcPr>
            <w:tcW w:w="1330" w:type="dxa"/>
            <w:vAlign w:val="center"/>
          </w:tcPr>
          <w:p w14:paraId="24D37475"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09/2021</w:t>
            </w:r>
          </w:p>
        </w:tc>
        <w:tc>
          <w:tcPr>
            <w:tcW w:w="3870" w:type="dxa"/>
          </w:tcPr>
          <w:p w14:paraId="5F27685F" w14:textId="2F761DD7" w:rsidR="00304564" w:rsidRPr="00DB2993"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3566FF">
              <w:rPr>
                <w:rFonts w:eastAsia="SimSun"/>
                <w:color w:val="000000"/>
                <w:sz w:val="20"/>
              </w:rPr>
              <w:t>Effects of building materials and structures on radiowave propagation above about 100</w:t>
            </w:r>
            <w:r>
              <w:rPr>
                <w:rFonts w:eastAsia="SimSun"/>
                <w:color w:val="000000"/>
                <w:sz w:val="20"/>
              </w:rPr>
              <w:t> </w:t>
            </w:r>
            <w:r w:rsidRPr="003566FF">
              <w:rPr>
                <w:rFonts w:eastAsia="SimSun"/>
                <w:color w:val="000000"/>
                <w:sz w:val="20"/>
              </w:rPr>
              <w:t>MHz</w:t>
            </w:r>
          </w:p>
        </w:tc>
        <w:tc>
          <w:tcPr>
            <w:tcW w:w="917" w:type="dxa"/>
            <w:vAlign w:val="center"/>
          </w:tcPr>
          <w:p w14:paraId="05DBE360" w14:textId="77777777" w:rsidR="00304564"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993" w:type="dxa"/>
            <w:vAlign w:val="center"/>
          </w:tcPr>
          <w:p w14:paraId="5FAE8BB3" w14:textId="77777777" w:rsidR="00304564"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5463DA79" w14:textId="77777777" w:rsidTr="00304564">
        <w:trPr>
          <w:cantSplit/>
          <w:jc w:val="center"/>
        </w:trPr>
        <w:tc>
          <w:tcPr>
            <w:tcW w:w="770" w:type="dxa"/>
            <w:vAlign w:val="center"/>
          </w:tcPr>
          <w:p w14:paraId="1255E0F2"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P</w:t>
            </w:r>
          </w:p>
        </w:tc>
        <w:tc>
          <w:tcPr>
            <w:tcW w:w="1759" w:type="dxa"/>
            <w:vAlign w:val="center"/>
          </w:tcPr>
          <w:p w14:paraId="03A369E7"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2108</w:t>
            </w:r>
          </w:p>
        </w:tc>
        <w:tc>
          <w:tcPr>
            <w:tcW w:w="1330" w:type="dxa"/>
            <w:vAlign w:val="center"/>
          </w:tcPr>
          <w:p w14:paraId="2F22690F"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09/2021</w:t>
            </w:r>
          </w:p>
        </w:tc>
        <w:tc>
          <w:tcPr>
            <w:tcW w:w="3870" w:type="dxa"/>
          </w:tcPr>
          <w:p w14:paraId="56252962"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DB2993">
              <w:rPr>
                <w:rFonts w:eastAsia="SimSun"/>
                <w:color w:val="000000"/>
                <w:sz w:val="20"/>
              </w:rPr>
              <w:t>Prediction of clutter loss</w:t>
            </w:r>
          </w:p>
        </w:tc>
        <w:tc>
          <w:tcPr>
            <w:tcW w:w="917" w:type="dxa"/>
            <w:vAlign w:val="center"/>
          </w:tcPr>
          <w:p w14:paraId="6AB172A2"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993" w:type="dxa"/>
            <w:vAlign w:val="center"/>
          </w:tcPr>
          <w:p w14:paraId="3487AF7B"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3504147A" w14:textId="77777777" w:rsidTr="00304564">
        <w:trPr>
          <w:cantSplit/>
          <w:jc w:val="center"/>
        </w:trPr>
        <w:tc>
          <w:tcPr>
            <w:tcW w:w="770" w:type="dxa"/>
            <w:vAlign w:val="center"/>
          </w:tcPr>
          <w:p w14:paraId="15C1372A"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759" w:type="dxa"/>
            <w:vAlign w:val="center"/>
          </w:tcPr>
          <w:p w14:paraId="306E0C9E"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330" w:type="dxa"/>
            <w:vAlign w:val="center"/>
          </w:tcPr>
          <w:p w14:paraId="08E6D262"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p>
        </w:tc>
        <w:tc>
          <w:tcPr>
            <w:tcW w:w="3870" w:type="dxa"/>
          </w:tcPr>
          <w:p w14:paraId="1A21A9EF"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p>
        </w:tc>
        <w:tc>
          <w:tcPr>
            <w:tcW w:w="917" w:type="dxa"/>
            <w:vAlign w:val="center"/>
          </w:tcPr>
          <w:p w14:paraId="1880EF5F"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p>
        </w:tc>
        <w:tc>
          <w:tcPr>
            <w:tcW w:w="993" w:type="dxa"/>
            <w:vAlign w:val="center"/>
          </w:tcPr>
          <w:p w14:paraId="256BD62C" w14:textId="77777777" w:rsidR="00304564" w:rsidRPr="00B04348" w:rsidRDefault="00304564" w:rsidP="003566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p>
        </w:tc>
      </w:tr>
    </w:tbl>
    <w:p w14:paraId="78925286" w14:textId="11099D76" w:rsidR="00304564" w:rsidRDefault="00304564" w:rsidP="00A75CD0">
      <w:pPr>
        <w:jc w:val="center"/>
        <w:rPr>
          <w:lang w:eastAsia="zh-CN"/>
        </w:rPr>
      </w:pPr>
    </w:p>
    <w:p w14:paraId="38EA8472" w14:textId="17E7D552" w:rsidR="00304564" w:rsidRDefault="00304564">
      <w:pPr>
        <w:tabs>
          <w:tab w:val="clear" w:pos="1134"/>
          <w:tab w:val="clear" w:pos="1871"/>
          <w:tab w:val="clear" w:pos="2268"/>
        </w:tabs>
        <w:overflowPunct/>
        <w:autoSpaceDE/>
        <w:autoSpaceDN/>
        <w:adjustRightInd/>
        <w:spacing w:before="0"/>
        <w:textAlignment w:val="auto"/>
        <w:rPr>
          <w:lang w:eastAsia="zh-CN"/>
        </w:rPr>
      </w:pPr>
    </w:p>
    <w:p w14:paraId="44627AB0" w14:textId="33EF5E57" w:rsidR="00304564" w:rsidRDefault="0030456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074E674" w14:textId="77777777" w:rsidR="00304564" w:rsidRPr="00B04348" w:rsidRDefault="00304564" w:rsidP="00903C01">
      <w:pPr>
        <w:pStyle w:val="Headingb"/>
        <w:spacing w:after="120"/>
      </w:pPr>
      <w:r w:rsidRPr="00B04348">
        <w:lastRenderedPageBreak/>
        <w:t>ITU-R Reports: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7"/>
        <w:gridCol w:w="1670"/>
        <w:gridCol w:w="1984"/>
        <w:gridCol w:w="3168"/>
        <w:gridCol w:w="914"/>
        <w:gridCol w:w="1026"/>
      </w:tblGrid>
      <w:tr w:rsidR="00304564" w:rsidRPr="00B04348" w14:paraId="547D6D2D" w14:textId="77777777" w:rsidTr="00304564">
        <w:trPr>
          <w:cantSplit/>
          <w:tblHeader/>
          <w:jc w:val="center"/>
        </w:trPr>
        <w:tc>
          <w:tcPr>
            <w:tcW w:w="877" w:type="dxa"/>
            <w:vAlign w:val="center"/>
          </w:tcPr>
          <w:p w14:paraId="3FB9A8B6"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ITU-R Series</w:t>
            </w:r>
          </w:p>
        </w:tc>
        <w:tc>
          <w:tcPr>
            <w:tcW w:w="1670" w:type="dxa"/>
            <w:vAlign w:val="center"/>
          </w:tcPr>
          <w:p w14:paraId="508A2D47"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Report number</w:t>
            </w:r>
          </w:p>
        </w:tc>
        <w:tc>
          <w:tcPr>
            <w:tcW w:w="1984" w:type="dxa"/>
            <w:vAlign w:val="center"/>
          </w:tcPr>
          <w:p w14:paraId="5FF7CA7E"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Latest publication</w:t>
            </w:r>
          </w:p>
        </w:tc>
        <w:tc>
          <w:tcPr>
            <w:tcW w:w="3168" w:type="dxa"/>
            <w:vAlign w:val="center"/>
          </w:tcPr>
          <w:p w14:paraId="40202B79" w14:textId="77777777" w:rsidR="00304564" w:rsidRPr="00B04348" w:rsidRDefault="00304564" w:rsidP="00304564">
            <w:pPr>
              <w:keepNext/>
              <w:spacing w:before="80" w:after="80"/>
              <w:rPr>
                <w:rFonts w:eastAsia="SimSun"/>
                <w:b/>
                <w:sz w:val="20"/>
                <w:lang w:eastAsia="zh-CN"/>
              </w:rPr>
            </w:pPr>
            <w:r w:rsidRPr="00B04348">
              <w:rPr>
                <w:rFonts w:eastAsia="SimSun"/>
                <w:b/>
                <w:sz w:val="20"/>
                <w:lang w:eastAsia="zh-CN"/>
              </w:rPr>
              <w:t>Report title</w:t>
            </w:r>
          </w:p>
        </w:tc>
        <w:tc>
          <w:tcPr>
            <w:tcW w:w="914" w:type="dxa"/>
            <w:vAlign w:val="center"/>
          </w:tcPr>
          <w:p w14:paraId="2D30A9C8"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Agenda item</w:t>
            </w:r>
          </w:p>
        </w:tc>
        <w:tc>
          <w:tcPr>
            <w:tcW w:w="1026" w:type="dxa"/>
            <w:vAlign w:val="center"/>
          </w:tcPr>
          <w:p w14:paraId="3EEE3BEB" w14:textId="77777777" w:rsidR="00304564" w:rsidRPr="00B04348" w:rsidRDefault="00304564" w:rsidP="00304564">
            <w:pPr>
              <w:keepNext/>
              <w:spacing w:before="80" w:after="80"/>
              <w:jc w:val="center"/>
              <w:rPr>
                <w:rFonts w:eastAsia="SimSun"/>
                <w:b/>
                <w:sz w:val="20"/>
                <w:lang w:eastAsia="zh-CN"/>
              </w:rPr>
            </w:pPr>
            <w:r w:rsidRPr="00B04348">
              <w:rPr>
                <w:rFonts w:eastAsia="SimSun"/>
                <w:b/>
                <w:sz w:val="20"/>
                <w:lang w:eastAsia="zh-CN"/>
              </w:rPr>
              <w:t>CPM</w:t>
            </w:r>
            <w:r w:rsidRPr="00B04348">
              <w:rPr>
                <w:rFonts w:eastAsia="SimSun"/>
                <w:b/>
                <w:sz w:val="20"/>
                <w:lang w:eastAsia="zh-CN"/>
              </w:rPr>
              <w:br/>
              <w:t>Chapter</w:t>
            </w:r>
          </w:p>
        </w:tc>
      </w:tr>
      <w:tr w:rsidR="00304564" w:rsidRPr="00B04348" w14:paraId="2D6C7485" w14:textId="77777777" w:rsidTr="00304564">
        <w:trPr>
          <w:cantSplit/>
          <w:jc w:val="center"/>
        </w:trPr>
        <w:tc>
          <w:tcPr>
            <w:tcW w:w="877" w:type="dxa"/>
            <w:vAlign w:val="center"/>
          </w:tcPr>
          <w:p w14:paraId="6AD24A23"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F</w:t>
            </w:r>
          </w:p>
        </w:tc>
        <w:tc>
          <w:tcPr>
            <w:tcW w:w="1670" w:type="dxa"/>
            <w:vAlign w:val="center"/>
          </w:tcPr>
          <w:p w14:paraId="2073050C"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rFonts w:eastAsia="SimSun"/>
                <w:color w:val="000000"/>
                <w:sz w:val="20"/>
              </w:rPr>
              <w:t>2328</w:t>
            </w:r>
          </w:p>
        </w:tc>
        <w:tc>
          <w:tcPr>
            <w:tcW w:w="1984" w:type="dxa"/>
            <w:vAlign w:val="center"/>
          </w:tcPr>
          <w:p w14:paraId="77955939"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11/2014</w:t>
            </w:r>
          </w:p>
        </w:tc>
        <w:tc>
          <w:tcPr>
            <w:tcW w:w="3168" w:type="dxa"/>
          </w:tcPr>
          <w:p w14:paraId="378CE4EE" w14:textId="158DE7E0"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3566FF">
              <w:rPr>
                <w:rFonts w:eastAsia="SimSun"/>
                <w:color w:val="000000"/>
                <w:sz w:val="20"/>
              </w:rPr>
              <w:t>Sharing and compatibility between international mobile telecommunication systems and fixed service systems in the 3 400-4</w:t>
            </w:r>
            <w:r>
              <w:rPr>
                <w:rFonts w:eastAsia="SimSun"/>
                <w:color w:val="000000"/>
                <w:sz w:val="20"/>
              </w:rPr>
              <w:t> </w:t>
            </w:r>
            <w:r w:rsidRPr="003566FF">
              <w:rPr>
                <w:rFonts w:eastAsia="SimSun"/>
                <w:color w:val="000000"/>
                <w:sz w:val="20"/>
              </w:rPr>
              <w:t>200 MHz frequency range</w:t>
            </w:r>
          </w:p>
        </w:tc>
        <w:tc>
          <w:tcPr>
            <w:tcW w:w="914" w:type="dxa"/>
            <w:vAlign w:val="center"/>
          </w:tcPr>
          <w:p w14:paraId="333756CD"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6D09D63B"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6489F0EB" w14:textId="77777777" w:rsidTr="00304564">
        <w:trPr>
          <w:cantSplit/>
          <w:jc w:val="center"/>
        </w:trPr>
        <w:tc>
          <w:tcPr>
            <w:tcW w:w="877" w:type="dxa"/>
            <w:vAlign w:val="center"/>
          </w:tcPr>
          <w:p w14:paraId="34BED920"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w:t>
            </w:r>
          </w:p>
        </w:tc>
        <w:tc>
          <w:tcPr>
            <w:tcW w:w="1670" w:type="dxa"/>
            <w:vAlign w:val="center"/>
          </w:tcPr>
          <w:p w14:paraId="189C6D0E"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rFonts w:eastAsia="SimSun"/>
                <w:color w:val="000000"/>
                <w:sz w:val="20"/>
              </w:rPr>
              <w:t>2109</w:t>
            </w:r>
          </w:p>
        </w:tc>
        <w:tc>
          <w:tcPr>
            <w:tcW w:w="1984" w:type="dxa"/>
            <w:vAlign w:val="center"/>
          </w:tcPr>
          <w:p w14:paraId="4410700D"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10/2007</w:t>
            </w:r>
          </w:p>
        </w:tc>
        <w:tc>
          <w:tcPr>
            <w:tcW w:w="3168" w:type="dxa"/>
          </w:tcPr>
          <w:p w14:paraId="45A784E1"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DB2993">
              <w:rPr>
                <w:rFonts w:eastAsia="SimSun"/>
                <w:color w:val="000000"/>
                <w:sz w:val="20"/>
              </w:rPr>
              <w:t>Sharing studies between IMT Advanced systems and geostationary satellite networks in the fixed-satellite service in the 3 400-4 200 and 4 500-4 800 MHz frequency bands</w:t>
            </w:r>
          </w:p>
        </w:tc>
        <w:tc>
          <w:tcPr>
            <w:tcW w:w="914" w:type="dxa"/>
            <w:vAlign w:val="center"/>
          </w:tcPr>
          <w:p w14:paraId="46A183A1"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3D4393CD"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4E55A995" w14:textId="77777777" w:rsidTr="00304564">
        <w:trPr>
          <w:cantSplit/>
          <w:jc w:val="center"/>
        </w:trPr>
        <w:tc>
          <w:tcPr>
            <w:tcW w:w="877" w:type="dxa"/>
            <w:vAlign w:val="center"/>
          </w:tcPr>
          <w:p w14:paraId="1AEC5239"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w:t>
            </w:r>
          </w:p>
        </w:tc>
        <w:tc>
          <w:tcPr>
            <w:tcW w:w="1670" w:type="dxa"/>
            <w:vAlign w:val="center"/>
          </w:tcPr>
          <w:p w14:paraId="771B08EE"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rFonts w:eastAsia="SimSun"/>
                <w:color w:val="000000"/>
                <w:sz w:val="20"/>
              </w:rPr>
              <w:t>2111</w:t>
            </w:r>
          </w:p>
        </w:tc>
        <w:tc>
          <w:tcPr>
            <w:tcW w:w="1984" w:type="dxa"/>
            <w:vAlign w:val="center"/>
          </w:tcPr>
          <w:p w14:paraId="63328373"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10/2007</w:t>
            </w:r>
          </w:p>
        </w:tc>
        <w:tc>
          <w:tcPr>
            <w:tcW w:w="3168" w:type="dxa"/>
          </w:tcPr>
          <w:p w14:paraId="23E9CFAF" w14:textId="77777777" w:rsidR="00304564" w:rsidRPr="00DB2993"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3566FF">
              <w:rPr>
                <w:rFonts w:eastAsia="SimSun"/>
                <w:color w:val="000000"/>
                <w:sz w:val="20"/>
              </w:rPr>
              <w:t>Sharing studies between IMT-Advanced and the radiolocation service in the 3 400-3 700 MHz bands</w:t>
            </w:r>
          </w:p>
        </w:tc>
        <w:tc>
          <w:tcPr>
            <w:tcW w:w="914" w:type="dxa"/>
            <w:vAlign w:val="center"/>
          </w:tcPr>
          <w:p w14:paraId="5BD13E8B"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05594FC3"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0003C885" w14:textId="77777777" w:rsidTr="00304564">
        <w:trPr>
          <w:cantSplit/>
          <w:jc w:val="center"/>
        </w:trPr>
        <w:tc>
          <w:tcPr>
            <w:tcW w:w="877" w:type="dxa"/>
            <w:vAlign w:val="center"/>
          </w:tcPr>
          <w:p w14:paraId="47578661"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w:t>
            </w:r>
          </w:p>
        </w:tc>
        <w:tc>
          <w:tcPr>
            <w:tcW w:w="1670" w:type="dxa"/>
            <w:vAlign w:val="center"/>
          </w:tcPr>
          <w:p w14:paraId="03CB1B7F"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rFonts w:eastAsia="SimSun"/>
                <w:color w:val="000000"/>
                <w:sz w:val="20"/>
              </w:rPr>
              <w:t>2116</w:t>
            </w:r>
          </w:p>
        </w:tc>
        <w:tc>
          <w:tcPr>
            <w:tcW w:w="1984" w:type="dxa"/>
            <w:vAlign w:val="center"/>
          </w:tcPr>
          <w:p w14:paraId="21EA8BF7"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12/2013</w:t>
            </w:r>
          </w:p>
        </w:tc>
        <w:tc>
          <w:tcPr>
            <w:tcW w:w="3168" w:type="dxa"/>
          </w:tcPr>
          <w:p w14:paraId="3E083861" w14:textId="77777777" w:rsidR="00304564" w:rsidRPr="00DB2993"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3566FF">
              <w:rPr>
                <w:rFonts w:eastAsia="SimSun"/>
                <w:color w:val="000000"/>
                <w:sz w:val="20"/>
              </w:rPr>
              <w:t>Characteristics of broadband wireless access systems operating in the land mobile service for use in sharing studies</w:t>
            </w:r>
          </w:p>
        </w:tc>
        <w:tc>
          <w:tcPr>
            <w:tcW w:w="914" w:type="dxa"/>
            <w:vAlign w:val="center"/>
          </w:tcPr>
          <w:p w14:paraId="5C67BD2D"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12D13C52"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25504A70" w14:textId="77777777" w:rsidTr="00304564">
        <w:trPr>
          <w:cantSplit/>
          <w:jc w:val="center"/>
        </w:trPr>
        <w:tc>
          <w:tcPr>
            <w:tcW w:w="877" w:type="dxa"/>
            <w:vAlign w:val="center"/>
          </w:tcPr>
          <w:p w14:paraId="2C3048AB"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S</w:t>
            </w:r>
          </w:p>
        </w:tc>
        <w:tc>
          <w:tcPr>
            <w:tcW w:w="1670" w:type="dxa"/>
            <w:vAlign w:val="center"/>
          </w:tcPr>
          <w:p w14:paraId="5360A45C"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sz w:val="20"/>
              </w:rPr>
              <w:t>2199</w:t>
            </w:r>
          </w:p>
        </w:tc>
        <w:tc>
          <w:tcPr>
            <w:tcW w:w="1984" w:type="dxa"/>
            <w:vAlign w:val="center"/>
          </w:tcPr>
          <w:p w14:paraId="3D8E35BA"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11/2010</w:t>
            </w:r>
          </w:p>
        </w:tc>
        <w:tc>
          <w:tcPr>
            <w:tcW w:w="3168" w:type="dxa"/>
          </w:tcPr>
          <w:p w14:paraId="13AFE9B4"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DB2993">
              <w:rPr>
                <w:rFonts w:eastAsia="SimSun"/>
                <w:color w:val="000000"/>
                <w:sz w:val="20"/>
              </w:rPr>
              <w:t>Studies on compatibility of broadband wireless access (BWA) systems and fixed-satellite service (FSS) networks in the 3 400-4 200 MHz band</w:t>
            </w:r>
          </w:p>
        </w:tc>
        <w:tc>
          <w:tcPr>
            <w:tcW w:w="914" w:type="dxa"/>
            <w:vAlign w:val="center"/>
          </w:tcPr>
          <w:p w14:paraId="5EA55CA8"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08E070B3"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304564" w:rsidRPr="00B04348" w14:paraId="12202289" w14:textId="77777777" w:rsidTr="00304564">
        <w:trPr>
          <w:cantSplit/>
          <w:jc w:val="center"/>
        </w:trPr>
        <w:tc>
          <w:tcPr>
            <w:tcW w:w="877" w:type="dxa"/>
            <w:vAlign w:val="center"/>
          </w:tcPr>
          <w:p w14:paraId="14446223"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S</w:t>
            </w:r>
          </w:p>
        </w:tc>
        <w:tc>
          <w:tcPr>
            <w:tcW w:w="1670" w:type="dxa"/>
            <w:vAlign w:val="center"/>
          </w:tcPr>
          <w:p w14:paraId="1E759C14" w14:textId="77777777" w:rsidR="00304564"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rFonts w:eastAsia="SimSun"/>
                <w:color w:val="000000"/>
                <w:sz w:val="20"/>
              </w:rPr>
              <w:t>2368</w:t>
            </w:r>
          </w:p>
        </w:tc>
        <w:tc>
          <w:tcPr>
            <w:tcW w:w="1984" w:type="dxa"/>
            <w:vAlign w:val="center"/>
          </w:tcPr>
          <w:p w14:paraId="20F16A0F"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06/2015</w:t>
            </w:r>
          </w:p>
        </w:tc>
        <w:tc>
          <w:tcPr>
            <w:tcW w:w="3168" w:type="dxa"/>
          </w:tcPr>
          <w:p w14:paraId="687E7D2A"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DB2993">
              <w:rPr>
                <w:rFonts w:eastAsia="SimSun"/>
                <w:color w:val="000000"/>
                <w:sz w:val="20"/>
              </w:rPr>
              <w:t>Sharing studies between International Mobile Telecommunication-Advanced systems and geostationary satellite networks in the fixed-satellite service in the 3 400-4 200 MHz and 4 500-4 800 MHz frequency bands in the WRC study cycle leading to WRC-15</w:t>
            </w:r>
          </w:p>
        </w:tc>
        <w:tc>
          <w:tcPr>
            <w:tcW w:w="914" w:type="dxa"/>
            <w:vAlign w:val="center"/>
          </w:tcPr>
          <w:p w14:paraId="5794AB8B"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7D85D3ED" w14:textId="77777777" w:rsidR="00304564" w:rsidRPr="00B04348" w:rsidRDefault="00304564" w:rsidP="003045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D07B76" w:rsidRPr="00B04348" w14:paraId="28397FFB" w14:textId="77777777" w:rsidTr="00304564">
        <w:trPr>
          <w:cantSplit/>
          <w:jc w:val="center"/>
        </w:trPr>
        <w:tc>
          <w:tcPr>
            <w:tcW w:w="877" w:type="dxa"/>
            <w:vAlign w:val="center"/>
          </w:tcPr>
          <w:p w14:paraId="7E5DCDAB" w14:textId="7D054220" w:rsidR="00D07B76"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w:t>
            </w:r>
          </w:p>
        </w:tc>
        <w:tc>
          <w:tcPr>
            <w:tcW w:w="1670" w:type="dxa"/>
            <w:vAlign w:val="center"/>
          </w:tcPr>
          <w:p w14:paraId="6FA80EC2" w14:textId="17771B13" w:rsidR="00D07B76"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r>
              <w:rPr>
                <w:rFonts w:eastAsia="SimSun"/>
                <w:color w:val="000000"/>
                <w:sz w:val="20"/>
              </w:rPr>
              <w:t>[TBD]</w:t>
            </w:r>
          </w:p>
        </w:tc>
        <w:tc>
          <w:tcPr>
            <w:tcW w:w="1984" w:type="dxa"/>
            <w:vAlign w:val="center"/>
          </w:tcPr>
          <w:p w14:paraId="1D4B0936" w14:textId="08F135C2" w:rsidR="00D07B76"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Pr>
                <w:rFonts w:eastAsia="SimSun"/>
                <w:color w:val="000000"/>
                <w:sz w:val="20"/>
                <w:lang w:eastAsia="zh-CN"/>
              </w:rPr>
              <w:t>[TBD]</w:t>
            </w:r>
          </w:p>
        </w:tc>
        <w:tc>
          <w:tcPr>
            <w:tcW w:w="3168" w:type="dxa"/>
          </w:tcPr>
          <w:p w14:paraId="62AD2346" w14:textId="6BA75477" w:rsidR="00D07B76" w:rsidRPr="00DB2993"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r w:rsidRPr="00D07B76">
              <w:rPr>
                <w:rFonts w:eastAsia="SimSun"/>
                <w:color w:val="000000"/>
                <w:sz w:val="20"/>
              </w:rPr>
              <w:t xml:space="preserve">Working document towards a Draft </w:t>
            </w:r>
            <w:r>
              <w:rPr>
                <w:rFonts w:eastAsia="SimSun"/>
                <w:color w:val="000000"/>
                <w:sz w:val="20"/>
              </w:rPr>
              <w:t xml:space="preserve">New </w:t>
            </w:r>
            <w:r w:rsidRPr="00D07B76">
              <w:rPr>
                <w:rFonts w:eastAsia="SimSun"/>
                <w:color w:val="000000"/>
                <w:sz w:val="20"/>
              </w:rPr>
              <w:t>Report for sharing and compatibility studies in compliance with Resolution 246 (WRC 19) in relation with WRC-23 agenda item 1.3</w:t>
            </w:r>
          </w:p>
        </w:tc>
        <w:tc>
          <w:tcPr>
            <w:tcW w:w="914" w:type="dxa"/>
            <w:vAlign w:val="center"/>
          </w:tcPr>
          <w:p w14:paraId="272F1949" w14:textId="08840B80" w:rsidR="00D07B76"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1.3</w:t>
            </w:r>
          </w:p>
        </w:tc>
        <w:tc>
          <w:tcPr>
            <w:tcW w:w="1026" w:type="dxa"/>
            <w:vAlign w:val="center"/>
          </w:tcPr>
          <w:p w14:paraId="54E9CBBA" w14:textId="4CB9D36A" w:rsidR="00D07B76"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1</w:t>
            </w:r>
          </w:p>
        </w:tc>
      </w:tr>
      <w:tr w:rsidR="00D07B76" w:rsidRPr="00B04348" w14:paraId="513E788C" w14:textId="77777777" w:rsidTr="00304564">
        <w:trPr>
          <w:cantSplit/>
          <w:jc w:val="center"/>
        </w:trPr>
        <w:tc>
          <w:tcPr>
            <w:tcW w:w="877" w:type="dxa"/>
            <w:vAlign w:val="center"/>
          </w:tcPr>
          <w:p w14:paraId="75D9A9EC" w14:textId="77777777" w:rsidR="00D07B76" w:rsidRPr="00B04348"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670" w:type="dxa"/>
            <w:vAlign w:val="center"/>
          </w:tcPr>
          <w:p w14:paraId="3A58BFDE" w14:textId="77777777" w:rsidR="00D07B76" w:rsidRPr="00B04348"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rPr>
            </w:pPr>
          </w:p>
        </w:tc>
        <w:tc>
          <w:tcPr>
            <w:tcW w:w="1984" w:type="dxa"/>
            <w:vAlign w:val="center"/>
          </w:tcPr>
          <w:p w14:paraId="79C5684F" w14:textId="77777777" w:rsidR="00D07B76" w:rsidRPr="00B04348"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p>
        </w:tc>
        <w:tc>
          <w:tcPr>
            <w:tcW w:w="3168" w:type="dxa"/>
          </w:tcPr>
          <w:p w14:paraId="253F958A" w14:textId="77777777" w:rsidR="00D07B76" w:rsidRPr="00B04348"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color w:val="000000"/>
                <w:sz w:val="20"/>
              </w:rPr>
            </w:pPr>
          </w:p>
        </w:tc>
        <w:tc>
          <w:tcPr>
            <w:tcW w:w="914" w:type="dxa"/>
            <w:vAlign w:val="center"/>
          </w:tcPr>
          <w:p w14:paraId="135885E9" w14:textId="77777777" w:rsidR="00D07B76" w:rsidRPr="00B04348"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p>
        </w:tc>
        <w:tc>
          <w:tcPr>
            <w:tcW w:w="1026" w:type="dxa"/>
            <w:vAlign w:val="center"/>
          </w:tcPr>
          <w:p w14:paraId="4615E6A7" w14:textId="77777777" w:rsidR="00D07B76" w:rsidRPr="00B04348" w:rsidRDefault="00D07B76" w:rsidP="00D07B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lang w:eastAsia="zh-CN"/>
              </w:rPr>
            </w:pPr>
          </w:p>
        </w:tc>
      </w:tr>
    </w:tbl>
    <w:p w14:paraId="64A37191" w14:textId="77777777" w:rsidR="00304564" w:rsidRDefault="00304564" w:rsidP="00A75CD0">
      <w:pPr>
        <w:jc w:val="center"/>
        <w:rPr>
          <w:lang w:eastAsia="zh-CN"/>
        </w:rPr>
      </w:pPr>
    </w:p>
    <w:p w14:paraId="6D48B84A" w14:textId="77777777" w:rsidR="00304564" w:rsidRDefault="0030456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9D2EF50" w14:textId="77777777" w:rsidR="00304564" w:rsidRPr="00B04348" w:rsidRDefault="00304564" w:rsidP="00903C01">
      <w:pPr>
        <w:pStyle w:val="AnnexNo"/>
        <w:rPr>
          <w:lang w:eastAsia="zh-CN"/>
        </w:rPr>
      </w:pPr>
      <w:bookmarkStart w:id="12" w:name="att2"/>
      <w:r w:rsidRPr="00B04348">
        <w:rPr>
          <w:lang w:eastAsia="zh-CN"/>
        </w:rPr>
        <w:lastRenderedPageBreak/>
        <w:t>Attachment 2</w:t>
      </w:r>
    </w:p>
    <w:bookmarkEnd w:id="12"/>
    <w:p w14:paraId="4C33906D" w14:textId="77777777" w:rsidR="00304564" w:rsidRPr="00B04348" w:rsidRDefault="00304564" w:rsidP="00903C01">
      <w:pPr>
        <w:pStyle w:val="Annextitle"/>
        <w:rPr>
          <w:lang w:eastAsia="zh-CN"/>
        </w:rPr>
      </w:pPr>
      <w:r w:rsidRPr="00B04348">
        <w:rPr>
          <w:lang w:eastAsia="zh-CN"/>
        </w:rPr>
        <w:t xml:space="preserve">List of abbreviations and acronyms used in the draft CPM text </w:t>
      </w:r>
      <w:r w:rsidRPr="00B04348">
        <w:rPr>
          <w:lang w:eastAsia="zh-CN"/>
        </w:rPr>
        <w:br/>
        <w:t>for WRC-</w:t>
      </w:r>
      <w:r>
        <w:rPr>
          <w:lang w:eastAsia="zh-CN"/>
        </w:rPr>
        <w:t>23</w:t>
      </w:r>
      <w:r w:rsidRPr="00B04348">
        <w:rPr>
          <w:lang w:eastAsia="zh-CN"/>
        </w:rPr>
        <w:t xml:space="preserve"> agenda item 1.</w:t>
      </w:r>
      <w:r>
        <w:rPr>
          <w:lang w:eastAsia="zh-CN"/>
        </w:rPr>
        <w:t>3</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304564" w:rsidRPr="00B04348" w14:paraId="2BF6803F" w14:textId="77777777" w:rsidTr="00C7436E">
        <w:trPr>
          <w:tblHeader/>
        </w:trPr>
        <w:tc>
          <w:tcPr>
            <w:tcW w:w="1701" w:type="dxa"/>
            <w:vAlign w:val="center"/>
          </w:tcPr>
          <w:p w14:paraId="7138808F" w14:textId="77777777" w:rsidR="00304564" w:rsidRPr="00B04348" w:rsidRDefault="00304564" w:rsidP="00C7436E">
            <w:pPr>
              <w:pStyle w:val="Tablehead"/>
            </w:pPr>
            <w:r w:rsidRPr="00B04348">
              <w:t>Abbreviations</w:t>
            </w:r>
          </w:p>
        </w:tc>
        <w:tc>
          <w:tcPr>
            <w:tcW w:w="7371" w:type="dxa"/>
            <w:vAlign w:val="center"/>
          </w:tcPr>
          <w:p w14:paraId="1FA8DB6C" w14:textId="77777777" w:rsidR="00304564" w:rsidRPr="00B04348" w:rsidRDefault="00304564" w:rsidP="00C7436E">
            <w:pPr>
              <w:pStyle w:val="Tablehead"/>
            </w:pPr>
            <w:r w:rsidRPr="00B04348">
              <w:t>Description (reference to RR)</w:t>
            </w:r>
          </w:p>
        </w:tc>
      </w:tr>
      <w:tr w:rsidR="00304564" w:rsidRPr="00B04348" w14:paraId="7BAA6B7D" w14:textId="77777777" w:rsidTr="00C7436E">
        <w:tc>
          <w:tcPr>
            <w:tcW w:w="1701" w:type="dxa"/>
          </w:tcPr>
          <w:p w14:paraId="2AA2CBB4" w14:textId="77777777" w:rsidR="00304564" w:rsidRPr="00B04348" w:rsidRDefault="00304564" w:rsidP="00C7436E">
            <w:pPr>
              <w:pStyle w:val="Tabletext"/>
              <w:jc w:val="center"/>
              <w:rPr>
                <w:lang w:eastAsia="zh-CN"/>
              </w:rPr>
            </w:pPr>
            <w:r>
              <w:rPr>
                <w:lang w:eastAsia="zh-CN"/>
              </w:rPr>
              <w:t>AAS</w:t>
            </w:r>
          </w:p>
        </w:tc>
        <w:tc>
          <w:tcPr>
            <w:tcW w:w="7371" w:type="dxa"/>
          </w:tcPr>
          <w:p w14:paraId="426D7190" w14:textId="77777777" w:rsidR="00304564" w:rsidRPr="00B04348" w:rsidRDefault="00304564" w:rsidP="00C7436E">
            <w:pPr>
              <w:pStyle w:val="Tabletext"/>
              <w:rPr>
                <w:lang w:eastAsia="zh-CN"/>
              </w:rPr>
            </w:pPr>
            <w:r w:rsidRPr="00790C7D">
              <w:rPr>
                <w:lang w:eastAsia="zh-CN"/>
              </w:rPr>
              <w:t>Advanced antenna system</w:t>
            </w:r>
          </w:p>
        </w:tc>
      </w:tr>
      <w:tr w:rsidR="00304564" w:rsidRPr="00B04348" w14:paraId="149280DB" w14:textId="77777777" w:rsidTr="00D66D18">
        <w:tc>
          <w:tcPr>
            <w:tcW w:w="1701" w:type="dxa"/>
          </w:tcPr>
          <w:p w14:paraId="53EA93DE" w14:textId="77777777" w:rsidR="00304564" w:rsidRPr="00B04348" w:rsidRDefault="00304564" w:rsidP="00D66D18">
            <w:pPr>
              <w:pStyle w:val="Tabletext"/>
              <w:jc w:val="center"/>
              <w:rPr>
                <w:lang w:eastAsia="zh-CN"/>
              </w:rPr>
            </w:pPr>
            <w:r w:rsidRPr="00790C7D">
              <w:rPr>
                <w:lang w:eastAsia="zh-CN"/>
              </w:rPr>
              <w:t>BS</w:t>
            </w:r>
          </w:p>
        </w:tc>
        <w:tc>
          <w:tcPr>
            <w:tcW w:w="7371" w:type="dxa"/>
          </w:tcPr>
          <w:p w14:paraId="6937966B" w14:textId="77777777" w:rsidR="00304564" w:rsidRPr="00B04348" w:rsidRDefault="00304564" w:rsidP="00D66D18">
            <w:pPr>
              <w:pStyle w:val="Tabletext"/>
              <w:rPr>
                <w:lang w:eastAsia="zh-CN"/>
              </w:rPr>
            </w:pPr>
            <w:r>
              <w:rPr>
                <w:lang w:eastAsia="zh-CN"/>
              </w:rPr>
              <w:t>Base station</w:t>
            </w:r>
          </w:p>
        </w:tc>
      </w:tr>
      <w:tr w:rsidR="00304564" w:rsidRPr="00B04348" w14:paraId="5D7BB624" w14:textId="77777777" w:rsidTr="00C7436E">
        <w:tc>
          <w:tcPr>
            <w:tcW w:w="1701" w:type="dxa"/>
          </w:tcPr>
          <w:p w14:paraId="5366204F" w14:textId="77777777" w:rsidR="00304564" w:rsidRPr="00B04348" w:rsidRDefault="00304564" w:rsidP="00C7436E">
            <w:pPr>
              <w:pStyle w:val="Tabletext"/>
              <w:jc w:val="center"/>
              <w:rPr>
                <w:lang w:eastAsia="zh-CN"/>
              </w:rPr>
            </w:pPr>
            <w:r w:rsidRPr="00790C7D">
              <w:rPr>
                <w:lang w:eastAsia="zh-CN"/>
              </w:rPr>
              <w:t>BWA</w:t>
            </w:r>
          </w:p>
        </w:tc>
        <w:tc>
          <w:tcPr>
            <w:tcW w:w="7371" w:type="dxa"/>
          </w:tcPr>
          <w:p w14:paraId="0FF24CDF" w14:textId="77777777" w:rsidR="00304564" w:rsidRPr="00B04348" w:rsidRDefault="00304564" w:rsidP="00C7436E">
            <w:pPr>
              <w:pStyle w:val="Tabletext"/>
              <w:rPr>
                <w:lang w:eastAsia="zh-CN"/>
              </w:rPr>
            </w:pPr>
            <w:r w:rsidRPr="00790C7D">
              <w:rPr>
                <w:lang w:eastAsia="zh-CN"/>
              </w:rPr>
              <w:t>Broadband Wireless Access</w:t>
            </w:r>
          </w:p>
        </w:tc>
      </w:tr>
      <w:tr w:rsidR="00304564" w:rsidRPr="00B04348" w14:paraId="25065C5C" w14:textId="77777777" w:rsidTr="00C7436E">
        <w:tc>
          <w:tcPr>
            <w:tcW w:w="1701" w:type="dxa"/>
          </w:tcPr>
          <w:p w14:paraId="6E076695" w14:textId="77777777" w:rsidR="00304564" w:rsidRPr="00790C7D" w:rsidRDefault="00304564" w:rsidP="00C7436E">
            <w:pPr>
              <w:pStyle w:val="Tabletext"/>
              <w:jc w:val="center"/>
              <w:rPr>
                <w:lang w:eastAsia="zh-CN"/>
              </w:rPr>
            </w:pPr>
            <w:r w:rsidRPr="00EA018E">
              <w:rPr>
                <w:lang w:val="en-US"/>
              </w:rPr>
              <w:t>CCDF</w:t>
            </w:r>
          </w:p>
        </w:tc>
        <w:tc>
          <w:tcPr>
            <w:tcW w:w="7371" w:type="dxa"/>
          </w:tcPr>
          <w:p w14:paraId="2CF7445D" w14:textId="77777777" w:rsidR="00304564" w:rsidRPr="00790C7D" w:rsidRDefault="00304564" w:rsidP="00C7436E">
            <w:pPr>
              <w:pStyle w:val="Tabletext"/>
              <w:rPr>
                <w:lang w:eastAsia="zh-CN"/>
              </w:rPr>
            </w:pPr>
            <w:r w:rsidRPr="00790C7D">
              <w:rPr>
                <w:lang w:eastAsia="zh-CN"/>
              </w:rPr>
              <w:t>Complementary cumulative distribution function</w:t>
            </w:r>
          </w:p>
        </w:tc>
      </w:tr>
      <w:tr w:rsidR="00304564" w:rsidRPr="00B04348" w14:paraId="73F795B2" w14:textId="77777777" w:rsidTr="00C7436E">
        <w:tc>
          <w:tcPr>
            <w:tcW w:w="1701" w:type="dxa"/>
          </w:tcPr>
          <w:p w14:paraId="0011EE39" w14:textId="77777777" w:rsidR="00304564" w:rsidRPr="00B04348" w:rsidRDefault="00304564" w:rsidP="00C7436E">
            <w:pPr>
              <w:pStyle w:val="Tabletext"/>
              <w:jc w:val="center"/>
              <w:rPr>
                <w:lang w:eastAsia="zh-CN"/>
              </w:rPr>
            </w:pPr>
            <w:r>
              <w:rPr>
                <w:lang w:eastAsia="zh-CN"/>
              </w:rPr>
              <w:t>ES</w:t>
            </w:r>
          </w:p>
        </w:tc>
        <w:tc>
          <w:tcPr>
            <w:tcW w:w="7371" w:type="dxa"/>
          </w:tcPr>
          <w:p w14:paraId="4AECA80B" w14:textId="77777777" w:rsidR="00304564" w:rsidRPr="00B04348" w:rsidRDefault="00304564" w:rsidP="00C7436E">
            <w:pPr>
              <w:pStyle w:val="Tabletext"/>
              <w:rPr>
                <w:lang w:eastAsia="zh-CN"/>
              </w:rPr>
            </w:pPr>
            <w:r>
              <w:rPr>
                <w:lang w:eastAsia="zh-CN"/>
              </w:rPr>
              <w:t>Earth station</w:t>
            </w:r>
          </w:p>
        </w:tc>
      </w:tr>
      <w:tr w:rsidR="00304564" w:rsidRPr="00B04348" w14:paraId="41BC3057" w14:textId="77777777" w:rsidTr="00C7436E">
        <w:tc>
          <w:tcPr>
            <w:tcW w:w="1701" w:type="dxa"/>
          </w:tcPr>
          <w:p w14:paraId="7C36C41F" w14:textId="77777777" w:rsidR="00304564" w:rsidRDefault="00304564" w:rsidP="00C7436E">
            <w:pPr>
              <w:pStyle w:val="Tabletext"/>
              <w:jc w:val="center"/>
              <w:rPr>
                <w:lang w:eastAsia="zh-CN"/>
              </w:rPr>
            </w:pPr>
            <w:r w:rsidRPr="00790C7D">
              <w:rPr>
                <w:lang w:eastAsia="zh-CN"/>
              </w:rPr>
              <w:t>I/N</w:t>
            </w:r>
          </w:p>
        </w:tc>
        <w:tc>
          <w:tcPr>
            <w:tcW w:w="7371" w:type="dxa"/>
          </w:tcPr>
          <w:p w14:paraId="5C0EE035" w14:textId="77777777" w:rsidR="00304564" w:rsidRDefault="00304564" w:rsidP="00C7436E">
            <w:pPr>
              <w:pStyle w:val="Tabletext"/>
              <w:rPr>
                <w:lang w:eastAsia="zh-CN"/>
              </w:rPr>
            </w:pPr>
            <w:r w:rsidRPr="00EA018E">
              <w:rPr>
                <w:lang w:val="en-US"/>
              </w:rPr>
              <w:t>Interference-to-noise ratio</w:t>
            </w:r>
          </w:p>
        </w:tc>
      </w:tr>
      <w:tr w:rsidR="00304564" w:rsidRPr="00B04348" w14:paraId="2C2AC157" w14:textId="77777777" w:rsidTr="00D66D18">
        <w:tc>
          <w:tcPr>
            <w:tcW w:w="1701" w:type="dxa"/>
          </w:tcPr>
          <w:p w14:paraId="6B974056" w14:textId="77777777" w:rsidR="00304564" w:rsidRPr="00B04348" w:rsidRDefault="00304564" w:rsidP="00D66D18">
            <w:pPr>
              <w:pStyle w:val="Tabletext"/>
              <w:jc w:val="center"/>
            </w:pPr>
            <w:r>
              <w:t>IMT</w:t>
            </w:r>
          </w:p>
        </w:tc>
        <w:tc>
          <w:tcPr>
            <w:tcW w:w="7371" w:type="dxa"/>
          </w:tcPr>
          <w:p w14:paraId="248C0F11" w14:textId="77777777" w:rsidR="00304564" w:rsidRPr="00B04348" w:rsidRDefault="00304564" w:rsidP="00D66D18">
            <w:pPr>
              <w:pStyle w:val="Tabletext"/>
            </w:pPr>
            <w:r>
              <w:t>International Mobile Telecommunications (see Resolution ITU-R 56-2)</w:t>
            </w:r>
          </w:p>
        </w:tc>
      </w:tr>
      <w:tr w:rsidR="00304564" w:rsidRPr="00B04348" w14:paraId="28A798AE" w14:textId="77777777" w:rsidTr="00C7436E">
        <w:tc>
          <w:tcPr>
            <w:tcW w:w="1701" w:type="dxa"/>
          </w:tcPr>
          <w:p w14:paraId="7F47E8FD" w14:textId="77777777" w:rsidR="00304564" w:rsidRPr="00B04348" w:rsidRDefault="00304564" w:rsidP="00C7436E">
            <w:pPr>
              <w:pStyle w:val="Tabletext"/>
              <w:jc w:val="center"/>
              <w:rPr>
                <w:lang w:eastAsia="zh-CN"/>
              </w:rPr>
            </w:pPr>
            <w:r w:rsidRPr="00790C7D">
              <w:rPr>
                <w:lang w:eastAsia="zh-CN"/>
              </w:rPr>
              <w:t>LNB</w:t>
            </w:r>
          </w:p>
        </w:tc>
        <w:tc>
          <w:tcPr>
            <w:tcW w:w="7371" w:type="dxa"/>
          </w:tcPr>
          <w:p w14:paraId="04C22F92" w14:textId="77777777" w:rsidR="00304564" w:rsidRPr="00B04348" w:rsidRDefault="00304564" w:rsidP="00C7436E">
            <w:pPr>
              <w:pStyle w:val="Tabletext"/>
              <w:rPr>
                <w:lang w:eastAsia="zh-CN"/>
              </w:rPr>
            </w:pPr>
            <w:r w:rsidRPr="00790C7D">
              <w:rPr>
                <w:lang w:eastAsia="zh-CN"/>
              </w:rPr>
              <w:t>Low-noise block downconverter</w:t>
            </w:r>
          </w:p>
        </w:tc>
      </w:tr>
      <w:tr w:rsidR="00304564" w:rsidRPr="00B04348" w14:paraId="51189908" w14:textId="77777777" w:rsidTr="00C7436E">
        <w:tc>
          <w:tcPr>
            <w:tcW w:w="1701" w:type="dxa"/>
          </w:tcPr>
          <w:p w14:paraId="40991E3B" w14:textId="77777777" w:rsidR="00304564" w:rsidRPr="00B04348" w:rsidRDefault="00304564" w:rsidP="00C7436E">
            <w:pPr>
              <w:pStyle w:val="Tabletext"/>
              <w:jc w:val="center"/>
              <w:rPr>
                <w:lang w:eastAsia="zh-CN"/>
              </w:rPr>
            </w:pPr>
            <w:r w:rsidRPr="00790C7D">
              <w:rPr>
                <w:lang w:eastAsia="zh-CN"/>
              </w:rPr>
              <w:t>OOB</w:t>
            </w:r>
          </w:p>
        </w:tc>
        <w:tc>
          <w:tcPr>
            <w:tcW w:w="7371" w:type="dxa"/>
          </w:tcPr>
          <w:p w14:paraId="4D29A12A" w14:textId="77777777" w:rsidR="00304564" w:rsidRPr="00B04348" w:rsidRDefault="00304564" w:rsidP="00C7436E">
            <w:pPr>
              <w:pStyle w:val="Tabletext"/>
              <w:rPr>
                <w:lang w:eastAsia="zh-CN"/>
              </w:rPr>
            </w:pPr>
            <w:r w:rsidRPr="00790C7D">
              <w:rPr>
                <w:lang w:eastAsia="zh-CN"/>
              </w:rPr>
              <w:t>Out-of-band</w:t>
            </w:r>
          </w:p>
        </w:tc>
      </w:tr>
      <w:tr w:rsidR="00304564" w:rsidRPr="00B04348" w14:paraId="61D5058D" w14:textId="77777777" w:rsidTr="00A06975">
        <w:tc>
          <w:tcPr>
            <w:tcW w:w="1701" w:type="dxa"/>
          </w:tcPr>
          <w:p w14:paraId="37B39A67" w14:textId="77777777" w:rsidR="00304564" w:rsidRPr="00B04348" w:rsidRDefault="00304564" w:rsidP="00A06975">
            <w:pPr>
              <w:pStyle w:val="Tabletext"/>
              <w:jc w:val="center"/>
              <w:rPr>
                <w:lang w:eastAsia="zh-CN"/>
              </w:rPr>
            </w:pPr>
            <w:r>
              <w:rPr>
                <w:lang w:eastAsia="zh-CN"/>
              </w:rPr>
              <w:t>pfd</w:t>
            </w:r>
          </w:p>
        </w:tc>
        <w:tc>
          <w:tcPr>
            <w:tcW w:w="7371" w:type="dxa"/>
          </w:tcPr>
          <w:p w14:paraId="00373ABD" w14:textId="77777777" w:rsidR="00304564" w:rsidRPr="00B04348" w:rsidRDefault="00304564" w:rsidP="00A06975">
            <w:pPr>
              <w:pStyle w:val="Tabletext"/>
              <w:rPr>
                <w:lang w:eastAsia="zh-CN"/>
              </w:rPr>
            </w:pPr>
            <w:r w:rsidRPr="00737949">
              <w:rPr>
                <w:lang w:eastAsia="zh-CN"/>
              </w:rPr>
              <w:t>power flux-density</w:t>
            </w:r>
          </w:p>
        </w:tc>
      </w:tr>
      <w:tr w:rsidR="00304564" w:rsidRPr="00B04348" w14:paraId="1345412C" w14:textId="77777777" w:rsidTr="00C7436E">
        <w:tc>
          <w:tcPr>
            <w:tcW w:w="1701" w:type="dxa"/>
          </w:tcPr>
          <w:p w14:paraId="4442E876" w14:textId="77777777" w:rsidR="00304564" w:rsidRPr="00B04348" w:rsidRDefault="00304564" w:rsidP="00C7436E">
            <w:pPr>
              <w:pStyle w:val="Tabletext"/>
              <w:jc w:val="center"/>
            </w:pPr>
          </w:p>
        </w:tc>
        <w:tc>
          <w:tcPr>
            <w:tcW w:w="7371" w:type="dxa"/>
          </w:tcPr>
          <w:p w14:paraId="55DCD0DB" w14:textId="77777777" w:rsidR="00304564" w:rsidRPr="00B04348" w:rsidRDefault="00304564" w:rsidP="00C7436E">
            <w:pPr>
              <w:pStyle w:val="Tabletext"/>
            </w:pPr>
          </w:p>
        </w:tc>
      </w:tr>
    </w:tbl>
    <w:p w14:paraId="62E1DFC4" w14:textId="77777777" w:rsidR="00304564" w:rsidRPr="005D0E54" w:rsidRDefault="00304564" w:rsidP="00A75CD0">
      <w:pPr>
        <w:jc w:val="center"/>
        <w:rPr>
          <w:lang w:eastAsia="zh-CN"/>
        </w:rPr>
      </w:pPr>
    </w:p>
    <w:p w14:paraId="61E8067E" w14:textId="529AF5F1" w:rsidR="000069D4" w:rsidRDefault="000069D4" w:rsidP="00DD4BED">
      <w:pPr>
        <w:rPr>
          <w:lang w:val="fr-FR" w:eastAsia="zh-CN"/>
        </w:rPr>
      </w:pPr>
    </w:p>
    <w:p w14:paraId="1DDA05E1" w14:textId="5E69BB31" w:rsidR="00304564" w:rsidRPr="00304564" w:rsidRDefault="00304564" w:rsidP="00304564">
      <w:pPr>
        <w:spacing w:before="240"/>
        <w:jc w:val="center"/>
      </w:pPr>
      <w:r>
        <w:t>______________</w:t>
      </w:r>
    </w:p>
    <w:sectPr w:rsidR="00304564" w:rsidRPr="00304564"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3EAB" w14:textId="77777777" w:rsidR="00903161" w:rsidRDefault="00903161">
      <w:r>
        <w:separator/>
      </w:r>
    </w:p>
  </w:endnote>
  <w:endnote w:type="continuationSeparator" w:id="0">
    <w:p w14:paraId="547642B5" w14:textId="77777777" w:rsidR="00903161" w:rsidRDefault="0090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0903" w14:textId="0ABB65DC" w:rsidR="00FA124A" w:rsidRPr="002B1E82" w:rsidRDefault="002B1E82" w:rsidP="002B1E82">
    <w:pPr>
      <w:pStyle w:val="Footer"/>
    </w:pPr>
    <w:fldSimple w:instr=" FILENAME \p \* MERGEFORMAT ">
      <w:r>
        <w:t>M:\BRSGD\TEXT2019\SG05\WP5A\500\597\597N05e.docx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2EC" w14:textId="625FF288" w:rsidR="00FA124A" w:rsidRPr="002B1E82" w:rsidRDefault="002B1E82" w:rsidP="002B1E82">
    <w:pPr>
      <w:pStyle w:val="Footer"/>
    </w:pPr>
    <w:fldSimple w:instr=" FILENAME \p \* MERGEFORMAT ">
      <w:r>
        <w:t>M:\BRSGD\TEXT2019\SG05\WP5A\500\597\597N05e.docx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13AB" w14:textId="77777777" w:rsidR="00903161" w:rsidRDefault="00903161">
      <w:r>
        <w:t>____________________</w:t>
      </w:r>
    </w:p>
  </w:footnote>
  <w:footnote w:type="continuationSeparator" w:id="0">
    <w:p w14:paraId="34611D1F" w14:textId="77777777" w:rsidR="00903161" w:rsidRDefault="0090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31C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FBF1D4D" w14:textId="0BCE5CC1" w:rsidR="00FA124A" w:rsidRDefault="00903161">
    <w:pPr>
      <w:pStyle w:val="Header"/>
      <w:rPr>
        <w:lang w:val="en-US"/>
      </w:rPr>
    </w:pPr>
    <w:r>
      <w:rPr>
        <w:lang w:val="en-US"/>
      </w:rPr>
      <w:t>5A/</w:t>
    </w:r>
    <w:r w:rsidR="007869A2">
      <w:rPr>
        <w:lang w:val="en-US"/>
      </w:rPr>
      <w:t>597 (Annex 5</w:t>
    </w:r>
    <w:r w:rsidR="00775A9D">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61"/>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B1E82"/>
    <w:rsid w:val="002E1B4F"/>
    <w:rsid w:val="002F2E67"/>
    <w:rsid w:val="002F7CB3"/>
    <w:rsid w:val="00304564"/>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75A9D"/>
    <w:rsid w:val="007869A2"/>
    <w:rsid w:val="0080538C"/>
    <w:rsid w:val="00814E0A"/>
    <w:rsid w:val="00822581"/>
    <w:rsid w:val="008309DD"/>
    <w:rsid w:val="0083227A"/>
    <w:rsid w:val="00843653"/>
    <w:rsid w:val="00866900"/>
    <w:rsid w:val="00876A8A"/>
    <w:rsid w:val="00881BA1"/>
    <w:rsid w:val="008C2302"/>
    <w:rsid w:val="008C26B8"/>
    <w:rsid w:val="008F208F"/>
    <w:rsid w:val="00903161"/>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07B76"/>
    <w:rsid w:val="00D214D0"/>
    <w:rsid w:val="00D6546B"/>
    <w:rsid w:val="00DB178B"/>
    <w:rsid w:val="00DC17D3"/>
    <w:rsid w:val="00DD4BED"/>
    <w:rsid w:val="00DE39F0"/>
    <w:rsid w:val="00DF0AF3"/>
    <w:rsid w:val="00DF7E9F"/>
    <w:rsid w:val="00E07BC1"/>
    <w:rsid w:val="00E27D7E"/>
    <w:rsid w:val="00E42E13"/>
    <w:rsid w:val="00E56D5C"/>
    <w:rsid w:val="00E6257C"/>
    <w:rsid w:val="00E63C59"/>
    <w:rsid w:val="00F25662"/>
    <w:rsid w:val="00F83FD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34CBBD"/>
  <w15:docId w15:val="{7A6663FC-03AA-4984-A35D-CAF64CCC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304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uiPriority w:val="99"/>
    <w:locked/>
    <w:rsid w:val="00304564"/>
    <w:rPr>
      <w:rFonts w:ascii="Times New Roman" w:hAnsi="Times New Roman"/>
      <w:lang w:val="en-GB" w:eastAsia="en-US"/>
    </w:rPr>
  </w:style>
  <w:style w:type="character" w:styleId="Hyperlink">
    <w:name w:val="Hyperlink"/>
    <w:basedOn w:val="DefaultParagraphFont"/>
    <w:unhideWhenUsed/>
    <w:rsid w:val="00304564"/>
    <w:rPr>
      <w:color w:val="0000FF" w:themeColor="hyperlink"/>
      <w:u w:val="single"/>
    </w:rPr>
  </w:style>
  <w:style w:type="character" w:styleId="UnresolvedMention">
    <w:name w:val="Unresolved Mention"/>
    <w:basedOn w:val="DefaultParagraphFont"/>
    <w:uiPriority w:val="99"/>
    <w:semiHidden/>
    <w:unhideWhenUsed/>
    <w:rsid w:val="0030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04385A7E-F763-4605-B7AE-DF7DA1F525A8}">
  <ds:schemaRefs>
    <ds:schemaRef ds:uri="http://schemas.microsoft.com/sharepoint/v3/contenttype/forms"/>
  </ds:schemaRefs>
</ds:datastoreItem>
</file>

<file path=customXml/itemProps2.xml><?xml version="1.0" encoding="utf-8"?>
<ds:datastoreItem xmlns:ds="http://schemas.openxmlformats.org/officeDocument/2006/customXml" ds:itemID="{36401605-D294-47B1-8473-5315EB5EC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F84E4-2DE4-440C-BC84-495DAC5CD86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5</Pages>
  <Words>843</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3</cp:revision>
  <cp:lastPrinted>2008-02-21T14:04:00Z</cp:lastPrinted>
  <dcterms:created xsi:type="dcterms:W3CDTF">2022-06-08T12:44:00Z</dcterms:created>
  <dcterms:modified xsi:type="dcterms:W3CDTF">2022-06-09T06:30:00Z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