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0287F" w14:paraId="55C65B4B" w14:textId="77777777" w:rsidTr="00876A8A">
        <w:trPr>
          <w:cantSplit/>
        </w:trPr>
        <w:tc>
          <w:tcPr>
            <w:tcW w:w="6487" w:type="dxa"/>
            <w:vAlign w:val="center"/>
          </w:tcPr>
          <w:p w14:paraId="3C636AF9" w14:textId="77777777" w:rsidR="009F6520" w:rsidRPr="0080287F" w:rsidRDefault="009F6520" w:rsidP="009F6520">
            <w:pPr>
              <w:shd w:val="solid" w:color="FFFFFF" w:fill="FFFFFF"/>
              <w:spacing w:before="0"/>
              <w:rPr>
                <w:rFonts w:ascii="Verdana" w:hAnsi="Verdana" w:cs="Times New Roman Bold"/>
                <w:b/>
                <w:bCs/>
                <w:sz w:val="26"/>
                <w:szCs w:val="26"/>
              </w:rPr>
            </w:pPr>
            <w:r w:rsidRPr="0080287F">
              <w:rPr>
                <w:rFonts w:ascii="Verdana" w:hAnsi="Verdana" w:cs="Times New Roman Bold"/>
                <w:b/>
                <w:bCs/>
                <w:sz w:val="26"/>
                <w:szCs w:val="26"/>
              </w:rPr>
              <w:t>Radiocommunication Study Groups</w:t>
            </w:r>
          </w:p>
        </w:tc>
        <w:tc>
          <w:tcPr>
            <w:tcW w:w="3402" w:type="dxa"/>
          </w:tcPr>
          <w:p w14:paraId="4D0BB909" w14:textId="77777777" w:rsidR="009F6520" w:rsidRPr="0080287F" w:rsidRDefault="003F78DC" w:rsidP="003F78DC">
            <w:pPr>
              <w:shd w:val="solid" w:color="FFFFFF" w:fill="FFFFFF"/>
              <w:spacing w:before="0" w:line="240" w:lineRule="atLeast"/>
            </w:pPr>
            <w:bookmarkStart w:id="0" w:name="ditulogo"/>
            <w:bookmarkEnd w:id="0"/>
            <w:r w:rsidRPr="0080287F">
              <w:rPr>
                <w:noProof/>
                <w:lang w:eastAsia="en-GB"/>
              </w:rPr>
              <w:drawing>
                <wp:inline distT="0" distB="0" distL="0" distR="0" wp14:anchorId="6D75A389" wp14:editId="550FB8D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0287F" w14:paraId="6F7D9179" w14:textId="77777777" w:rsidTr="00876A8A">
        <w:trPr>
          <w:cantSplit/>
        </w:trPr>
        <w:tc>
          <w:tcPr>
            <w:tcW w:w="6487" w:type="dxa"/>
            <w:tcBorders>
              <w:bottom w:val="single" w:sz="12" w:space="0" w:color="auto"/>
            </w:tcBorders>
          </w:tcPr>
          <w:p w14:paraId="35A941F6" w14:textId="77777777" w:rsidR="000069D4" w:rsidRPr="0080287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543B8E" w14:textId="77777777" w:rsidR="000069D4" w:rsidRPr="0080287F" w:rsidRDefault="000069D4" w:rsidP="00A5173C">
            <w:pPr>
              <w:shd w:val="solid" w:color="FFFFFF" w:fill="FFFFFF"/>
              <w:spacing w:before="0" w:after="48" w:line="240" w:lineRule="atLeast"/>
              <w:rPr>
                <w:sz w:val="22"/>
                <w:szCs w:val="22"/>
              </w:rPr>
            </w:pPr>
          </w:p>
        </w:tc>
      </w:tr>
      <w:tr w:rsidR="000069D4" w:rsidRPr="0080287F" w14:paraId="70799891" w14:textId="77777777" w:rsidTr="00876A8A">
        <w:trPr>
          <w:cantSplit/>
        </w:trPr>
        <w:tc>
          <w:tcPr>
            <w:tcW w:w="6487" w:type="dxa"/>
            <w:tcBorders>
              <w:top w:val="single" w:sz="12" w:space="0" w:color="auto"/>
            </w:tcBorders>
          </w:tcPr>
          <w:p w14:paraId="3F42B576" w14:textId="77777777" w:rsidR="000069D4" w:rsidRPr="0080287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D3835EC" w14:textId="77777777" w:rsidR="000069D4" w:rsidRPr="0080287F" w:rsidRDefault="000069D4" w:rsidP="00A5173C">
            <w:pPr>
              <w:shd w:val="solid" w:color="FFFFFF" w:fill="FFFFFF"/>
              <w:spacing w:before="0" w:after="48" w:line="240" w:lineRule="atLeast"/>
            </w:pPr>
          </w:p>
        </w:tc>
      </w:tr>
      <w:tr w:rsidR="00633C1D" w:rsidRPr="0080287F" w14:paraId="7A092890" w14:textId="77777777" w:rsidTr="00876A8A">
        <w:trPr>
          <w:cantSplit/>
        </w:trPr>
        <w:tc>
          <w:tcPr>
            <w:tcW w:w="6487" w:type="dxa"/>
            <w:vMerge w:val="restart"/>
          </w:tcPr>
          <w:p w14:paraId="175E1E6D" w14:textId="322F0686" w:rsidR="00633C1D" w:rsidRPr="0080287F" w:rsidRDefault="00633C1D" w:rsidP="00790C4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3F78DC">
              <w:rPr>
                <w:rFonts w:ascii="Verdana" w:hAnsi="Verdana"/>
                <w:sz w:val="20"/>
              </w:rPr>
              <w:t>Source:</w:t>
            </w:r>
            <w:r w:rsidRPr="003F78DC">
              <w:rPr>
                <w:rFonts w:ascii="Verdana" w:hAnsi="Verdana"/>
                <w:sz w:val="20"/>
              </w:rPr>
              <w:tab/>
            </w:r>
            <w:r w:rsidRPr="00633C1D">
              <w:rPr>
                <w:rFonts w:ascii="Verdana" w:hAnsi="Verdana"/>
                <w:sz w:val="20"/>
              </w:rPr>
              <w:t>Document 5A/TEMP/199</w:t>
            </w:r>
          </w:p>
        </w:tc>
        <w:tc>
          <w:tcPr>
            <w:tcW w:w="3402" w:type="dxa"/>
          </w:tcPr>
          <w:p w14:paraId="10C1E8B5" w14:textId="220FF7D7" w:rsidR="00633C1D" w:rsidRPr="0080287F" w:rsidRDefault="00633C1D" w:rsidP="00633C1D">
            <w:pPr>
              <w:shd w:val="solid" w:color="FFFFFF" w:fill="FFFFFF"/>
              <w:spacing w:before="0" w:line="240" w:lineRule="atLeast"/>
              <w:rPr>
                <w:rFonts w:ascii="Verdana" w:hAnsi="Verdana"/>
                <w:sz w:val="20"/>
                <w:lang w:eastAsia="zh-CN"/>
              </w:rPr>
            </w:pPr>
            <w:r w:rsidRPr="00A07585">
              <w:rPr>
                <w:rFonts w:ascii="Verdana" w:hAnsi="Verdana"/>
                <w:b/>
                <w:sz w:val="20"/>
                <w:lang w:eastAsia="zh-CN"/>
              </w:rPr>
              <w:t xml:space="preserve">Annex </w:t>
            </w:r>
            <w:r>
              <w:rPr>
                <w:rFonts w:ascii="Verdana" w:hAnsi="Verdana"/>
                <w:b/>
                <w:sz w:val="20"/>
                <w:lang w:eastAsia="zh-CN"/>
              </w:rPr>
              <w:t xml:space="preserve">24 </w:t>
            </w:r>
            <w:r w:rsidRPr="00A07585">
              <w:rPr>
                <w:rFonts w:ascii="Verdana" w:hAnsi="Verdana"/>
                <w:b/>
                <w:sz w:val="20"/>
                <w:lang w:eastAsia="zh-CN"/>
              </w:rPr>
              <w:t>to</w:t>
            </w:r>
            <w:r w:rsidRPr="00A07585">
              <w:rPr>
                <w:rFonts w:ascii="Verdana" w:hAnsi="Verdana"/>
                <w:b/>
                <w:sz w:val="20"/>
                <w:lang w:eastAsia="zh-CN"/>
              </w:rPr>
              <w:br/>
              <w:t>Document 5A/</w:t>
            </w:r>
            <w:r>
              <w:rPr>
                <w:rFonts w:ascii="Verdana" w:hAnsi="Verdana"/>
                <w:b/>
                <w:sz w:val="20"/>
                <w:lang w:eastAsia="zh-CN"/>
              </w:rPr>
              <w:t>597</w:t>
            </w:r>
            <w:r w:rsidRPr="00A07585">
              <w:rPr>
                <w:rFonts w:ascii="Verdana" w:hAnsi="Verdana"/>
                <w:b/>
                <w:sz w:val="20"/>
                <w:lang w:eastAsia="zh-CN"/>
              </w:rPr>
              <w:t>-E</w:t>
            </w:r>
          </w:p>
        </w:tc>
      </w:tr>
      <w:tr w:rsidR="00633C1D" w:rsidRPr="0080287F" w14:paraId="56519FD8" w14:textId="77777777" w:rsidTr="00876A8A">
        <w:trPr>
          <w:cantSplit/>
        </w:trPr>
        <w:tc>
          <w:tcPr>
            <w:tcW w:w="6487" w:type="dxa"/>
            <w:vMerge/>
          </w:tcPr>
          <w:p w14:paraId="4C662116" w14:textId="77777777" w:rsidR="00633C1D" w:rsidRPr="0080287F" w:rsidRDefault="00633C1D" w:rsidP="00633C1D">
            <w:pPr>
              <w:spacing w:before="60"/>
              <w:jc w:val="center"/>
              <w:rPr>
                <w:b/>
                <w:smallCaps/>
                <w:sz w:val="32"/>
                <w:lang w:eastAsia="zh-CN"/>
              </w:rPr>
            </w:pPr>
            <w:bookmarkStart w:id="3" w:name="ddate" w:colFirst="1" w:colLast="1"/>
            <w:bookmarkEnd w:id="2"/>
          </w:p>
        </w:tc>
        <w:tc>
          <w:tcPr>
            <w:tcW w:w="3402" w:type="dxa"/>
          </w:tcPr>
          <w:p w14:paraId="05101DBD" w14:textId="1B481131" w:rsidR="00633C1D" w:rsidRPr="0080287F" w:rsidRDefault="00633C1D" w:rsidP="00633C1D">
            <w:pPr>
              <w:shd w:val="solid" w:color="FFFFFF" w:fill="FFFFFF"/>
              <w:spacing w:before="0" w:line="240" w:lineRule="atLeast"/>
              <w:rPr>
                <w:rFonts w:ascii="Verdana" w:hAnsi="Verdana"/>
                <w:sz w:val="20"/>
                <w:lang w:eastAsia="zh-CN"/>
              </w:rPr>
            </w:pPr>
            <w:r>
              <w:rPr>
                <w:rFonts w:ascii="Verdana" w:hAnsi="Verdana"/>
                <w:b/>
                <w:sz w:val="20"/>
                <w:lang w:eastAsia="zh-CN"/>
              </w:rPr>
              <w:t>3 June 2022</w:t>
            </w:r>
          </w:p>
        </w:tc>
      </w:tr>
      <w:tr w:rsidR="000069D4" w:rsidRPr="0080287F" w14:paraId="3AEB3C80" w14:textId="77777777" w:rsidTr="00876A8A">
        <w:trPr>
          <w:cantSplit/>
        </w:trPr>
        <w:tc>
          <w:tcPr>
            <w:tcW w:w="6487" w:type="dxa"/>
            <w:vMerge/>
          </w:tcPr>
          <w:p w14:paraId="146E068D" w14:textId="77777777" w:rsidR="000069D4" w:rsidRPr="0080287F" w:rsidRDefault="000069D4" w:rsidP="00A5173C">
            <w:pPr>
              <w:spacing w:before="60"/>
              <w:jc w:val="center"/>
              <w:rPr>
                <w:b/>
                <w:smallCaps/>
                <w:sz w:val="32"/>
                <w:lang w:eastAsia="zh-CN"/>
              </w:rPr>
            </w:pPr>
            <w:bookmarkStart w:id="4" w:name="dorlang" w:colFirst="1" w:colLast="1"/>
            <w:bookmarkEnd w:id="3"/>
          </w:p>
        </w:tc>
        <w:tc>
          <w:tcPr>
            <w:tcW w:w="3402" w:type="dxa"/>
          </w:tcPr>
          <w:p w14:paraId="5BFE03F9" w14:textId="77777777" w:rsidR="000069D4" w:rsidRPr="0080287F" w:rsidRDefault="003F78DC" w:rsidP="00A5173C">
            <w:pPr>
              <w:shd w:val="solid" w:color="FFFFFF" w:fill="FFFFFF"/>
              <w:spacing w:before="0" w:line="240" w:lineRule="atLeast"/>
              <w:rPr>
                <w:rFonts w:ascii="Verdana" w:eastAsia="SimSun" w:hAnsi="Verdana"/>
                <w:sz w:val="20"/>
                <w:lang w:eastAsia="zh-CN"/>
              </w:rPr>
            </w:pPr>
            <w:r w:rsidRPr="0080287F">
              <w:rPr>
                <w:rFonts w:ascii="Verdana" w:eastAsia="SimSun" w:hAnsi="Verdana"/>
                <w:b/>
                <w:sz w:val="20"/>
                <w:lang w:eastAsia="zh-CN"/>
              </w:rPr>
              <w:t>English only</w:t>
            </w:r>
          </w:p>
        </w:tc>
      </w:tr>
      <w:tr w:rsidR="003F78DC" w:rsidRPr="0080287F" w14:paraId="69D9748B" w14:textId="77777777" w:rsidTr="00D046A7">
        <w:trPr>
          <w:cantSplit/>
        </w:trPr>
        <w:tc>
          <w:tcPr>
            <w:tcW w:w="9889" w:type="dxa"/>
            <w:gridSpan w:val="2"/>
          </w:tcPr>
          <w:p w14:paraId="6D7CDA8E" w14:textId="188AF4ED" w:rsidR="003F78DC" w:rsidRPr="0080287F" w:rsidRDefault="00633C1D" w:rsidP="003F78DC">
            <w:pPr>
              <w:pStyle w:val="Source"/>
              <w:rPr>
                <w:lang w:eastAsia="zh-CN"/>
              </w:rPr>
            </w:pPr>
            <w:bookmarkStart w:id="5" w:name="dsource" w:colFirst="0" w:colLast="0"/>
            <w:bookmarkEnd w:id="4"/>
            <w:r w:rsidRPr="00357618">
              <w:rPr>
                <w:lang w:eastAsia="ja-JP"/>
              </w:rPr>
              <w:t xml:space="preserve">Annex </w:t>
            </w:r>
            <w:r>
              <w:rPr>
                <w:lang w:eastAsia="ja-JP"/>
              </w:rPr>
              <w:t>24</w:t>
            </w:r>
            <w:r w:rsidRPr="00357618">
              <w:rPr>
                <w:lang w:eastAsia="ja-JP"/>
              </w:rPr>
              <w:t xml:space="preserve"> to Working Party 5A Chairman’s Report</w:t>
            </w:r>
          </w:p>
        </w:tc>
      </w:tr>
      <w:tr w:rsidR="003F78DC" w:rsidRPr="0080287F" w14:paraId="28F73A00" w14:textId="77777777" w:rsidTr="00D046A7">
        <w:trPr>
          <w:cantSplit/>
        </w:trPr>
        <w:tc>
          <w:tcPr>
            <w:tcW w:w="9889" w:type="dxa"/>
            <w:gridSpan w:val="2"/>
          </w:tcPr>
          <w:p w14:paraId="5658D52E" w14:textId="25221802" w:rsidR="003F78DC" w:rsidRPr="0080287F" w:rsidRDefault="003F78DC" w:rsidP="003F78DC">
            <w:pPr>
              <w:pStyle w:val="Title1"/>
              <w:rPr>
                <w:lang w:eastAsia="zh-CN"/>
              </w:rPr>
            </w:pPr>
            <w:bookmarkStart w:id="6" w:name="drec" w:colFirst="0" w:colLast="0"/>
            <w:bookmarkEnd w:id="5"/>
            <w:r w:rsidRPr="0080287F">
              <w:rPr>
                <w:lang w:eastAsia="zh-CN"/>
              </w:rPr>
              <w:t xml:space="preserve">WORKING DOCUMENT TOWARDS A PRELIMINARY DRAFT NEW </w:t>
            </w:r>
            <w:r w:rsidR="0054197E">
              <w:rPr>
                <w:lang w:eastAsia="zh-CN"/>
              </w:rPr>
              <w:br/>
            </w:r>
            <w:r w:rsidRPr="0080287F">
              <w:rPr>
                <w:lang w:eastAsia="zh-CN"/>
              </w:rPr>
              <w:t>REPORT ITU-R M.[</w:t>
            </w:r>
            <w:proofErr w:type="spellStart"/>
            <w:r w:rsidRPr="0080287F">
              <w:rPr>
                <w:lang w:eastAsia="zh-CN"/>
              </w:rPr>
              <w:t>LMS.CONDITIONS</w:t>
            </w:r>
            <w:proofErr w:type="spellEnd"/>
            <w:r w:rsidRPr="0080287F">
              <w:rPr>
                <w:lang w:eastAsia="zh-CN"/>
              </w:rPr>
              <w:t>&gt;275GH</w:t>
            </w:r>
            <w:r w:rsidRPr="0080287F">
              <w:rPr>
                <w:caps w:val="0"/>
                <w:lang w:eastAsia="zh-CN"/>
              </w:rPr>
              <w:t>z</w:t>
            </w:r>
            <w:r w:rsidRPr="0080287F">
              <w:rPr>
                <w:lang w:eastAsia="zh-CN"/>
              </w:rPr>
              <w:t>]</w:t>
            </w:r>
          </w:p>
        </w:tc>
      </w:tr>
      <w:tr w:rsidR="003F78DC" w:rsidRPr="0080287F" w14:paraId="4C726EFC" w14:textId="77777777" w:rsidTr="00D046A7">
        <w:trPr>
          <w:cantSplit/>
        </w:trPr>
        <w:tc>
          <w:tcPr>
            <w:tcW w:w="9889" w:type="dxa"/>
            <w:gridSpan w:val="2"/>
          </w:tcPr>
          <w:p w14:paraId="2F78E83E" w14:textId="25B8439A" w:rsidR="003F78DC" w:rsidRPr="0080287F" w:rsidRDefault="003F78DC" w:rsidP="003F78DC">
            <w:pPr>
              <w:pStyle w:val="Title4"/>
              <w:rPr>
                <w:lang w:eastAsia="zh-CN"/>
              </w:rPr>
            </w:pPr>
            <w:bookmarkStart w:id="7" w:name="dtitle1" w:colFirst="0" w:colLast="0"/>
            <w:bookmarkEnd w:id="6"/>
            <w:r w:rsidRPr="0080287F">
              <w:t>Assessment of mitigation techniques and specific conditions to be applied to the land mobile service applications in the frequency bands 296-306 GHz, 313</w:t>
            </w:r>
            <w:r w:rsidRPr="0080287F">
              <w:noBreakHyphen/>
              <w:t>318 GHz and 333-356 GHz, to ensure the protection of earth exploration-satellite service (passive) applications in accordance with RR No. 5.564A</w:t>
            </w:r>
          </w:p>
        </w:tc>
      </w:tr>
    </w:tbl>
    <w:p w14:paraId="520EAD80" w14:textId="77777777" w:rsidR="003F78DC" w:rsidRPr="0080287F" w:rsidRDefault="003F78DC" w:rsidP="003F78DC">
      <w:pPr>
        <w:pStyle w:val="Questionref"/>
      </w:pPr>
      <w:bookmarkStart w:id="8" w:name="_Hlk56076742"/>
      <w:bookmarkEnd w:id="7"/>
      <w:r w:rsidRPr="0080287F">
        <w:t>(Question ITU-R 256/5)</w:t>
      </w:r>
    </w:p>
    <w:p w14:paraId="1822F593" w14:textId="77777777" w:rsidR="003F78DC" w:rsidRPr="0080287F" w:rsidRDefault="003F78DC" w:rsidP="003F78DC">
      <w:pPr>
        <w:pStyle w:val="EditorsNote"/>
        <w:jc w:val="both"/>
        <w:rPr>
          <w:lang w:eastAsia="zh-CN"/>
        </w:rPr>
      </w:pPr>
      <w:r w:rsidRPr="0080287F">
        <w:t xml:space="preserve">[Editor’s note: </w:t>
      </w:r>
      <w:r w:rsidRPr="0080287F">
        <w:rPr>
          <w:color w:val="000000" w:themeColor="text1"/>
        </w:rPr>
        <w:t xml:space="preserve">The development of this report and related studies have to be performed </w:t>
      </w:r>
      <w:r w:rsidRPr="0080287F">
        <w:rPr>
          <w:lang w:eastAsia="zh-CN"/>
        </w:rPr>
        <w:t xml:space="preserve">in close cooperation with WP 7C and WP 7D (see Document </w:t>
      </w:r>
      <w:hyperlink r:id="rId10" w:history="1">
        <w:r w:rsidRPr="0080287F">
          <w:rPr>
            <w:color w:val="0000FF" w:themeColor="hyperlink"/>
            <w:u w:val="single"/>
            <w:lang w:eastAsia="zh-CN"/>
          </w:rPr>
          <w:t>5A/225</w:t>
        </w:r>
      </w:hyperlink>
      <w:r w:rsidRPr="0080287F">
        <w:rPr>
          <w:lang w:eastAsia="zh-CN"/>
        </w:rPr>
        <w:t>).]</w:t>
      </w:r>
    </w:p>
    <w:bookmarkEnd w:id="8"/>
    <w:p w14:paraId="1033B55D" w14:textId="77777777" w:rsidR="003F78DC" w:rsidRPr="0080287F" w:rsidRDefault="003F78DC" w:rsidP="003F78DC">
      <w:pPr>
        <w:keepNext/>
        <w:keepLines/>
        <w:jc w:val="right"/>
        <w:rPr>
          <w:sz w:val="22"/>
          <w:lang w:eastAsia="zh-CN"/>
        </w:rPr>
      </w:pPr>
      <w:r w:rsidRPr="0080287F">
        <w:rPr>
          <w:sz w:val="22"/>
          <w:lang w:eastAsia="zh-CN"/>
        </w:rPr>
        <w:t>(…)</w:t>
      </w:r>
    </w:p>
    <w:p w14:paraId="2AC163AA" w14:textId="77777777" w:rsidR="003F78DC" w:rsidRPr="0080287F" w:rsidRDefault="003F78DC" w:rsidP="003F78DC">
      <w:pPr>
        <w:pStyle w:val="Heading1"/>
        <w:rPr>
          <w:b w:val="0"/>
        </w:rPr>
      </w:pPr>
      <w:r w:rsidRPr="0080287F">
        <w:t>1</w:t>
      </w:r>
      <w:r w:rsidRPr="0080287F">
        <w:tab/>
        <w:t>Introduction</w:t>
      </w:r>
    </w:p>
    <w:p w14:paraId="5819310C" w14:textId="77777777" w:rsidR="003F78DC" w:rsidRPr="0080287F" w:rsidRDefault="003F78DC" w:rsidP="003F78DC">
      <w:pPr>
        <w:spacing w:after="120"/>
        <w:jc w:val="both"/>
        <w:rPr>
          <w:szCs w:val="24"/>
          <w:lang w:eastAsia="zh-CN"/>
        </w:rPr>
      </w:pPr>
      <w:bookmarkStart w:id="9" w:name="_Hlk52539134"/>
      <w:r w:rsidRPr="0080287F">
        <w:rPr>
          <w:szCs w:val="24"/>
          <w:lang w:eastAsia="zh-CN"/>
        </w:rPr>
        <w:t xml:space="preserve">The objective of this Report is to address the relevant aspects of RR No. </w:t>
      </w:r>
      <w:r w:rsidRPr="0080287F">
        <w:rPr>
          <w:b/>
          <w:bCs/>
          <w:szCs w:val="24"/>
          <w:lang w:eastAsia="zh-CN"/>
        </w:rPr>
        <w:t>5.564A</w:t>
      </w:r>
      <w:r w:rsidRPr="0080287F">
        <w:rPr>
          <w:szCs w:val="24"/>
          <w:lang w:eastAsia="zh-CN"/>
        </w:rPr>
        <w:t xml:space="preserve"> and assess the </w:t>
      </w:r>
      <w:r w:rsidRPr="0080287F">
        <w:rPr>
          <w:szCs w:val="24"/>
          <w:lang w:eastAsia="es-CR"/>
        </w:rPr>
        <w:t>specific conditions necessary to ensure the protection of Earth exploration-satellite service (passive) applications in the frequency bands 296-306 GHz, 313</w:t>
      </w:r>
      <w:r w:rsidRPr="0080287F">
        <w:rPr>
          <w:szCs w:val="24"/>
          <w:lang w:eastAsia="es-CR"/>
        </w:rPr>
        <w:noBreakHyphen/>
        <w:t xml:space="preserve">318 GHz and 333-356 GHz, to be determined in accordance with RR No. </w:t>
      </w:r>
      <w:r w:rsidRPr="0080287F">
        <w:rPr>
          <w:b/>
          <w:bCs/>
          <w:szCs w:val="24"/>
          <w:lang w:eastAsia="es-CR"/>
        </w:rPr>
        <w:t>5.564A</w:t>
      </w:r>
      <w:r w:rsidRPr="0080287F">
        <w:rPr>
          <w:szCs w:val="24"/>
          <w:lang w:eastAsia="zh-CN"/>
        </w:rPr>
        <w:t>:</w:t>
      </w:r>
    </w:p>
    <w:p w14:paraId="597B6D5A" w14:textId="77777777" w:rsidR="003F78DC" w:rsidRPr="0080287F" w:rsidRDefault="003F78DC" w:rsidP="003F78DC">
      <w:pPr>
        <w:pStyle w:val="Note"/>
        <w:rPr>
          <w:i/>
          <w:iCs/>
          <w:lang w:eastAsia="es-CR"/>
        </w:rPr>
      </w:pPr>
      <w:r w:rsidRPr="0080287F">
        <w:rPr>
          <w:b/>
          <w:i/>
          <w:iCs/>
        </w:rPr>
        <w:t>5.564A</w:t>
      </w:r>
      <w:r w:rsidRPr="0080287F">
        <w:rPr>
          <w:i/>
          <w:iCs/>
        </w:rPr>
        <w:tab/>
        <w:t>For the operation of fixed and land mobile service applications in frequency bands in the range 275-450 GHz:</w:t>
      </w:r>
    </w:p>
    <w:p w14:paraId="6F1F0749" w14:textId="77777777" w:rsidR="003F78DC" w:rsidRPr="0080287F" w:rsidRDefault="003F78DC" w:rsidP="003F78DC">
      <w:pPr>
        <w:pStyle w:val="Note"/>
        <w:rPr>
          <w:i/>
          <w:iCs/>
          <w:lang w:eastAsia="es-CR"/>
        </w:rPr>
      </w:pPr>
      <w:r w:rsidRPr="0080287F">
        <w:rPr>
          <w:i/>
          <w:iCs/>
          <w:lang w:eastAsia="es-CR"/>
        </w:rPr>
        <w:t xml:space="preserve">The frequency bands 275-296 GHz, 306-313 GHz, 318-333 GHz and 356-450 GHz are identified for use by administrations for the implementation of land mobile and fixed service applications, where no specific conditions are necessary to protect Earth exploration-satellite service (passive) applications. </w:t>
      </w:r>
    </w:p>
    <w:p w14:paraId="14676373" w14:textId="77777777" w:rsidR="003F78DC" w:rsidRPr="0080287F" w:rsidRDefault="003F78DC" w:rsidP="003F78DC">
      <w:pPr>
        <w:pStyle w:val="Note"/>
        <w:rPr>
          <w:i/>
          <w:iCs/>
          <w:lang w:eastAsia="es-CR"/>
        </w:rPr>
      </w:pPr>
      <w:r w:rsidRPr="0080287F">
        <w:rPr>
          <w:i/>
          <w:iCs/>
          <w:lang w:eastAsia="es-CR"/>
        </w:rPr>
        <w:t>The frequency bands 296-306 GHz, 313-318 GHz and 333-356 GHz may only be used by fixed and land mobile service applications when specific conditions to ensure the protection of Earth exploration-satellite service (passive) applications are determined in accordance with Resolution </w:t>
      </w:r>
      <w:r w:rsidRPr="0080287F">
        <w:rPr>
          <w:b/>
          <w:bCs/>
          <w:i/>
          <w:iCs/>
          <w:lang w:eastAsia="es-CR"/>
        </w:rPr>
        <w:t>731 (Rev.WRC-19)</w:t>
      </w:r>
      <w:r w:rsidRPr="0080287F">
        <w:rPr>
          <w:i/>
          <w:iCs/>
          <w:lang w:eastAsia="es-CR"/>
        </w:rPr>
        <w:t>.</w:t>
      </w:r>
    </w:p>
    <w:p w14:paraId="5D5EE3DB" w14:textId="77777777" w:rsidR="003F78DC" w:rsidRPr="0080287F" w:rsidRDefault="003F78DC" w:rsidP="003F78DC">
      <w:pPr>
        <w:pStyle w:val="Note"/>
        <w:rPr>
          <w:i/>
          <w:iCs/>
          <w:lang w:eastAsia="es-CR"/>
        </w:rPr>
      </w:pPr>
      <w:r w:rsidRPr="0080287F">
        <w:rPr>
          <w:i/>
          <w:iCs/>
          <w:lang w:eastAsia="es-CR"/>
        </w:rPr>
        <w:t>In those portions of the frequency range 275-450 GHz where radio astronomy applications are used, specific conditions (e.g. minimum separation distances and/or avoidance angles) may be necessary to ensure protection of radio astronomy sites from land mobile and/or fixed service applications, on a case-by-case basis in accordance with Resolution </w:t>
      </w:r>
      <w:r w:rsidRPr="0080287F">
        <w:rPr>
          <w:b/>
          <w:bCs/>
          <w:i/>
          <w:iCs/>
          <w:lang w:eastAsia="es-CR"/>
        </w:rPr>
        <w:t>731 (Rev.WRC-19)</w:t>
      </w:r>
      <w:r w:rsidRPr="0080287F">
        <w:rPr>
          <w:i/>
          <w:iCs/>
          <w:lang w:eastAsia="es-CR"/>
        </w:rPr>
        <w:t>.</w:t>
      </w:r>
    </w:p>
    <w:p w14:paraId="1C58216D" w14:textId="77777777" w:rsidR="003F78DC" w:rsidRPr="0080287F" w:rsidRDefault="003F78DC" w:rsidP="003F78DC">
      <w:pPr>
        <w:pStyle w:val="Note"/>
        <w:rPr>
          <w:rFonts w:ascii="Calibri" w:hAnsi="Calibri" w:cs="Calibri"/>
          <w:i/>
          <w:iCs/>
        </w:rPr>
      </w:pPr>
      <w:r w:rsidRPr="0080287F">
        <w:rPr>
          <w:i/>
          <w:iCs/>
        </w:rPr>
        <w:t>The use of the above-mentioned frequency bands by land mobile and fixed service applications does not preclude use by, and does not establish priority over, any other applications of radio services in the range of 275-450 GHz.</w:t>
      </w:r>
      <w:r w:rsidRPr="0080287F">
        <w:rPr>
          <w:i/>
          <w:iCs/>
          <w:sz w:val="14"/>
          <w:szCs w:val="14"/>
          <w:lang w:eastAsia="es-CR"/>
        </w:rPr>
        <w:t xml:space="preserve">      (WRC</w:t>
      </w:r>
      <w:r w:rsidRPr="0080287F">
        <w:rPr>
          <w:i/>
          <w:iCs/>
          <w:sz w:val="14"/>
          <w:szCs w:val="14"/>
          <w:lang w:eastAsia="es-CR"/>
        </w:rPr>
        <w:noBreakHyphen/>
        <w:t>19)</w:t>
      </w:r>
    </w:p>
    <w:p w14:paraId="7C071668" w14:textId="77777777" w:rsidR="003F78DC" w:rsidRPr="0080287F" w:rsidRDefault="003F78DC" w:rsidP="003F78DC">
      <w:pPr>
        <w:jc w:val="both"/>
        <w:rPr>
          <w:lang w:eastAsia="ja-JP"/>
        </w:rPr>
      </w:pPr>
      <w:r w:rsidRPr="0080287F">
        <w:rPr>
          <w:lang w:eastAsia="ja-JP"/>
        </w:rPr>
        <w:lastRenderedPageBreak/>
        <w:t xml:space="preserve">The results of sharing and compatibility studies between LMS and FS applications planning to operate in the frequency range 275-450 GHz and passive services (radio astronomy service and Earth exploration-satellite service (passive)) that have been done pre-WRC-19 in </w:t>
      </w:r>
      <w:hyperlink r:id="rId11" w:history="1">
        <w:r w:rsidRPr="0080287F">
          <w:t xml:space="preserve">Report </w:t>
        </w:r>
        <w:r w:rsidRPr="0080287F">
          <w:rPr>
            <w:color w:val="0000FF" w:themeColor="hyperlink"/>
            <w:u w:val="single"/>
          </w:rPr>
          <w:t>ITU-R SM.2450</w:t>
        </w:r>
      </w:hyperlink>
      <w:r w:rsidRPr="0080287F">
        <w:rPr>
          <w:color w:val="0000FF" w:themeColor="hyperlink"/>
          <w:u w:val="single"/>
        </w:rPr>
        <w:t xml:space="preserve"> </w:t>
      </w:r>
      <w:r w:rsidRPr="0080287F">
        <w:rPr>
          <w:lang w:eastAsia="ja-JP"/>
        </w:rPr>
        <w:t>remain valid; however, these studies conducted prior to WRC-19 did not seek to develop specific conditions (such as power limits, shielding requirements and/or elevation angle restrictions, etc.) that could facilitate sharing with EESS and focused on identifying spectrum for LMS/FS applications, where such restrictions would not be necessary to protect the passive services.</w:t>
      </w:r>
    </w:p>
    <w:bookmarkEnd w:id="9"/>
    <w:p w14:paraId="36F37C62" w14:textId="77777777" w:rsidR="003F78DC" w:rsidRPr="0080287F" w:rsidRDefault="003F78DC" w:rsidP="003F78DC">
      <w:pPr>
        <w:pStyle w:val="Heading1"/>
        <w:rPr>
          <w:b w:val="0"/>
        </w:rPr>
      </w:pPr>
      <w:r w:rsidRPr="0080287F">
        <w:t>2</w:t>
      </w:r>
      <w:r w:rsidRPr="0080287F">
        <w:tab/>
        <w:t>Related Recommendations and Reports</w:t>
      </w:r>
    </w:p>
    <w:tbl>
      <w:tblPr>
        <w:tblW w:w="9709" w:type="dxa"/>
        <w:tblLayout w:type="fixed"/>
        <w:tblCellMar>
          <w:left w:w="57" w:type="dxa"/>
          <w:right w:w="28" w:type="dxa"/>
        </w:tblCellMar>
        <w:tblLook w:val="0000" w:firstRow="0" w:lastRow="0" w:firstColumn="0" w:lastColumn="0" w:noHBand="0" w:noVBand="0"/>
      </w:tblPr>
      <w:tblGrid>
        <w:gridCol w:w="3544"/>
        <w:gridCol w:w="6165"/>
      </w:tblGrid>
      <w:tr w:rsidR="003F78DC" w:rsidRPr="0080287F" w14:paraId="6E594FA6" w14:textId="77777777" w:rsidTr="008E63C8">
        <w:tc>
          <w:tcPr>
            <w:tcW w:w="3544" w:type="dxa"/>
          </w:tcPr>
          <w:p w14:paraId="35F784F5" w14:textId="77777777" w:rsidR="003F78DC" w:rsidRPr="0080287F" w:rsidRDefault="0054197E" w:rsidP="008E63C8">
            <w:pPr>
              <w:rPr>
                <w:color w:val="000000" w:themeColor="text1"/>
              </w:rPr>
            </w:pPr>
            <w:hyperlink r:id="rId12" w:history="1">
              <w:r w:rsidR="003F78DC" w:rsidRPr="0080287F">
                <w:t xml:space="preserve">Recommendation </w:t>
              </w:r>
              <w:r w:rsidR="003F78DC" w:rsidRPr="0080287F">
                <w:rPr>
                  <w:color w:val="0000FF" w:themeColor="hyperlink"/>
                  <w:szCs w:val="24"/>
                  <w:u w:val="single"/>
                </w:rPr>
                <w:t>ITU-R M.1825</w:t>
              </w:r>
            </w:hyperlink>
            <w:r w:rsidR="003F78DC" w:rsidRPr="0080287F">
              <w:rPr>
                <w:color w:val="000000" w:themeColor="text1"/>
                <w:szCs w:val="24"/>
                <w:u w:val="single"/>
              </w:rPr>
              <w:t>:</w:t>
            </w:r>
          </w:p>
        </w:tc>
        <w:tc>
          <w:tcPr>
            <w:tcW w:w="6165" w:type="dxa"/>
          </w:tcPr>
          <w:p w14:paraId="73B47E2C" w14:textId="77777777" w:rsidR="003F78DC" w:rsidRPr="0080287F" w:rsidRDefault="003F78DC" w:rsidP="008E63C8">
            <w:pPr>
              <w:rPr>
                <w:iCs/>
              </w:rPr>
            </w:pPr>
            <w:r w:rsidRPr="0080287F">
              <w:rPr>
                <w:color w:val="000000"/>
                <w:szCs w:val="24"/>
                <w:lang w:eastAsia="zh-CN"/>
              </w:rPr>
              <w:t>Guidance on technical parameters and methodologies for sharing studies related to systems in the land mobile service</w:t>
            </w:r>
          </w:p>
        </w:tc>
      </w:tr>
      <w:tr w:rsidR="003F78DC" w:rsidRPr="0080287F" w14:paraId="1F86150A" w14:textId="77777777" w:rsidTr="008E63C8">
        <w:tc>
          <w:tcPr>
            <w:tcW w:w="3544" w:type="dxa"/>
          </w:tcPr>
          <w:p w14:paraId="73518245" w14:textId="314E49C3" w:rsidR="003F78DC" w:rsidRPr="0080287F" w:rsidRDefault="0054197E" w:rsidP="008E63C8">
            <w:hyperlink r:id="rId13" w:history="1">
              <w:r w:rsidR="003F78DC" w:rsidRPr="0080287F">
                <w:t xml:space="preserve">Recommendation </w:t>
              </w:r>
              <w:r w:rsidR="003F78DC" w:rsidRPr="0080287F">
                <w:rPr>
                  <w:color w:val="0000FF" w:themeColor="hyperlink"/>
                  <w:u w:val="single"/>
                </w:rPr>
                <w:t>ITU-R P.676</w:t>
              </w:r>
            </w:hyperlink>
            <w:r w:rsidR="003F78DC" w:rsidRPr="0080287F">
              <w:t>:</w:t>
            </w:r>
          </w:p>
        </w:tc>
        <w:tc>
          <w:tcPr>
            <w:tcW w:w="6165" w:type="dxa"/>
          </w:tcPr>
          <w:p w14:paraId="18FF91B9" w14:textId="77777777" w:rsidR="003F78DC" w:rsidRPr="0080287F" w:rsidRDefault="003F78DC" w:rsidP="008E63C8">
            <w:pPr>
              <w:rPr>
                <w:iCs/>
              </w:rPr>
            </w:pPr>
            <w:r w:rsidRPr="0080287F">
              <w:rPr>
                <w:iCs/>
              </w:rPr>
              <w:t>Attenuation by atmospheric gases</w:t>
            </w:r>
          </w:p>
        </w:tc>
      </w:tr>
      <w:tr w:rsidR="003F78DC" w:rsidRPr="0080287F" w14:paraId="4A9E0785" w14:textId="77777777" w:rsidTr="008E63C8">
        <w:tc>
          <w:tcPr>
            <w:tcW w:w="3544" w:type="dxa"/>
          </w:tcPr>
          <w:p w14:paraId="75E1E843" w14:textId="77777777" w:rsidR="003F78DC" w:rsidRPr="0080287F" w:rsidRDefault="0054197E" w:rsidP="008E63C8">
            <w:hyperlink r:id="rId14" w:history="1">
              <w:r w:rsidR="003F78DC" w:rsidRPr="0080287F">
                <w:t xml:space="preserve">Recommendation </w:t>
              </w:r>
              <w:r w:rsidR="003F78DC" w:rsidRPr="0080287F">
                <w:rPr>
                  <w:color w:val="0000FF" w:themeColor="hyperlink"/>
                  <w:u w:val="single"/>
                </w:rPr>
                <w:t>ITU-R P.838</w:t>
              </w:r>
            </w:hyperlink>
            <w:r w:rsidR="003F78DC" w:rsidRPr="0080287F">
              <w:t>:</w:t>
            </w:r>
          </w:p>
        </w:tc>
        <w:tc>
          <w:tcPr>
            <w:tcW w:w="6165" w:type="dxa"/>
          </w:tcPr>
          <w:p w14:paraId="7698450D" w14:textId="77777777" w:rsidR="003F78DC" w:rsidRPr="0080287F" w:rsidRDefault="003F78DC" w:rsidP="008E63C8">
            <w:pPr>
              <w:rPr>
                <w:iCs/>
              </w:rPr>
            </w:pPr>
            <w:r w:rsidRPr="0080287F">
              <w:rPr>
                <w:iCs/>
              </w:rPr>
              <w:t>Specific attenuation model for rain for use in prediction methods</w:t>
            </w:r>
          </w:p>
        </w:tc>
      </w:tr>
      <w:tr w:rsidR="003F78DC" w:rsidRPr="0080287F" w14:paraId="2340EADB" w14:textId="77777777" w:rsidTr="008E63C8">
        <w:tc>
          <w:tcPr>
            <w:tcW w:w="3544" w:type="dxa"/>
          </w:tcPr>
          <w:p w14:paraId="2B9366A3" w14:textId="77777777" w:rsidR="003F78DC" w:rsidRPr="0080287F" w:rsidRDefault="0054197E" w:rsidP="008E63C8">
            <w:hyperlink r:id="rId15" w:history="1">
              <w:r w:rsidR="003F78DC" w:rsidRPr="0080287F">
                <w:t xml:space="preserve">Recommendation </w:t>
              </w:r>
              <w:r w:rsidR="003F78DC" w:rsidRPr="0080287F">
                <w:rPr>
                  <w:color w:val="0000FF" w:themeColor="hyperlink"/>
                  <w:u w:val="single"/>
                </w:rPr>
                <w:t>ITU-R P.840</w:t>
              </w:r>
            </w:hyperlink>
            <w:r w:rsidR="003F78DC" w:rsidRPr="0080287F">
              <w:t>:</w:t>
            </w:r>
          </w:p>
        </w:tc>
        <w:tc>
          <w:tcPr>
            <w:tcW w:w="6165" w:type="dxa"/>
          </w:tcPr>
          <w:p w14:paraId="50D55594" w14:textId="77777777" w:rsidR="003F78DC" w:rsidRPr="0080287F" w:rsidRDefault="003F78DC" w:rsidP="008E63C8">
            <w:pPr>
              <w:rPr>
                <w:iCs/>
              </w:rPr>
            </w:pPr>
            <w:r w:rsidRPr="0080287F">
              <w:rPr>
                <w:iCs/>
              </w:rPr>
              <w:t>Attenuation due to clouds and fog</w:t>
            </w:r>
          </w:p>
        </w:tc>
      </w:tr>
      <w:tr w:rsidR="003F78DC" w:rsidRPr="0080287F" w14:paraId="1ADD44B7" w14:textId="77777777" w:rsidTr="008E63C8">
        <w:tc>
          <w:tcPr>
            <w:tcW w:w="3544" w:type="dxa"/>
          </w:tcPr>
          <w:p w14:paraId="0C7E901B" w14:textId="77777777" w:rsidR="003F78DC" w:rsidRPr="0080287F" w:rsidRDefault="0054197E" w:rsidP="008E63C8">
            <w:hyperlink r:id="rId16" w:history="1">
              <w:r w:rsidR="003F78DC" w:rsidRPr="0080287F">
                <w:t xml:space="preserve">Recommendation </w:t>
              </w:r>
              <w:r w:rsidR="003F78DC" w:rsidRPr="0080287F">
                <w:rPr>
                  <w:color w:val="0000FF" w:themeColor="hyperlink"/>
                  <w:u w:val="single"/>
                </w:rPr>
                <w:t>ITU-R P.2109</w:t>
              </w:r>
            </w:hyperlink>
            <w:r w:rsidR="003F78DC" w:rsidRPr="0080287F">
              <w:t>:</w:t>
            </w:r>
          </w:p>
        </w:tc>
        <w:tc>
          <w:tcPr>
            <w:tcW w:w="6165" w:type="dxa"/>
          </w:tcPr>
          <w:p w14:paraId="6E6B064A" w14:textId="77777777" w:rsidR="003F78DC" w:rsidRPr="0080287F" w:rsidRDefault="003F78DC" w:rsidP="008E63C8">
            <w:pPr>
              <w:rPr>
                <w:iCs/>
              </w:rPr>
            </w:pPr>
            <w:r w:rsidRPr="0080287F">
              <w:rPr>
                <w:iCs/>
              </w:rPr>
              <w:t>Prediction of building entry loss</w:t>
            </w:r>
          </w:p>
        </w:tc>
      </w:tr>
      <w:tr w:rsidR="003F78DC" w:rsidRPr="0080287F" w14:paraId="7FAA07CB" w14:textId="77777777" w:rsidTr="008E63C8">
        <w:tc>
          <w:tcPr>
            <w:tcW w:w="3544" w:type="dxa"/>
          </w:tcPr>
          <w:p w14:paraId="35A1CF76" w14:textId="77777777" w:rsidR="003F78DC" w:rsidRPr="0080287F" w:rsidRDefault="0054197E" w:rsidP="008E63C8">
            <w:hyperlink r:id="rId17" w:history="1">
              <w:r w:rsidR="003F78DC" w:rsidRPr="0080287F">
                <w:t xml:space="preserve">Recommendation </w:t>
              </w:r>
              <w:r w:rsidR="003F78DC" w:rsidRPr="0080287F">
                <w:rPr>
                  <w:color w:val="0000FF" w:themeColor="hyperlink"/>
                  <w:u w:val="single"/>
                </w:rPr>
                <w:t>ITU-R RS.2017</w:t>
              </w:r>
            </w:hyperlink>
            <w:r w:rsidR="003F78DC" w:rsidRPr="0080287F">
              <w:rPr>
                <w:szCs w:val="24"/>
              </w:rPr>
              <w:t>:</w:t>
            </w:r>
          </w:p>
        </w:tc>
        <w:tc>
          <w:tcPr>
            <w:tcW w:w="6165" w:type="dxa"/>
          </w:tcPr>
          <w:p w14:paraId="1BA0B770" w14:textId="77777777" w:rsidR="003F78DC" w:rsidRPr="0080287F" w:rsidRDefault="003F78DC" w:rsidP="008E63C8">
            <w:pPr>
              <w:rPr>
                <w:bCs/>
                <w:iCs/>
              </w:rPr>
            </w:pPr>
            <w:r w:rsidRPr="0080287F">
              <w:rPr>
                <w:bCs/>
                <w:szCs w:val="24"/>
              </w:rPr>
              <w:t>Performance and interference criteria for satellite passive remote sensing</w:t>
            </w:r>
          </w:p>
        </w:tc>
      </w:tr>
      <w:tr w:rsidR="003F78DC" w:rsidRPr="0080287F" w14:paraId="29636C70" w14:textId="77777777" w:rsidTr="008E63C8">
        <w:tc>
          <w:tcPr>
            <w:tcW w:w="3544" w:type="dxa"/>
          </w:tcPr>
          <w:p w14:paraId="38F9FB38" w14:textId="77777777" w:rsidR="003F78DC" w:rsidRPr="0080287F" w:rsidRDefault="003F78DC" w:rsidP="008E63C8">
            <w:r w:rsidRPr="0080287F">
              <w:t xml:space="preserve">Report </w:t>
            </w:r>
            <w:hyperlink r:id="rId18" w:history="1">
              <w:r w:rsidRPr="0080287F">
                <w:rPr>
                  <w:color w:val="0000FF" w:themeColor="hyperlink"/>
                  <w:u w:val="single"/>
                </w:rPr>
                <w:t>ITU-R M.2417</w:t>
              </w:r>
            </w:hyperlink>
            <w:r w:rsidRPr="0080287F">
              <w:t>:</w:t>
            </w:r>
          </w:p>
        </w:tc>
        <w:tc>
          <w:tcPr>
            <w:tcW w:w="6165" w:type="dxa"/>
          </w:tcPr>
          <w:p w14:paraId="69277293" w14:textId="77777777" w:rsidR="003F78DC" w:rsidRPr="0080287F" w:rsidRDefault="003F78DC" w:rsidP="008E63C8">
            <w:pPr>
              <w:rPr>
                <w:iCs/>
              </w:rPr>
            </w:pPr>
            <w:r w:rsidRPr="0080287F">
              <w:rPr>
                <w:iCs/>
              </w:rPr>
              <w:t>Technical and operational characteristics of land-mobile service applications in the frequency range 275-450 GHz</w:t>
            </w:r>
          </w:p>
        </w:tc>
      </w:tr>
      <w:tr w:rsidR="003F78DC" w:rsidRPr="0080287F" w14:paraId="590EEDA3" w14:textId="77777777" w:rsidTr="008E63C8">
        <w:tc>
          <w:tcPr>
            <w:tcW w:w="3544" w:type="dxa"/>
          </w:tcPr>
          <w:p w14:paraId="6643C1E7" w14:textId="77777777" w:rsidR="003F78DC" w:rsidRPr="0080287F" w:rsidRDefault="0054197E" w:rsidP="008E63C8">
            <w:hyperlink r:id="rId19" w:history="1">
              <w:r w:rsidR="003F78DC" w:rsidRPr="0080287F">
                <w:t xml:space="preserve">Report </w:t>
              </w:r>
              <w:r w:rsidR="003F78DC" w:rsidRPr="0080287F">
                <w:rPr>
                  <w:color w:val="0000FF" w:themeColor="hyperlink"/>
                  <w:u w:val="single"/>
                </w:rPr>
                <w:t>ITU-R RS.2431</w:t>
              </w:r>
            </w:hyperlink>
            <w:r w:rsidR="003F78DC" w:rsidRPr="0080287F">
              <w:t>:</w:t>
            </w:r>
          </w:p>
        </w:tc>
        <w:tc>
          <w:tcPr>
            <w:tcW w:w="6165" w:type="dxa"/>
          </w:tcPr>
          <w:p w14:paraId="5072A41E" w14:textId="77777777" w:rsidR="003F78DC" w:rsidRPr="0080287F" w:rsidRDefault="003F78DC" w:rsidP="008E63C8">
            <w:pPr>
              <w:rPr>
                <w:iCs/>
              </w:rPr>
            </w:pPr>
            <w:r w:rsidRPr="0080287F">
              <w:rPr>
                <w:iCs/>
              </w:rPr>
              <w:t>Technical and operational characteristics of EESS (passive) systems in the frequency range 275-450 GHz</w:t>
            </w:r>
          </w:p>
        </w:tc>
      </w:tr>
      <w:tr w:rsidR="003F78DC" w:rsidRPr="0080287F" w14:paraId="5FC645B9" w14:textId="77777777" w:rsidTr="008E63C8">
        <w:tc>
          <w:tcPr>
            <w:tcW w:w="3544" w:type="dxa"/>
          </w:tcPr>
          <w:p w14:paraId="2CBF5EC8" w14:textId="77777777" w:rsidR="003F78DC" w:rsidRPr="0080287F" w:rsidRDefault="0054197E" w:rsidP="008E63C8">
            <w:hyperlink r:id="rId20" w:history="1">
              <w:r w:rsidR="003F78DC" w:rsidRPr="0080287F">
                <w:t xml:space="preserve">Report </w:t>
              </w:r>
              <w:r w:rsidR="003F78DC" w:rsidRPr="0080287F">
                <w:rPr>
                  <w:color w:val="0000FF" w:themeColor="hyperlink"/>
                  <w:u w:val="single"/>
                </w:rPr>
                <w:t>ITU-R SM.2352</w:t>
              </w:r>
            </w:hyperlink>
            <w:r w:rsidR="003F78DC" w:rsidRPr="0080287F">
              <w:t>:</w:t>
            </w:r>
          </w:p>
        </w:tc>
        <w:tc>
          <w:tcPr>
            <w:tcW w:w="6165" w:type="dxa"/>
          </w:tcPr>
          <w:p w14:paraId="44A3ECF5" w14:textId="77777777" w:rsidR="003F78DC" w:rsidRPr="0080287F" w:rsidRDefault="003F78DC" w:rsidP="008E63C8">
            <w:pPr>
              <w:rPr>
                <w:iCs/>
              </w:rPr>
            </w:pPr>
            <w:r w:rsidRPr="0080287F">
              <w:rPr>
                <w:iCs/>
              </w:rPr>
              <w:t>Technology trends of active services in the frequency range 275</w:t>
            </w:r>
            <w:r w:rsidRPr="0080287F">
              <w:rPr>
                <w:iCs/>
              </w:rPr>
              <w:noBreakHyphen/>
              <w:t>3 000 GHz</w:t>
            </w:r>
          </w:p>
        </w:tc>
      </w:tr>
      <w:tr w:rsidR="003F78DC" w:rsidRPr="0080287F" w14:paraId="5DCBB88E" w14:textId="77777777" w:rsidTr="008E63C8">
        <w:tc>
          <w:tcPr>
            <w:tcW w:w="3544" w:type="dxa"/>
          </w:tcPr>
          <w:p w14:paraId="546DB86D" w14:textId="77777777" w:rsidR="003F78DC" w:rsidRPr="0080287F" w:rsidRDefault="0054197E" w:rsidP="008E63C8">
            <w:hyperlink r:id="rId21" w:history="1">
              <w:r w:rsidR="003F78DC" w:rsidRPr="0080287F">
                <w:t xml:space="preserve">Report </w:t>
              </w:r>
              <w:r w:rsidR="003F78DC" w:rsidRPr="0080287F">
                <w:rPr>
                  <w:color w:val="0000FF" w:themeColor="hyperlink"/>
                  <w:u w:val="single"/>
                </w:rPr>
                <w:t>ITU-R SM.2450</w:t>
              </w:r>
            </w:hyperlink>
            <w:r w:rsidR="003F78DC" w:rsidRPr="0080287F">
              <w:t>:</w:t>
            </w:r>
          </w:p>
        </w:tc>
        <w:tc>
          <w:tcPr>
            <w:tcW w:w="6165" w:type="dxa"/>
          </w:tcPr>
          <w:p w14:paraId="10490EDC" w14:textId="77777777" w:rsidR="003F78DC" w:rsidRPr="0080287F" w:rsidRDefault="003F78DC" w:rsidP="008E63C8">
            <w:pPr>
              <w:rPr>
                <w:iCs/>
              </w:rPr>
            </w:pPr>
            <w:r w:rsidRPr="0080287F">
              <w:t>Sharing and compatibility studies between land-mobile, fixed and passive services in the frequency range 275-450 GHz</w:t>
            </w:r>
          </w:p>
        </w:tc>
      </w:tr>
      <w:tr w:rsidR="003F78DC" w:rsidRPr="0080287F" w14:paraId="0424BABF" w14:textId="77777777" w:rsidTr="008E63C8">
        <w:tc>
          <w:tcPr>
            <w:tcW w:w="3544" w:type="dxa"/>
          </w:tcPr>
          <w:p w14:paraId="6B7406FC" w14:textId="77777777" w:rsidR="003F78DC" w:rsidRPr="0080287F" w:rsidRDefault="003F78DC" w:rsidP="008E63C8">
            <w:r w:rsidRPr="0080287F">
              <w:t>…</w:t>
            </w:r>
          </w:p>
        </w:tc>
        <w:tc>
          <w:tcPr>
            <w:tcW w:w="6165" w:type="dxa"/>
          </w:tcPr>
          <w:p w14:paraId="5D3CE4DC" w14:textId="77777777" w:rsidR="003F78DC" w:rsidRPr="0080287F" w:rsidRDefault="003F78DC" w:rsidP="008E63C8"/>
        </w:tc>
      </w:tr>
    </w:tbl>
    <w:p w14:paraId="101CD74E" w14:textId="77777777" w:rsidR="003F78DC" w:rsidRPr="0080287F" w:rsidRDefault="003F78DC" w:rsidP="003F78DC">
      <w:pPr>
        <w:pStyle w:val="Heading1"/>
        <w:rPr>
          <w:b w:val="0"/>
        </w:rPr>
      </w:pPr>
      <w:r w:rsidRPr="0080287F">
        <w:t>3</w:t>
      </w:r>
      <w:r w:rsidRPr="0080287F">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3F78DC" w:rsidRPr="0080287F" w14:paraId="62BCA737" w14:textId="77777777" w:rsidTr="008E63C8">
        <w:tc>
          <w:tcPr>
            <w:tcW w:w="1134" w:type="dxa"/>
          </w:tcPr>
          <w:p w14:paraId="3D7C7B5E" w14:textId="77777777" w:rsidR="003F78DC" w:rsidRPr="0080287F" w:rsidRDefault="003F78DC" w:rsidP="008E63C8">
            <w:r w:rsidRPr="0080287F">
              <w:t>…</w:t>
            </w:r>
          </w:p>
        </w:tc>
        <w:tc>
          <w:tcPr>
            <w:tcW w:w="8476" w:type="dxa"/>
          </w:tcPr>
          <w:p w14:paraId="6B95892E" w14:textId="77777777" w:rsidR="003F78DC" w:rsidRPr="0080287F" w:rsidRDefault="003F78DC" w:rsidP="008E63C8"/>
        </w:tc>
      </w:tr>
      <w:tr w:rsidR="003F78DC" w:rsidRPr="0080287F" w14:paraId="24047FEA" w14:textId="77777777" w:rsidTr="008E63C8">
        <w:tc>
          <w:tcPr>
            <w:tcW w:w="1134" w:type="dxa"/>
          </w:tcPr>
          <w:p w14:paraId="7A67CC68" w14:textId="77777777" w:rsidR="003F78DC" w:rsidRPr="0080287F" w:rsidRDefault="003F78DC" w:rsidP="008E63C8"/>
        </w:tc>
        <w:tc>
          <w:tcPr>
            <w:tcW w:w="8476" w:type="dxa"/>
          </w:tcPr>
          <w:p w14:paraId="7B19B367" w14:textId="77777777" w:rsidR="003F78DC" w:rsidRPr="0080287F" w:rsidRDefault="003F78DC" w:rsidP="008E63C8"/>
        </w:tc>
      </w:tr>
    </w:tbl>
    <w:p w14:paraId="5BABF379" w14:textId="77777777" w:rsidR="003F78DC" w:rsidRPr="0080287F" w:rsidRDefault="003F78DC" w:rsidP="003F78DC">
      <w:pPr>
        <w:pStyle w:val="Heading1"/>
      </w:pPr>
      <w:r w:rsidRPr="0080287F">
        <w:t>4</w:t>
      </w:r>
      <w:r w:rsidRPr="0080287F">
        <w:tab/>
        <w:t>System characteristics of Earth exploration-satellite service (passive) operating in the frequency range 275-450 GHz, relevant for the mobile service</w:t>
      </w:r>
    </w:p>
    <w:p w14:paraId="6EA83D06" w14:textId="77777777" w:rsidR="003F78DC" w:rsidRPr="0080287F" w:rsidRDefault="003F78DC" w:rsidP="003F78DC">
      <w:pPr>
        <w:pStyle w:val="Heading2"/>
      </w:pPr>
      <w:r w:rsidRPr="0080287F">
        <w:t>4.</w:t>
      </w:r>
      <w:r w:rsidRPr="0080287F">
        <w:rPr>
          <w:lang w:eastAsia="ko-KR"/>
        </w:rPr>
        <w:t>1</w:t>
      </w:r>
      <w:r w:rsidRPr="0080287F">
        <w:rPr>
          <w:i/>
          <w:iCs/>
        </w:rPr>
        <w:tab/>
      </w:r>
      <w:r w:rsidRPr="0080287F">
        <w:t>Technical characteristics</w:t>
      </w:r>
    </w:p>
    <w:p w14:paraId="473A07BD" w14:textId="77777777" w:rsidR="003F78DC" w:rsidRPr="0080287F" w:rsidRDefault="003F78DC" w:rsidP="003F78DC">
      <w:pPr>
        <w:pStyle w:val="EditorsNote"/>
      </w:pPr>
      <w:r w:rsidRPr="0080287F">
        <w:t xml:space="preserve">[Editor’s note: Summarize key elements from Recommendation </w:t>
      </w:r>
      <w:hyperlink r:id="rId22" w:history="1">
        <w:r w:rsidRPr="0080287F">
          <w:rPr>
            <w:color w:val="0000FF" w:themeColor="hyperlink"/>
            <w:u w:val="single"/>
          </w:rPr>
          <w:t>ITU-R RS.2017</w:t>
        </w:r>
      </w:hyperlink>
      <w:r w:rsidRPr="0080287F">
        <w:t>.]</w:t>
      </w:r>
    </w:p>
    <w:p w14:paraId="1847C18B" w14:textId="77777777" w:rsidR="003F78DC" w:rsidRPr="00790C43" w:rsidRDefault="003F78DC" w:rsidP="003F78DC">
      <w:pPr>
        <w:pStyle w:val="TableNo"/>
        <w:rPr>
          <w:lang w:val="fr-FR"/>
        </w:rPr>
      </w:pPr>
      <w:r w:rsidRPr="00790C43">
        <w:rPr>
          <w:lang w:val="fr-FR"/>
        </w:rPr>
        <w:lastRenderedPageBreak/>
        <w:t>Table 1</w:t>
      </w:r>
      <w:r w:rsidRPr="00790C43">
        <w:rPr>
          <w:lang w:val="fr-FR"/>
        </w:rPr>
        <w:br/>
        <w:t>(</w:t>
      </w:r>
      <w:r w:rsidRPr="00790C43">
        <w:rPr>
          <w:caps w:val="0"/>
          <w:lang w:val="fr-FR"/>
        </w:rPr>
        <w:t>Source</w:t>
      </w:r>
      <w:r w:rsidRPr="00790C43">
        <w:rPr>
          <w:lang w:val="fr-FR"/>
        </w:rPr>
        <w:t xml:space="preserve">: </w:t>
      </w:r>
      <w:r w:rsidRPr="00790C43">
        <w:rPr>
          <w:caps w:val="0"/>
          <w:lang w:val="fr-FR"/>
        </w:rPr>
        <w:t xml:space="preserve">Recommendation </w:t>
      </w:r>
      <w:r w:rsidRPr="00790C43">
        <w:rPr>
          <w:lang w:val="fr-FR"/>
        </w:rPr>
        <w:t xml:space="preserve">ITU-R RS.2017) </w:t>
      </w:r>
    </w:p>
    <w:p w14:paraId="13D8A9D8" w14:textId="77777777" w:rsidR="003F78DC" w:rsidRPr="0080287F" w:rsidRDefault="003F78DC" w:rsidP="003F78DC">
      <w:pPr>
        <w:pStyle w:val="Tabletitle"/>
      </w:pPr>
      <w:r w:rsidRPr="0080287F">
        <w:t>Performance criteria for satellite passive remote sensing in the frequency range 296-306 GHz and 313-355.6 GHz</w:t>
      </w:r>
    </w:p>
    <w:tbl>
      <w:tblPr>
        <w:tblW w:w="9639" w:type="dxa"/>
        <w:jc w:val="center"/>
        <w:tblLayout w:type="fixed"/>
        <w:tblLook w:val="0000" w:firstRow="0" w:lastRow="0" w:firstColumn="0" w:lastColumn="0" w:noHBand="0" w:noVBand="0"/>
      </w:tblPr>
      <w:tblGrid>
        <w:gridCol w:w="2410"/>
        <w:gridCol w:w="2410"/>
        <w:gridCol w:w="2409"/>
        <w:gridCol w:w="2410"/>
      </w:tblGrid>
      <w:tr w:rsidR="003F78DC" w:rsidRPr="00BF287D" w14:paraId="6ED55C5F" w14:textId="77777777" w:rsidTr="008E63C8">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79F88DB8" w14:textId="77777777" w:rsidR="003F78DC" w:rsidRPr="0080287F" w:rsidRDefault="003F78DC" w:rsidP="008E63C8">
            <w:pPr>
              <w:pStyle w:val="Tablehead"/>
            </w:pPr>
            <w:r w:rsidRPr="0080287F">
              <w:t xml:space="preserve">Frequency band(s) </w:t>
            </w:r>
            <w:r w:rsidRPr="0080287F">
              <w:br/>
              <w:t>(GHz)</w:t>
            </w:r>
          </w:p>
        </w:tc>
        <w:tc>
          <w:tcPr>
            <w:tcW w:w="2451" w:type="dxa"/>
            <w:tcBorders>
              <w:top w:val="single" w:sz="4" w:space="0" w:color="auto"/>
              <w:left w:val="single" w:sz="4" w:space="0" w:color="auto"/>
              <w:bottom w:val="single" w:sz="4" w:space="0" w:color="auto"/>
              <w:right w:val="single" w:sz="4" w:space="0" w:color="auto"/>
            </w:tcBorders>
          </w:tcPr>
          <w:p w14:paraId="4F61CC45" w14:textId="77777777" w:rsidR="003F78DC" w:rsidRPr="0080287F" w:rsidRDefault="003F78DC" w:rsidP="008E63C8">
            <w:pPr>
              <w:pStyle w:val="Tablehead"/>
            </w:pPr>
            <w:r w:rsidRPr="0080287F">
              <w:t>Required</w:t>
            </w:r>
            <w:r w:rsidRPr="0080287F">
              <w:br/>
            </w:r>
            <w:r w:rsidRPr="0080287F">
              <w:sym w:font="Symbol" w:char="F044"/>
            </w:r>
            <w:r w:rsidRPr="0080287F">
              <w:t>Te</w:t>
            </w:r>
            <w:r w:rsidRPr="0080287F">
              <w:br/>
              <w:t>(K)</w:t>
            </w:r>
          </w:p>
        </w:tc>
        <w:tc>
          <w:tcPr>
            <w:tcW w:w="2450" w:type="dxa"/>
            <w:tcBorders>
              <w:top w:val="single" w:sz="4" w:space="0" w:color="auto"/>
              <w:left w:val="single" w:sz="4" w:space="0" w:color="auto"/>
              <w:bottom w:val="single" w:sz="4" w:space="0" w:color="auto"/>
              <w:right w:val="single" w:sz="4" w:space="0" w:color="auto"/>
            </w:tcBorders>
          </w:tcPr>
          <w:p w14:paraId="75E659CA" w14:textId="77777777" w:rsidR="003F78DC" w:rsidRPr="0080287F" w:rsidRDefault="003F78DC" w:rsidP="008E63C8">
            <w:pPr>
              <w:pStyle w:val="Tablehead"/>
            </w:pPr>
            <w:r w:rsidRPr="0080287F">
              <w:t>Data</w:t>
            </w:r>
            <w:r w:rsidRPr="0080287F">
              <w:br/>
              <w:t>availability(1)</w:t>
            </w:r>
            <w:r w:rsidRPr="0080287F">
              <w:br/>
              <w:t>(%)</w:t>
            </w:r>
          </w:p>
        </w:tc>
        <w:tc>
          <w:tcPr>
            <w:tcW w:w="2451" w:type="dxa"/>
            <w:tcBorders>
              <w:top w:val="single" w:sz="4" w:space="0" w:color="auto"/>
              <w:left w:val="single" w:sz="4" w:space="0" w:color="auto"/>
              <w:bottom w:val="single" w:sz="4" w:space="0" w:color="auto"/>
              <w:right w:val="single" w:sz="4" w:space="0" w:color="auto"/>
            </w:tcBorders>
          </w:tcPr>
          <w:p w14:paraId="210F9BB6" w14:textId="77777777" w:rsidR="003F78DC" w:rsidRPr="00790C43" w:rsidRDefault="003F78DC" w:rsidP="008E63C8">
            <w:pPr>
              <w:pStyle w:val="Tablehead"/>
              <w:rPr>
                <w:lang w:val="fr-FR"/>
              </w:rPr>
            </w:pPr>
            <w:r w:rsidRPr="00790C43">
              <w:rPr>
                <w:lang w:val="fr-FR"/>
              </w:rPr>
              <w:t xml:space="preserve">Scan mode </w:t>
            </w:r>
            <w:r w:rsidRPr="00790C43">
              <w:rPr>
                <w:lang w:val="fr-FR"/>
              </w:rPr>
              <w:br/>
              <w:t>(N, C, L)(2)</w:t>
            </w:r>
          </w:p>
        </w:tc>
      </w:tr>
      <w:tr w:rsidR="003F78DC" w:rsidRPr="0080287F" w14:paraId="397D6981" w14:textId="77777777" w:rsidTr="008E63C8">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0A459EC1" w14:textId="77777777" w:rsidR="003F78DC" w:rsidRPr="0080287F" w:rsidRDefault="003F78DC" w:rsidP="008E63C8">
            <w:pPr>
              <w:pStyle w:val="Tabletext"/>
              <w:jc w:val="center"/>
            </w:pPr>
            <w:r w:rsidRPr="0080287F">
              <w:t>296-306</w:t>
            </w:r>
          </w:p>
        </w:tc>
        <w:tc>
          <w:tcPr>
            <w:tcW w:w="2451" w:type="dxa"/>
            <w:tcBorders>
              <w:top w:val="single" w:sz="4" w:space="0" w:color="auto"/>
              <w:left w:val="single" w:sz="4" w:space="0" w:color="auto"/>
              <w:bottom w:val="single" w:sz="4" w:space="0" w:color="auto"/>
              <w:right w:val="single" w:sz="4" w:space="0" w:color="auto"/>
            </w:tcBorders>
            <w:vAlign w:val="center"/>
          </w:tcPr>
          <w:p w14:paraId="2BE7F781" w14:textId="77777777" w:rsidR="003F78DC" w:rsidRPr="0080287F" w:rsidRDefault="003F78DC" w:rsidP="008E63C8">
            <w:pPr>
              <w:pStyle w:val="Tabletext"/>
              <w:jc w:val="center"/>
              <w:rPr>
                <w:vertAlign w:val="superscript"/>
              </w:rPr>
            </w:pPr>
            <w:r w:rsidRPr="0080287F">
              <w:t>0.2/0.005</w:t>
            </w:r>
            <w:r w:rsidRPr="0080287F">
              <w:rPr>
                <w:vertAlign w:val="superscript"/>
              </w:rPr>
              <w:t>(3)</w:t>
            </w:r>
          </w:p>
        </w:tc>
        <w:tc>
          <w:tcPr>
            <w:tcW w:w="2450" w:type="dxa"/>
            <w:tcBorders>
              <w:top w:val="single" w:sz="4" w:space="0" w:color="auto"/>
              <w:left w:val="single" w:sz="4" w:space="0" w:color="auto"/>
              <w:bottom w:val="single" w:sz="4" w:space="0" w:color="auto"/>
              <w:right w:val="single" w:sz="4" w:space="0" w:color="auto"/>
            </w:tcBorders>
            <w:vAlign w:val="center"/>
          </w:tcPr>
          <w:p w14:paraId="7D0EDBD6" w14:textId="77777777" w:rsidR="003F78DC" w:rsidRPr="0080287F" w:rsidRDefault="003F78DC" w:rsidP="008E63C8">
            <w:pPr>
              <w:pStyle w:val="Tabletext"/>
              <w:jc w:val="center"/>
              <w:rPr>
                <w:vertAlign w:val="superscript"/>
              </w:rPr>
            </w:pPr>
            <w:r w:rsidRPr="0080287F">
              <w:t>99.99/99</w:t>
            </w:r>
            <w:r w:rsidRPr="0080287F">
              <w:rPr>
                <w:vertAlign w:val="superscript"/>
              </w:rPr>
              <w:t>(3)</w:t>
            </w:r>
          </w:p>
        </w:tc>
        <w:tc>
          <w:tcPr>
            <w:tcW w:w="2451" w:type="dxa"/>
            <w:tcBorders>
              <w:top w:val="single" w:sz="4" w:space="0" w:color="auto"/>
              <w:left w:val="single" w:sz="4" w:space="0" w:color="auto"/>
              <w:bottom w:val="single" w:sz="4" w:space="0" w:color="auto"/>
              <w:right w:val="single" w:sz="4" w:space="0" w:color="auto"/>
            </w:tcBorders>
          </w:tcPr>
          <w:p w14:paraId="3E14A7FD" w14:textId="77777777" w:rsidR="003F78DC" w:rsidRPr="0080287F" w:rsidRDefault="003F78DC" w:rsidP="008E63C8">
            <w:pPr>
              <w:pStyle w:val="Tabletext"/>
              <w:jc w:val="center"/>
            </w:pPr>
            <w:r w:rsidRPr="0080287F">
              <w:t>N, L</w:t>
            </w:r>
          </w:p>
        </w:tc>
      </w:tr>
      <w:tr w:rsidR="003F78DC" w:rsidRPr="0080287F" w14:paraId="6E5A314D" w14:textId="77777777" w:rsidTr="008E63C8">
        <w:trPr>
          <w:trHeight w:val="25"/>
          <w:jc w:val="center"/>
        </w:trPr>
        <w:tc>
          <w:tcPr>
            <w:tcW w:w="2451" w:type="dxa"/>
            <w:tcBorders>
              <w:top w:val="single" w:sz="4" w:space="0" w:color="auto"/>
              <w:left w:val="single" w:sz="4" w:space="0" w:color="auto"/>
              <w:bottom w:val="single" w:sz="4" w:space="0" w:color="auto"/>
              <w:right w:val="single" w:sz="4" w:space="0" w:color="auto"/>
            </w:tcBorders>
          </w:tcPr>
          <w:p w14:paraId="1B45567A" w14:textId="77777777" w:rsidR="003F78DC" w:rsidRPr="0080287F" w:rsidRDefault="003F78DC" w:rsidP="008E63C8">
            <w:pPr>
              <w:pStyle w:val="Tabletext"/>
              <w:jc w:val="center"/>
            </w:pPr>
            <w:r w:rsidRPr="0080287F">
              <w:t>313.5-355.6</w:t>
            </w:r>
          </w:p>
        </w:tc>
        <w:tc>
          <w:tcPr>
            <w:tcW w:w="2451" w:type="dxa"/>
            <w:tcBorders>
              <w:top w:val="single" w:sz="4" w:space="0" w:color="auto"/>
              <w:left w:val="single" w:sz="4" w:space="0" w:color="auto"/>
              <w:bottom w:val="single" w:sz="4" w:space="0" w:color="auto"/>
              <w:right w:val="single" w:sz="4" w:space="0" w:color="auto"/>
            </w:tcBorders>
            <w:vAlign w:val="center"/>
          </w:tcPr>
          <w:p w14:paraId="4E134D47" w14:textId="77777777" w:rsidR="003F78DC" w:rsidRPr="0080287F" w:rsidRDefault="003F78DC" w:rsidP="008E63C8">
            <w:pPr>
              <w:pStyle w:val="Tabletext"/>
              <w:jc w:val="center"/>
              <w:rPr>
                <w:vertAlign w:val="superscript"/>
              </w:rPr>
            </w:pPr>
            <w:r w:rsidRPr="0080287F">
              <w:t>0.3/0.005</w:t>
            </w:r>
            <w:r w:rsidRPr="0080287F">
              <w:rPr>
                <w:vertAlign w:val="superscript"/>
              </w:rPr>
              <w:t>(3)</w:t>
            </w:r>
          </w:p>
        </w:tc>
        <w:tc>
          <w:tcPr>
            <w:tcW w:w="2450" w:type="dxa"/>
            <w:tcBorders>
              <w:top w:val="single" w:sz="4" w:space="0" w:color="auto"/>
              <w:left w:val="single" w:sz="4" w:space="0" w:color="auto"/>
              <w:bottom w:val="single" w:sz="4" w:space="0" w:color="auto"/>
              <w:right w:val="single" w:sz="4" w:space="0" w:color="auto"/>
            </w:tcBorders>
            <w:vAlign w:val="center"/>
          </w:tcPr>
          <w:p w14:paraId="55887728" w14:textId="77777777" w:rsidR="003F78DC" w:rsidRPr="0080287F" w:rsidRDefault="003F78DC" w:rsidP="008E63C8">
            <w:pPr>
              <w:pStyle w:val="Tabletext"/>
              <w:jc w:val="center"/>
              <w:rPr>
                <w:vertAlign w:val="superscript"/>
              </w:rPr>
            </w:pPr>
            <w:r w:rsidRPr="0080287F">
              <w:t>99.99/99</w:t>
            </w:r>
            <w:r w:rsidRPr="0080287F">
              <w:rPr>
                <w:vertAlign w:val="superscript"/>
              </w:rPr>
              <w:t>(3)</w:t>
            </w:r>
          </w:p>
        </w:tc>
        <w:tc>
          <w:tcPr>
            <w:tcW w:w="2451" w:type="dxa"/>
            <w:tcBorders>
              <w:top w:val="single" w:sz="4" w:space="0" w:color="auto"/>
              <w:left w:val="single" w:sz="4" w:space="0" w:color="auto"/>
              <w:bottom w:val="single" w:sz="4" w:space="0" w:color="auto"/>
              <w:right w:val="single" w:sz="4" w:space="0" w:color="auto"/>
            </w:tcBorders>
          </w:tcPr>
          <w:p w14:paraId="6F50159E" w14:textId="77777777" w:rsidR="003F78DC" w:rsidRPr="0080287F" w:rsidRDefault="003F78DC" w:rsidP="008E63C8">
            <w:pPr>
              <w:pStyle w:val="Tabletext"/>
              <w:jc w:val="center"/>
            </w:pPr>
            <w:r w:rsidRPr="0080287F">
              <w:t>N, C, L</w:t>
            </w:r>
          </w:p>
        </w:tc>
      </w:tr>
      <w:tr w:rsidR="003F78DC" w:rsidRPr="0080287F" w14:paraId="6C8BE909" w14:textId="77777777" w:rsidTr="008E63C8">
        <w:trPr>
          <w:trHeight w:val="25"/>
          <w:jc w:val="center"/>
        </w:trPr>
        <w:tc>
          <w:tcPr>
            <w:tcW w:w="9803" w:type="dxa"/>
            <w:gridSpan w:val="4"/>
            <w:tcBorders>
              <w:top w:val="single" w:sz="4" w:space="0" w:color="auto"/>
            </w:tcBorders>
          </w:tcPr>
          <w:p w14:paraId="15224E30" w14:textId="77777777" w:rsidR="003F78DC" w:rsidRPr="0080287F" w:rsidRDefault="003F78DC" w:rsidP="008E63C8">
            <w:pPr>
              <w:pStyle w:val="Tablelegend"/>
            </w:pPr>
            <w:r w:rsidRPr="0080287F">
              <w:rPr>
                <w:vertAlign w:val="superscript"/>
              </w:rPr>
              <w:t>(1)</w:t>
            </w:r>
            <w:r w:rsidRPr="0080287F">
              <w:rPr>
                <w:vertAlign w:val="superscript"/>
              </w:rPr>
              <w:tab/>
            </w:r>
            <w:r w:rsidRPr="0080287F">
              <w:t>Data availability is the percentage of area or time for which accurate data is available for a specified sensor measurement area or sensor measurement time. For a 99.99% data availability, the measurement area is a square on the Earth of 2 000 000 km</w:t>
            </w:r>
            <w:r w:rsidRPr="0080287F">
              <w:rPr>
                <w:vertAlign w:val="superscript"/>
              </w:rPr>
              <w:t>2</w:t>
            </w:r>
            <w:r w:rsidRPr="0080287F">
              <w:t>, unless otherwise justified; for a 99.9% data availability, the measurement area is a square on the Earth of 10 000 000 km</w:t>
            </w:r>
            <w:r w:rsidRPr="0080287F">
              <w:rPr>
                <w:vertAlign w:val="superscript"/>
              </w:rPr>
              <w:t>2</w:t>
            </w:r>
            <w:r w:rsidRPr="0080287F">
              <w:t xml:space="preserve"> unless otherwise justified; for a 99% data availability the measurement time is 24 h, unless otherwise justified.</w:t>
            </w:r>
          </w:p>
          <w:p w14:paraId="601E3A9D" w14:textId="77777777" w:rsidR="003F78DC" w:rsidRPr="0080287F" w:rsidRDefault="003F78DC" w:rsidP="008E63C8">
            <w:pPr>
              <w:pStyle w:val="Tablelegend"/>
            </w:pPr>
            <w:r w:rsidRPr="0080287F">
              <w:rPr>
                <w:vertAlign w:val="superscript"/>
              </w:rPr>
              <w:t>(2)</w:t>
            </w:r>
            <w:r w:rsidRPr="0080287F">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p w14:paraId="02BB7533" w14:textId="77777777" w:rsidR="003F78DC" w:rsidRPr="0080287F" w:rsidRDefault="003F78DC" w:rsidP="008E63C8">
            <w:pPr>
              <w:pStyle w:val="Tablelegend"/>
            </w:pPr>
            <w:r w:rsidRPr="0080287F">
              <w:rPr>
                <w:vertAlign w:val="superscript"/>
              </w:rPr>
              <w:t>(3)</w:t>
            </w:r>
            <w:r w:rsidRPr="0080287F">
              <w:tab/>
              <w:t>First number for nadir or conical modes and second number for microwave limb sounding applications.</w:t>
            </w:r>
          </w:p>
        </w:tc>
      </w:tr>
    </w:tbl>
    <w:p w14:paraId="4E77F15C" w14:textId="77777777" w:rsidR="003F78DC" w:rsidRPr="0080287F" w:rsidRDefault="003F78DC" w:rsidP="003F78DC">
      <w:pPr>
        <w:pStyle w:val="Tablefin"/>
      </w:pPr>
    </w:p>
    <w:p w14:paraId="6A734756" w14:textId="77777777" w:rsidR="003F78DC" w:rsidRPr="00790C43" w:rsidRDefault="003F78DC" w:rsidP="003F78DC">
      <w:pPr>
        <w:pStyle w:val="TableNo"/>
        <w:rPr>
          <w:lang w:val="fr-FR"/>
        </w:rPr>
      </w:pPr>
      <w:r w:rsidRPr="00790C43">
        <w:rPr>
          <w:lang w:val="fr-FR"/>
        </w:rPr>
        <w:t>TABLE 2</w:t>
      </w:r>
      <w:r w:rsidRPr="00790C43">
        <w:rPr>
          <w:lang w:val="fr-FR"/>
        </w:rPr>
        <w:br/>
        <w:t>(</w:t>
      </w:r>
      <w:r w:rsidRPr="00790C43">
        <w:rPr>
          <w:caps w:val="0"/>
          <w:lang w:val="fr-FR"/>
        </w:rPr>
        <w:t>Source</w:t>
      </w:r>
      <w:r w:rsidRPr="00790C43">
        <w:rPr>
          <w:lang w:val="fr-FR"/>
        </w:rPr>
        <w:t xml:space="preserve">: </w:t>
      </w:r>
      <w:r w:rsidRPr="00790C43">
        <w:rPr>
          <w:caps w:val="0"/>
          <w:lang w:val="fr-FR"/>
        </w:rPr>
        <w:t xml:space="preserve">Recommendation </w:t>
      </w:r>
      <w:r w:rsidRPr="00790C43">
        <w:rPr>
          <w:lang w:val="fr-FR"/>
        </w:rPr>
        <w:t>ITU-R RS.2017)</w:t>
      </w:r>
    </w:p>
    <w:p w14:paraId="6384A42D" w14:textId="77777777" w:rsidR="003F78DC" w:rsidRPr="0080287F" w:rsidRDefault="003F78DC" w:rsidP="003F78DC">
      <w:pPr>
        <w:pStyle w:val="Tabletitle"/>
      </w:pPr>
      <w:r w:rsidRPr="0080287F">
        <w:t xml:space="preserve">Interference criteria for satellite passive remote sensing </w:t>
      </w:r>
      <w:r w:rsidRPr="0080287F">
        <w:rPr>
          <w:lang w:eastAsia="ko-KR"/>
        </w:rPr>
        <w:t>in the frequency range 296-306 GHz and 313-355.6 GHz</w:t>
      </w:r>
    </w:p>
    <w:tbl>
      <w:tblPr>
        <w:tblStyle w:val="TableGrid"/>
        <w:tblW w:w="9639" w:type="dxa"/>
        <w:jc w:val="center"/>
        <w:tblLayout w:type="fixed"/>
        <w:tblLook w:val="0000" w:firstRow="0" w:lastRow="0" w:firstColumn="0" w:lastColumn="0" w:noHBand="0" w:noVBand="0"/>
      </w:tblPr>
      <w:tblGrid>
        <w:gridCol w:w="1928"/>
        <w:gridCol w:w="1746"/>
        <w:gridCol w:w="2109"/>
        <w:gridCol w:w="2454"/>
        <w:gridCol w:w="1402"/>
      </w:tblGrid>
      <w:tr w:rsidR="003F78DC" w:rsidRPr="00BF287D" w14:paraId="4CA3DC4B" w14:textId="77777777" w:rsidTr="008E63C8">
        <w:trPr>
          <w:trHeight w:val="20"/>
          <w:jc w:val="center"/>
        </w:trPr>
        <w:tc>
          <w:tcPr>
            <w:tcW w:w="1928" w:type="dxa"/>
          </w:tcPr>
          <w:p w14:paraId="729B4ECD" w14:textId="77777777" w:rsidR="003F78DC" w:rsidRPr="0080287F" w:rsidRDefault="003F78DC" w:rsidP="008E63C8">
            <w:pPr>
              <w:pStyle w:val="Tablehead"/>
            </w:pPr>
            <w:r w:rsidRPr="0080287F">
              <w:t xml:space="preserve">Frequency band(s) </w:t>
            </w:r>
            <w:r w:rsidRPr="0080287F">
              <w:br/>
              <w:t>(GHz)</w:t>
            </w:r>
          </w:p>
        </w:tc>
        <w:tc>
          <w:tcPr>
            <w:tcW w:w="1746" w:type="dxa"/>
          </w:tcPr>
          <w:p w14:paraId="4B2B035C" w14:textId="77777777" w:rsidR="003F78DC" w:rsidRPr="0080287F" w:rsidRDefault="003F78DC" w:rsidP="008E63C8">
            <w:pPr>
              <w:pStyle w:val="Tablehead"/>
            </w:pPr>
            <w:r w:rsidRPr="0080287F">
              <w:t>Reference bandwidth (MHz)</w:t>
            </w:r>
          </w:p>
        </w:tc>
        <w:tc>
          <w:tcPr>
            <w:tcW w:w="2109" w:type="dxa"/>
          </w:tcPr>
          <w:p w14:paraId="4C2CC80C" w14:textId="77777777" w:rsidR="003F78DC" w:rsidRPr="0080287F" w:rsidRDefault="003F78DC" w:rsidP="008E63C8">
            <w:pPr>
              <w:pStyle w:val="Tablehead"/>
            </w:pPr>
            <w:r w:rsidRPr="0080287F">
              <w:t xml:space="preserve">Maximum interference level </w:t>
            </w:r>
            <w:r w:rsidRPr="0080287F">
              <w:br/>
              <w:t>(dBW)</w:t>
            </w:r>
          </w:p>
        </w:tc>
        <w:tc>
          <w:tcPr>
            <w:tcW w:w="2454" w:type="dxa"/>
          </w:tcPr>
          <w:p w14:paraId="6D035637" w14:textId="77777777" w:rsidR="003F78DC" w:rsidRPr="0080287F" w:rsidRDefault="003F78DC" w:rsidP="008E63C8">
            <w:pPr>
              <w:pStyle w:val="Tablehead"/>
            </w:pPr>
            <w:r w:rsidRPr="0080287F">
              <w:t>Percentage of area or time permissible interference level may be exceeded</w:t>
            </w:r>
            <w:r w:rsidRPr="0080287F">
              <w:rPr>
                <w:vertAlign w:val="superscript"/>
              </w:rPr>
              <w:t>(1)</w:t>
            </w:r>
            <w:r w:rsidRPr="0080287F">
              <w:t xml:space="preserve"> (%)</w:t>
            </w:r>
          </w:p>
        </w:tc>
        <w:tc>
          <w:tcPr>
            <w:tcW w:w="1402" w:type="dxa"/>
          </w:tcPr>
          <w:p w14:paraId="340F5E5D" w14:textId="77777777" w:rsidR="003F78DC" w:rsidRPr="00790C43" w:rsidRDefault="003F78DC" w:rsidP="008E63C8">
            <w:pPr>
              <w:pStyle w:val="Tablehead"/>
              <w:rPr>
                <w:lang w:val="fr-FR"/>
              </w:rPr>
            </w:pPr>
            <w:r w:rsidRPr="00790C43">
              <w:rPr>
                <w:lang w:val="fr-FR"/>
              </w:rPr>
              <w:t xml:space="preserve">Scan mode </w:t>
            </w:r>
            <w:r w:rsidRPr="00790C43">
              <w:rPr>
                <w:lang w:val="fr-FR"/>
              </w:rPr>
              <w:br/>
              <w:t>(N, C, L)</w:t>
            </w:r>
            <w:r w:rsidRPr="00790C43">
              <w:rPr>
                <w:vertAlign w:val="superscript"/>
                <w:lang w:val="fr-FR"/>
              </w:rPr>
              <w:t>(2)</w:t>
            </w:r>
          </w:p>
        </w:tc>
      </w:tr>
      <w:tr w:rsidR="003F78DC" w:rsidRPr="0080287F" w14:paraId="4DBDC705" w14:textId="77777777" w:rsidTr="008E63C8">
        <w:trPr>
          <w:trHeight w:val="20"/>
          <w:jc w:val="center"/>
        </w:trPr>
        <w:tc>
          <w:tcPr>
            <w:tcW w:w="1928" w:type="dxa"/>
          </w:tcPr>
          <w:p w14:paraId="4547002A" w14:textId="77777777" w:rsidR="003F78DC" w:rsidRPr="0080287F" w:rsidRDefault="003F78DC" w:rsidP="008E63C8">
            <w:pPr>
              <w:pStyle w:val="Tabletext"/>
              <w:jc w:val="center"/>
            </w:pPr>
            <w:r w:rsidRPr="0080287F">
              <w:t>296-306</w:t>
            </w:r>
          </w:p>
        </w:tc>
        <w:tc>
          <w:tcPr>
            <w:tcW w:w="1746" w:type="dxa"/>
          </w:tcPr>
          <w:p w14:paraId="4FDE19B5" w14:textId="77777777" w:rsidR="003F78DC" w:rsidRPr="0080287F" w:rsidRDefault="003F78DC" w:rsidP="008E63C8">
            <w:pPr>
              <w:pStyle w:val="Tabletext"/>
              <w:jc w:val="center"/>
              <w:rPr>
                <w:vertAlign w:val="superscript"/>
              </w:rPr>
            </w:pPr>
            <w:r w:rsidRPr="0080287F">
              <w:t>200/3</w:t>
            </w:r>
            <w:r w:rsidRPr="0080287F">
              <w:rPr>
                <w:vertAlign w:val="superscript"/>
              </w:rPr>
              <w:t>(3)</w:t>
            </w:r>
          </w:p>
        </w:tc>
        <w:tc>
          <w:tcPr>
            <w:tcW w:w="2109" w:type="dxa"/>
          </w:tcPr>
          <w:p w14:paraId="168D156A" w14:textId="77777777" w:rsidR="003F78DC" w:rsidRPr="0080287F" w:rsidRDefault="003F78DC" w:rsidP="008E63C8">
            <w:pPr>
              <w:pStyle w:val="Tabletext"/>
              <w:jc w:val="center"/>
              <w:rPr>
                <w:vertAlign w:val="superscript"/>
              </w:rPr>
            </w:pPr>
            <w:r w:rsidRPr="0080287F">
              <w:t>−160/−194</w:t>
            </w:r>
            <w:r w:rsidRPr="0080287F">
              <w:rPr>
                <w:vertAlign w:val="superscript"/>
              </w:rPr>
              <w:t>(3)</w:t>
            </w:r>
          </w:p>
        </w:tc>
        <w:tc>
          <w:tcPr>
            <w:tcW w:w="2454" w:type="dxa"/>
          </w:tcPr>
          <w:p w14:paraId="3D7B431F" w14:textId="77777777" w:rsidR="003F78DC" w:rsidRPr="0080287F" w:rsidRDefault="003F78DC" w:rsidP="008E63C8">
            <w:pPr>
              <w:pStyle w:val="Tabletext"/>
              <w:jc w:val="center"/>
              <w:rPr>
                <w:vertAlign w:val="superscript"/>
              </w:rPr>
            </w:pPr>
            <w:r w:rsidRPr="0080287F">
              <w:t>0.01/1</w:t>
            </w:r>
            <w:r w:rsidRPr="0080287F">
              <w:rPr>
                <w:vertAlign w:val="superscript"/>
              </w:rPr>
              <w:t>(3)</w:t>
            </w:r>
          </w:p>
        </w:tc>
        <w:tc>
          <w:tcPr>
            <w:tcW w:w="1402" w:type="dxa"/>
          </w:tcPr>
          <w:p w14:paraId="3CCADE45" w14:textId="77777777" w:rsidR="003F78DC" w:rsidRPr="0080287F" w:rsidRDefault="003F78DC" w:rsidP="008E63C8">
            <w:pPr>
              <w:pStyle w:val="Tabletext"/>
              <w:jc w:val="center"/>
            </w:pPr>
            <w:r w:rsidRPr="0080287F">
              <w:t>N, L</w:t>
            </w:r>
          </w:p>
        </w:tc>
      </w:tr>
      <w:tr w:rsidR="003F78DC" w:rsidRPr="0080287F" w14:paraId="1B554408" w14:textId="77777777" w:rsidTr="008E63C8">
        <w:trPr>
          <w:trHeight w:val="20"/>
          <w:jc w:val="center"/>
        </w:trPr>
        <w:tc>
          <w:tcPr>
            <w:tcW w:w="1928" w:type="dxa"/>
          </w:tcPr>
          <w:p w14:paraId="0488EF60" w14:textId="77777777" w:rsidR="003F78DC" w:rsidRPr="0080287F" w:rsidRDefault="003F78DC" w:rsidP="008E63C8">
            <w:pPr>
              <w:pStyle w:val="Tabletext"/>
              <w:jc w:val="center"/>
            </w:pPr>
            <w:r w:rsidRPr="0080287F">
              <w:t>313.5-355.6</w:t>
            </w:r>
          </w:p>
        </w:tc>
        <w:tc>
          <w:tcPr>
            <w:tcW w:w="1746" w:type="dxa"/>
          </w:tcPr>
          <w:p w14:paraId="1453E036" w14:textId="77777777" w:rsidR="003F78DC" w:rsidRPr="0080287F" w:rsidRDefault="003F78DC" w:rsidP="008E63C8">
            <w:pPr>
              <w:pStyle w:val="Tabletext"/>
              <w:jc w:val="center"/>
              <w:rPr>
                <w:vertAlign w:val="superscript"/>
              </w:rPr>
            </w:pPr>
            <w:r w:rsidRPr="0080287F">
              <w:t>200/3</w:t>
            </w:r>
            <w:r w:rsidRPr="0080287F">
              <w:rPr>
                <w:vertAlign w:val="superscript"/>
              </w:rPr>
              <w:t>(3)</w:t>
            </w:r>
          </w:p>
        </w:tc>
        <w:tc>
          <w:tcPr>
            <w:tcW w:w="2109" w:type="dxa"/>
          </w:tcPr>
          <w:p w14:paraId="70CD4324" w14:textId="77777777" w:rsidR="003F78DC" w:rsidRPr="0080287F" w:rsidRDefault="003F78DC" w:rsidP="008E63C8">
            <w:pPr>
              <w:pStyle w:val="Tabletext"/>
              <w:jc w:val="center"/>
              <w:rPr>
                <w:vertAlign w:val="superscript"/>
              </w:rPr>
            </w:pPr>
            <w:r w:rsidRPr="0080287F">
              <w:t>−158/−194</w:t>
            </w:r>
            <w:r w:rsidRPr="0080287F">
              <w:rPr>
                <w:vertAlign w:val="superscript"/>
              </w:rPr>
              <w:t>(3)</w:t>
            </w:r>
          </w:p>
        </w:tc>
        <w:tc>
          <w:tcPr>
            <w:tcW w:w="2454" w:type="dxa"/>
          </w:tcPr>
          <w:p w14:paraId="0D95BFE1" w14:textId="77777777" w:rsidR="003F78DC" w:rsidRPr="0080287F" w:rsidRDefault="003F78DC" w:rsidP="008E63C8">
            <w:pPr>
              <w:pStyle w:val="Tabletext"/>
              <w:jc w:val="center"/>
              <w:rPr>
                <w:vertAlign w:val="superscript"/>
              </w:rPr>
            </w:pPr>
            <w:r w:rsidRPr="0080287F">
              <w:t>0.01/1</w:t>
            </w:r>
            <w:r w:rsidRPr="0080287F">
              <w:rPr>
                <w:vertAlign w:val="superscript"/>
              </w:rPr>
              <w:t>(3)</w:t>
            </w:r>
          </w:p>
        </w:tc>
        <w:tc>
          <w:tcPr>
            <w:tcW w:w="1402" w:type="dxa"/>
          </w:tcPr>
          <w:p w14:paraId="44EEE1B2" w14:textId="77777777" w:rsidR="003F78DC" w:rsidRPr="0080287F" w:rsidRDefault="003F78DC" w:rsidP="008E63C8">
            <w:pPr>
              <w:pStyle w:val="Tabletext"/>
              <w:jc w:val="center"/>
            </w:pPr>
            <w:r w:rsidRPr="0080287F">
              <w:t>N, C, L</w:t>
            </w:r>
          </w:p>
        </w:tc>
      </w:tr>
    </w:tbl>
    <w:p w14:paraId="311F9CA2" w14:textId="77777777" w:rsidR="003F78DC" w:rsidRPr="0080287F" w:rsidRDefault="003F78DC" w:rsidP="003F78DC">
      <w:pPr>
        <w:pStyle w:val="Tablefin"/>
      </w:pPr>
    </w:p>
    <w:p w14:paraId="24C8AF65" w14:textId="77777777" w:rsidR="003F78DC" w:rsidRPr="0080287F" w:rsidRDefault="003F78DC" w:rsidP="003F78DC">
      <w:r w:rsidRPr="0080287F">
        <w:t>The above notes under Table 1 also applies to Table 2.</w:t>
      </w:r>
    </w:p>
    <w:p w14:paraId="41FD868A" w14:textId="77777777" w:rsidR="003F78DC" w:rsidRPr="0080287F" w:rsidRDefault="003F78DC" w:rsidP="003F78DC">
      <w:pPr>
        <w:rPr>
          <w:lang w:eastAsia="zh-CN"/>
        </w:rPr>
      </w:pPr>
      <w:r w:rsidRPr="0080287F">
        <w:rPr>
          <w:lang w:eastAsia="zh-CN"/>
        </w:rPr>
        <w:t>…</w:t>
      </w:r>
    </w:p>
    <w:p w14:paraId="361F3599" w14:textId="6B94D1BD" w:rsidR="003F78DC" w:rsidRPr="0080287F" w:rsidRDefault="003F78DC" w:rsidP="003F78DC">
      <w:pPr>
        <w:pStyle w:val="Heading2"/>
        <w:rPr>
          <w:lang w:eastAsia="ja-JP"/>
        </w:rPr>
      </w:pPr>
      <w:r w:rsidRPr="0080287F">
        <w:rPr>
          <w:bCs/>
        </w:rPr>
        <w:t>4</w:t>
      </w:r>
      <w:r w:rsidRPr="0080287F">
        <w:t>.2</w:t>
      </w:r>
      <w:r w:rsidRPr="0080287F">
        <w:rPr>
          <w:i/>
          <w:iCs/>
        </w:rPr>
        <w:tab/>
      </w:r>
      <w:r w:rsidRPr="0080287F">
        <w:rPr>
          <w:lang w:eastAsia="ja-JP"/>
        </w:rPr>
        <w:t>Overview of EESS (passive) systems operating in the frequency range 296 GHz</w:t>
      </w:r>
      <w:r w:rsidR="00694A45">
        <w:rPr>
          <w:lang w:eastAsia="ja-JP"/>
        </w:rPr>
        <w:t xml:space="preserve"> - </w:t>
      </w:r>
      <w:r w:rsidRPr="0080287F">
        <w:rPr>
          <w:lang w:eastAsia="ja-JP"/>
        </w:rPr>
        <w:t>355.6 GHz</w:t>
      </w:r>
    </w:p>
    <w:p w14:paraId="665803C6" w14:textId="77777777" w:rsidR="003F78DC" w:rsidRPr="0080287F" w:rsidRDefault="003F78DC" w:rsidP="003F78DC">
      <w:pPr>
        <w:pStyle w:val="EditorsNote"/>
      </w:pPr>
      <w:r w:rsidRPr="0080287F">
        <w:t>TBD</w:t>
      </w:r>
    </w:p>
    <w:p w14:paraId="5995B0EC" w14:textId="77777777" w:rsidR="003F78DC" w:rsidRPr="0080287F" w:rsidRDefault="003F78DC" w:rsidP="003F78DC">
      <w:pPr>
        <w:pStyle w:val="Heading1"/>
        <w:rPr>
          <w:lang w:eastAsia="ja-JP"/>
        </w:rPr>
      </w:pPr>
      <w:r w:rsidRPr="0080287F">
        <w:rPr>
          <w:lang w:eastAsia="ja-JP"/>
        </w:rPr>
        <w:t>5</w:t>
      </w:r>
      <w:r w:rsidRPr="0080287F">
        <w:rPr>
          <w:lang w:eastAsia="ja-JP"/>
        </w:rPr>
        <w:tab/>
        <w:t xml:space="preserve">Overview of planned land-mobile </w:t>
      </w:r>
      <w:r w:rsidRPr="0080287F">
        <w:t>service</w:t>
      </w:r>
      <w:r w:rsidRPr="0080287F">
        <w:rPr>
          <w:lang w:eastAsia="ja-JP"/>
        </w:rPr>
        <w:t xml:space="preserve"> applications in the frequency range 275-450 GHz</w:t>
      </w:r>
    </w:p>
    <w:p w14:paraId="5EB14073" w14:textId="77777777" w:rsidR="003F78DC" w:rsidRPr="0080287F" w:rsidRDefault="003F78DC" w:rsidP="003F78DC">
      <w:pPr>
        <w:jc w:val="both"/>
        <w:rPr>
          <w:lang w:eastAsia="ja-JP"/>
        </w:rPr>
      </w:pPr>
      <w:r w:rsidRPr="0080287F">
        <w:rPr>
          <w:lang w:eastAsia="ja-JP"/>
        </w:rPr>
        <w:t>Report ITU-R M.2417 provides the technical and operational characteristics of land-mobile service applications, both indoors and outdoors, in the frequency range 275-450 GHz for sharing and compatibility studies, including:</w:t>
      </w:r>
    </w:p>
    <w:p w14:paraId="51025923" w14:textId="77777777" w:rsidR="003F78DC" w:rsidRPr="0080287F" w:rsidRDefault="003F78DC" w:rsidP="003F78DC">
      <w:pPr>
        <w:pStyle w:val="enumlev1"/>
        <w:rPr>
          <w:lang w:eastAsia="ja-JP"/>
        </w:rPr>
      </w:pPr>
      <w:r w:rsidRPr="0080287F">
        <w:rPr>
          <w:lang w:eastAsia="ja-JP"/>
        </w:rPr>
        <w:t>–</w:t>
      </w:r>
      <w:r w:rsidRPr="0080287F">
        <w:rPr>
          <w:lang w:eastAsia="ja-JP"/>
        </w:rPr>
        <w:tab/>
        <w:t>Close proximity mobile systems (CPMSs)</w:t>
      </w:r>
    </w:p>
    <w:p w14:paraId="622279FD" w14:textId="77777777" w:rsidR="003F78DC" w:rsidRPr="0080287F" w:rsidRDefault="003F78DC" w:rsidP="003F78DC">
      <w:pPr>
        <w:pStyle w:val="enumlev1"/>
        <w:rPr>
          <w:lang w:eastAsia="ja-JP"/>
        </w:rPr>
      </w:pPr>
      <w:r w:rsidRPr="0080287F">
        <w:rPr>
          <w:lang w:eastAsia="ja-JP"/>
        </w:rPr>
        <w:t>–</w:t>
      </w:r>
      <w:r w:rsidRPr="0080287F">
        <w:rPr>
          <w:lang w:eastAsia="ja-JP"/>
        </w:rPr>
        <w:tab/>
        <w:t>Kiosk downloading mobile systems</w:t>
      </w:r>
    </w:p>
    <w:p w14:paraId="5FAEDCCA" w14:textId="77777777" w:rsidR="003F78DC" w:rsidRPr="0080287F" w:rsidRDefault="003F78DC" w:rsidP="003F78DC">
      <w:pPr>
        <w:pStyle w:val="enumlev1"/>
        <w:rPr>
          <w:lang w:eastAsia="ja-JP"/>
        </w:rPr>
      </w:pPr>
      <w:r w:rsidRPr="0080287F">
        <w:rPr>
          <w:lang w:eastAsia="ja-JP"/>
        </w:rPr>
        <w:t>–</w:t>
      </w:r>
      <w:r w:rsidRPr="0080287F">
        <w:rPr>
          <w:lang w:eastAsia="ja-JP"/>
        </w:rPr>
        <w:tab/>
        <w:t>Ticket gate downloading mobile systems</w:t>
      </w:r>
    </w:p>
    <w:p w14:paraId="52591137" w14:textId="77777777" w:rsidR="003F78DC" w:rsidRPr="0080287F" w:rsidRDefault="003F78DC" w:rsidP="003F78DC">
      <w:pPr>
        <w:pStyle w:val="enumlev1"/>
        <w:rPr>
          <w:lang w:eastAsia="ja-JP"/>
        </w:rPr>
      </w:pPr>
      <w:r w:rsidRPr="0080287F">
        <w:rPr>
          <w:lang w:eastAsia="ja-JP"/>
        </w:rPr>
        <w:t>–</w:t>
      </w:r>
      <w:r w:rsidRPr="0080287F">
        <w:rPr>
          <w:lang w:eastAsia="ja-JP"/>
        </w:rPr>
        <w:tab/>
        <w:t>Inter-chip communication systems</w:t>
      </w:r>
    </w:p>
    <w:p w14:paraId="3DF65109" w14:textId="77777777" w:rsidR="003F78DC" w:rsidRPr="0080287F" w:rsidRDefault="003F78DC" w:rsidP="003F78DC">
      <w:pPr>
        <w:pStyle w:val="enumlev1"/>
        <w:rPr>
          <w:lang w:eastAsia="ja-JP"/>
        </w:rPr>
      </w:pPr>
      <w:r w:rsidRPr="0080287F">
        <w:rPr>
          <w:lang w:eastAsia="ja-JP"/>
        </w:rPr>
        <w:lastRenderedPageBreak/>
        <w:t>–</w:t>
      </w:r>
      <w:r w:rsidRPr="0080287F">
        <w:rPr>
          <w:lang w:eastAsia="ja-JP"/>
        </w:rPr>
        <w:tab/>
        <w:t xml:space="preserve">Intra-device communications </w:t>
      </w:r>
    </w:p>
    <w:p w14:paraId="2D8F88E2" w14:textId="77777777" w:rsidR="003F78DC" w:rsidRPr="0080287F" w:rsidRDefault="003F78DC" w:rsidP="003F78DC">
      <w:pPr>
        <w:pStyle w:val="enumlev1"/>
        <w:rPr>
          <w:lang w:eastAsia="ja-JP"/>
        </w:rPr>
      </w:pPr>
      <w:r w:rsidRPr="0080287F">
        <w:rPr>
          <w:lang w:eastAsia="ja-JP"/>
        </w:rPr>
        <w:t>–</w:t>
      </w:r>
      <w:r w:rsidRPr="0080287F">
        <w:rPr>
          <w:lang w:eastAsia="ja-JP"/>
        </w:rPr>
        <w:tab/>
        <w:t>Wireless links for data centres</w:t>
      </w:r>
    </w:p>
    <w:p w14:paraId="76830BEF" w14:textId="77777777" w:rsidR="003F78DC" w:rsidRPr="0080287F" w:rsidRDefault="003F78DC" w:rsidP="003F78DC">
      <w:pPr>
        <w:pStyle w:val="enumlev1"/>
        <w:rPr>
          <w:lang w:eastAsia="ja-JP"/>
        </w:rPr>
      </w:pPr>
      <w:r w:rsidRPr="0080287F">
        <w:rPr>
          <w:lang w:eastAsia="ja-JP"/>
        </w:rPr>
        <w:t>–</w:t>
      </w:r>
      <w:r w:rsidRPr="0080287F">
        <w:rPr>
          <w:lang w:eastAsia="ja-JP"/>
        </w:rPr>
        <w:tab/>
        <w:t>Virtual reality systems</w:t>
      </w:r>
    </w:p>
    <w:p w14:paraId="1C6DB4C1" w14:textId="77777777" w:rsidR="003F78DC" w:rsidRPr="0080287F" w:rsidRDefault="003F78DC" w:rsidP="003F78DC">
      <w:pPr>
        <w:pStyle w:val="enumlev1"/>
        <w:rPr>
          <w:lang w:eastAsia="ja-JP"/>
        </w:rPr>
      </w:pPr>
      <w:r w:rsidRPr="0080287F">
        <w:rPr>
          <w:lang w:eastAsia="ja-JP"/>
        </w:rPr>
        <w:t>–</w:t>
      </w:r>
      <w:r w:rsidRPr="0080287F">
        <w:rPr>
          <w:lang w:eastAsia="ja-JP"/>
        </w:rPr>
        <w:tab/>
        <w:t>Industrial systems</w:t>
      </w:r>
    </w:p>
    <w:p w14:paraId="37BC1D5D" w14:textId="77777777" w:rsidR="003F78DC" w:rsidRPr="0080287F" w:rsidRDefault="003F78DC" w:rsidP="003F78DC">
      <w:r w:rsidRPr="0080287F">
        <w:t>…</w:t>
      </w:r>
    </w:p>
    <w:p w14:paraId="46BF5D0A" w14:textId="77777777" w:rsidR="003F78DC" w:rsidRPr="0080287F" w:rsidRDefault="003F78DC" w:rsidP="003F78DC">
      <w:pPr>
        <w:pStyle w:val="Heading1"/>
      </w:pPr>
      <w:bookmarkStart w:id="10" w:name="_Hlk69214317"/>
      <w:bookmarkStart w:id="11" w:name="_Hlk52550992"/>
      <w:r w:rsidRPr="0080287F">
        <w:t>6</w:t>
      </w:r>
      <w:r w:rsidRPr="0080287F">
        <w:tab/>
        <w:t>Propagation considerations</w:t>
      </w:r>
    </w:p>
    <w:bookmarkEnd w:id="10"/>
    <w:p w14:paraId="14C664EA" w14:textId="14E42632" w:rsidR="003F78DC" w:rsidRPr="0080287F" w:rsidRDefault="003F78DC" w:rsidP="00633C1D">
      <w:pPr>
        <w:tabs>
          <w:tab w:val="left" w:pos="5103"/>
        </w:tabs>
        <w:jc w:val="both"/>
        <w:rPr>
          <w:lang w:eastAsia="ja-JP"/>
        </w:rPr>
      </w:pPr>
      <w:r w:rsidRPr="0080287F">
        <w:rPr>
          <w:lang w:eastAsia="ja-JP"/>
        </w:rPr>
        <w:t xml:space="preserve">One of the propagation effects in this frequency range is gaseous attenuation (Recommendation </w:t>
      </w:r>
      <w:hyperlink r:id="rId23" w:history="1">
        <w:r w:rsidRPr="00694A45">
          <w:rPr>
            <w:rStyle w:val="Hyperlink"/>
            <w:lang w:eastAsia="ja-JP"/>
          </w:rPr>
          <w:t>ITU</w:t>
        </w:r>
        <w:r w:rsidR="00694A45" w:rsidRPr="00694A45">
          <w:rPr>
            <w:rStyle w:val="Hyperlink"/>
            <w:lang w:eastAsia="ja-JP"/>
          </w:rPr>
          <w:noBreakHyphen/>
        </w:r>
        <w:r w:rsidRPr="00694A45">
          <w:rPr>
            <w:rStyle w:val="Hyperlink"/>
            <w:lang w:eastAsia="ja-JP"/>
          </w:rPr>
          <w:t>R P.676</w:t>
        </w:r>
      </w:hyperlink>
      <w:r w:rsidRPr="0080287F">
        <w:rPr>
          <w:lang w:eastAsia="ja-JP"/>
        </w:rPr>
        <w:t xml:space="preserve"> for terrestrial and slant paths). Specific gaseous attenuation is shown in Figure </w:t>
      </w:r>
      <w:r w:rsidRPr="00633C1D">
        <w:rPr>
          <w:lang w:eastAsia="ja-JP"/>
        </w:rPr>
        <w:t>1</w:t>
      </w:r>
      <w:r w:rsidRPr="0080287F">
        <w:rPr>
          <w:lang w:eastAsia="ja-JP"/>
        </w:rPr>
        <w:t xml:space="preserve"> on the height of the ground level (</w:t>
      </w:r>
      <w:r w:rsidRPr="0080287F">
        <w:t>pressure 1013 hPa, temperature 15 deg C, water vapour density 7.5 g/m</w:t>
      </w:r>
      <w:r w:rsidRPr="0080287F">
        <w:rPr>
          <w:vertAlign w:val="superscript"/>
        </w:rPr>
        <w:t>3</w:t>
      </w:r>
      <w:r w:rsidRPr="0080287F">
        <w:rPr>
          <w:lang w:eastAsia="ja-JP"/>
        </w:rPr>
        <w:t>) using the methodology from Annex 1 of Recommendation ITU-R P.676-12. The figure illustrates quite different propagation conditions for different bands identified in this frequency range.</w:t>
      </w:r>
    </w:p>
    <w:p w14:paraId="1A1A139E" w14:textId="77777777" w:rsidR="003F78DC" w:rsidRPr="00633C1D" w:rsidRDefault="003F78DC" w:rsidP="003F78DC">
      <w:pPr>
        <w:pStyle w:val="FigureNo"/>
      </w:pPr>
      <w:r w:rsidRPr="0080287F">
        <w:t>FIGURE 1</w:t>
      </w:r>
    </w:p>
    <w:p w14:paraId="756F471F" w14:textId="77777777" w:rsidR="003F78DC" w:rsidRPr="0080287F" w:rsidRDefault="003F78DC" w:rsidP="003F78DC">
      <w:pPr>
        <w:pStyle w:val="Figuretitle"/>
      </w:pPr>
      <w:r w:rsidRPr="0080287F">
        <w:t>Specific atmospheric attenuation in 275-450 GHz frequency range on the ground level</w:t>
      </w:r>
    </w:p>
    <w:p w14:paraId="49086F57" w14:textId="77777777" w:rsidR="003F78DC" w:rsidRPr="0080287F" w:rsidRDefault="003F78DC" w:rsidP="003F78DC">
      <w:pPr>
        <w:pStyle w:val="Figure"/>
        <w:rPr>
          <w:noProof w:val="0"/>
          <w:lang w:eastAsia="ja-JP"/>
        </w:rPr>
      </w:pPr>
      <w:r w:rsidRPr="0080287F">
        <w:rPr>
          <w:lang w:eastAsia="ru-RU"/>
        </w:rPr>
        <w:drawing>
          <wp:inline distT="0" distB="0" distL="0" distR="0" wp14:anchorId="451425D8" wp14:editId="30FCAF74">
            <wp:extent cx="5400040" cy="1984375"/>
            <wp:effectExtent l="0" t="0" r="0" b="0"/>
            <wp:docPr id="8" name="Рисунок 8" descr="Specific_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Specific_at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984375"/>
                    </a:xfrm>
                    <a:prstGeom prst="rect">
                      <a:avLst/>
                    </a:prstGeom>
                    <a:noFill/>
                    <a:ln>
                      <a:noFill/>
                    </a:ln>
                  </pic:spPr>
                </pic:pic>
              </a:graphicData>
            </a:graphic>
          </wp:inline>
        </w:drawing>
      </w:r>
    </w:p>
    <w:p w14:paraId="63A438D7" w14:textId="26AFF2C2" w:rsidR="003F78DC" w:rsidRPr="0080287F" w:rsidRDefault="003F78DC" w:rsidP="00633C1D">
      <w:pPr>
        <w:pStyle w:val="Normalaftertitle"/>
        <w:jc w:val="both"/>
        <w:rPr>
          <w:lang w:eastAsia="ja-JP"/>
        </w:rPr>
      </w:pPr>
      <w:r w:rsidRPr="0080287F">
        <w:rPr>
          <w:lang w:eastAsia="ja-JP"/>
        </w:rPr>
        <w:t xml:space="preserve">The other elements such as building entry loss and clutter loss should be considered for the system deployment of land-mobile service applications. Although prediction of those losses is provided by Recommendations </w:t>
      </w:r>
      <w:hyperlink r:id="rId25" w:history="1">
        <w:r w:rsidRPr="00694A45">
          <w:rPr>
            <w:rStyle w:val="Hyperlink"/>
            <w:lang w:eastAsia="ja-JP"/>
          </w:rPr>
          <w:t>ITU-R P.2108</w:t>
        </w:r>
      </w:hyperlink>
      <w:r w:rsidRPr="0080287F">
        <w:rPr>
          <w:lang w:eastAsia="ja-JP"/>
        </w:rPr>
        <w:t xml:space="preserve"> and </w:t>
      </w:r>
      <w:hyperlink r:id="rId26" w:history="1">
        <w:r w:rsidRPr="00694A45">
          <w:rPr>
            <w:rStyle w:val="Hyperlink"/>
            <w:lang w:eastAsia="ja-JP"/>
          </w:rPr>
          <w:t>ITU-</w:t>
        </w:r>
        <w:r w:rsidRPr="00694A45">
          <w:rPr>
            <w:rStyle w:val="Hyperlink"/>
            <w:lang w:eastAsia="ja-JP"/>
          </w:rPr>
          <w:t>R</w:t>
        </w:r>
        <w:r w:rsidRPr="00694A45">
          <w:rPr>
            <w:rStyle w:val="Hyperlink"/>
            <w:lang w:eastAsia="ja-JP"/>
          </w:rPr>
          <w:t xml:space="preserve"> P.2109</w:t>
        </w:r>
      </w:hyperlink>
      <w:r w:rsidRPr="0080287F">
        <w:rPr>
          <w:lang w:eastAsia="ja-JP"/>
        </w:rPr>
        <w:t>, the maximum frequency band is limited below 100 GHz. Further studies on those issues are expected in the future work plans by the other groups.</w:t>
      </w:r>
    </w:p>
    <w:p w14:paraId="2E2580F3" w14:textId="77777777" w:rsidR="003F78DC" w:rsidRPr="0080287F" w:rsidRDefault="003F78DC" w:rsidP="003F78DC">
      <w:pPr>
        <w:pStyle w:val="Heading1"/>
      </w:pPr>
      <w:r w:rsidRPr="0080287F">
        <w:t>7</w:t>
      </w:r>
      <w:r w:rsidRPr="0080287F">
        <w:tab/>
        <w:t>Mitigation techniques and specific conditions to be applied to the land mobile service applications</w:t>
      </w:r>
    </w:p>
    <w:p w14:paraId="6FD0B2E1" w14:textId="77777777" w:rsidR="003F78DC" w:rsidRPr="0080287F" w:rsidRDefault="003F78DC" w:rsidP="003F78DC">
      <w:pPr>
        <w:rPr>
          <w:i/>
          <w:iCs/>
          <w:lang w:eastAsia="es-CR"/>
        </w:rPr>
      </w:pPr>
      <w:bookmarkStart w:id="12" w:name="_Hlk52551029"/>
      <w:r w:rsidRPr="0080287F">
        <w:t xml:space="preserve">This section provides a list of possible mitigation techniques and specific conditions to be applied to the land mobile service applications </w:t>
      </w:r>
      <w:r w:rsidRPr="0080287F">
        <w:rPr>
          <w:szCs w:val="24"/>
        </w:rPr>
        <w:t xml:space="preserve">to ensure the protection of EESS (passive) applications </w:t>
      </w:r>
      <w:r w:rsidRPr="0080287F">
        <w:t>in t</w:t>
      </w:r>
      <w:r w:rsidRPr="0080287F">
        <w:rPr>
          <w:lang w:eastAsia="es-CR"/>
        </w:rPr>
        <w:t>he frequency bands 296-306 GHz, 313-318 GHz and 333-356 GHz.</w:t>
      </w:r>
    </w:p>
    <w:p w14:paraId="346B6251" w14:textId="77777777" w:rsidR="003F78DC" w:rsidRPr="0080287F" w:rsidRDefault="003F78DC" w:rsidP="003F78DC">
      <w:pPr>
        <w:rPr>
          <w:i/>
          <w:iCs/>
          <w:color w:val="0000FF" w:themeColor="hyperlink"/>
          <w:u w:val="single"/>
        </w:rPr>
      </w:pPr>
      <w:r w:rsidRPr="0080287F">
        <w:rPr>
          <w:lang w:eastAsia="es-CR"/>
        </w:rPr>
        <w:t xml:space="preserve">For each mitigation technique under consideration, together with their application conditions, if any, a detailed description is made including the way it is expected to improve sharing with EESS (passive) systems. In addition, an assessment of their effectiveness is also made, including relevant additional sharing studies in comparison to the previous studies given in </w:t>
      </w:r>
      <w:hyperlink r:id="rId27" w:history="1">
        <w:r w:rsidRPr="0080287F">
          <w:t xml:space="preserve">Report </w:t>
        </w:r>
        <w:r w:rsidRPr="0080287F">
          <w:rPr>
            <w:color w:val="0000FF" w:themeColor="hyperlink"/>
            <w:u w:val="single"/>
          </w:rPr>
          <w:t>ITU-R SM.2450</w:t>
        </w:r>
      </w:hyperlink>
      <w:r w:rsidRPr="0080287F">
        <w:rPr>
          <w:color w:val="0000FF" w:themeColor="hyperlink"/>
          <w:u w:val="single"/>
        </w:rPr>
        <w:t>.</w:t>
      </w:r>
    </w:p>
    <w:p w14:paraId="053C1DD6" w14:textId="77777777" w:rsidR="00694A45" w:rsidRDefault="003F78DC" w:rsidP="003F78DC">
      <w:pPr>
        <w:pStyle w:val="EditorsNote"/>
        <w:rPr>
          <w:lang w:eastAsia="zh-CN"/>
        </w:rPr>
      </w:pPr>
      <w:r w:rsidRPr="0080287F">
        <w:rPr>
          <w:u w:val="single"/>
        </w:rPr>
        <w:t>[</w:t>
      </w:r>
      <w:r w:rsidRPr="0080287F">
        <w:t xml:space="preserve">Editor’s note: the abovementioned assessment and sharing studies have to be performed </w:t>
      </w:r>
      <w:r w:rsidRPr="0080287F">
        <w:rPr>
          <w:lang w:eastAsia="zh-CN"/>
        </w:rPr>
        <w:t xml:space="preserve">in close cooperation with WP 7C and WP 7D (see Document </w:t>
      </w:r>
      <w:hyperlink r:id="rId28" w:history="1">
        <w:r w:rsidRPr="0080287F">
          <w:rPr>
            <w:rStyle w:val="Hyperlink"/>
            <w:lang w:eastAsia="zh-CN"/>
          </w:rPr>
          <w:t>5A/225</w:t>
        </w:r>
      </w:hyperlink>
      <w:r w:rsidRPr="0080287F">
        <w:rPr>
          <w:lang w:eastAsia="zh-CN"/>
        </w:rPr>
        <w:t>)].</w:t>
      </w:r>
    </w:p>
    <w:p w14:paraId="34A2718D" w14:textId="77777777" w:rsidR="003F78DC" w:rsidRPr="0080287F" w:rsidRDefault="003F78DC" w:rsidP="003F78DC">
      <w:pPr>
        <w:rPr>
          <w:i/>
          <w:iCs/>
        </w:rPr>
      </w:pPr>
      <w:r w:rsidRPr="0080287F">
        <w:lastRenderedPageBreak/>
        <w:t>The following possible mitigation techniques and specific conditions are assessed:</w:t>
      </w:r>
    </w:p>
    <w:p w14:paraId="56EAFE52" w14:textId="77777777" w:rsidR="003F78DC" w:rsidRPr="0080287F" w:rsidRDefault="003F78DC" w:rsidP="003F78DC">
      <w:pPr>
        <w:pStyle w:val="enumlev1"/>
        <w:rPr>
          <w:i/>
          <w:iCs/>
        </w:rPr>
      </w:pPr>
      <w:r w:rsidRPr="0080287F">
        <w:t>–</w:t>
      </w:r>
      <w:r w:rsidRPr="0080287F">
        <w:tab/>
        <w:t>Technique A,</w:t>
      </w:r>
    </w:p>
    <w:p w14:paraId="102B704D" w14:textId="77777777" w:rsidR="003F78DC" w:rsidRPr="0080287F" w:rsidRDefault="003F78DC" w:rsidP="003F78DC">
      <w:pPr>
        <w:pStyle w:val="enumlev1"/>
        <w:rPr>
          <w:i/>
          <w:iCs/>
        </w:rPr>
      </w:pPr>
      <w:r w:rsidRPr="0080287F">
        <w:t>–</w:t>
      </w:r>
      <w:r w:rsidRPr="0080287F">
        <w:tab/>
        <w:t>Technique B.</w:t>
      </w:r>
    </w:p>
    <w:p w14:paraId="6D7FEBA6" w14:textId="77777777" w:rsidR="003F78DC" w:rsidRPr="0080287F" w:rsidRDefault="003F78DC" w:rsidP="003F78DC">
      <w:pPr>
        <w:pStyle w:val="enumlev1"/>
        <w:rPr>
          <w:i/>
          <w:iCs/>
        </w:rPr>
      </w:pPr>
      <w:r w:rsidRPr="0080287F">
        <w:t>–</w:t>
      </w:r>
      <w:r w:rsidRPr="0080287F">
        <w:tab/>
        <w:t>…/…</w:t>
      </w:r>
    </w:p>
    <w:bookmarkEnd w:id="11"/>
    <w:bookmarkEnd w:id="12"/>
    <w:p w14:paraId="5F80298D" w14:textId="77777777" w:rsidR="003F78DC" w:rsidRPr="0080287F" w:rsidRDefault="003F78DC" w:rsidP="003F78DC">
      <w:pPr>
        <w:pStyle w:val="EditorsNote"/>
        <w:jc w:val="both"/>
      </w:pPr>
      <w:r w:rsidRPr="0080287F">
        <w:t>[Editor’s note: The intent is to narrow down the list of possible mitigation techniques described below (from Recommendation ITU-R M.1825) and keep only those that may be worthwhile studying for this application]</w:t>
      </w:r>
    </w:p>
    <w:p w14:paraId="52C6F5F1" w14:textId="7E947E4D" w:rsidR="003F78DC" w:rsidRDefault="0054197E" w:rsidP="003F78DC">
      <w:pPr>
        <w:jc w:val="both"/>
        <w:rPr>
          <w:color w:val="000000" w:themeColor="text1"/>
          <w:szCs w:val="24"/>
        </w:rPr>
      </w:pPr>
      <w:hyperlink r:id="rId29" w:history="1">
        <w:r w:rsidR="003F78DC" w:rsidRPr="0080287F">
          <w:t xml:space="preserve">Recommendation </w:t>
        </w:r>
        <w:r w:rsidR="003F78DC" w:rsidRPr="0080287F">
          <w:rPr>
            <w:color w:val="0000FF" w:themeColor="hyperlink"/>
            <w:szCs w:val="24"/>
            <w:u w:val="single"/>
          </w:rPr>
          <w:t>ITU-R M.1825</w:t>
        </w:r>
      </w:hyperlink>
      <w:r w:rsidR="003F78DC" w:rsidRPr="0080287F">
        <w:rPr>
          <w:color w:val="0000FF" w:themeColor="hyperlink"/>
          <w:szCs w:val="24"/>
        </w:rPr>
        <w:t xml:space="preserve"> </w:t>
      </w:r>
      <w:r w:rsidR="003F78DC" w:rsidRPr="0080287F">
        <w:rPr>
          <w:color w:val="000000" w:themeColor="text1"/>
          <w:szCs w:val="24"/>
        </w:rPr>
        <w:t>outlines several mitigation techniques that can be investigated, among others, to assess their applicability for the applications above 275 GHz.</w:t>
      </w:r>
    </w:p>
    <w:p w14:paraId="35D5F1B9" w14:textId="163934F3" w:rsidR="003F78DC" w:rsidRPr="0080287F" w:rsidRDefault="003F78DC" w:rsidP="003F78DC">
      <w:pPr>
        <w:jc w:val="both"/>
      </w:pPr>
      <w:r w:rsidRPr="0080287F">
        <w:t xml:space="preserve">The following is a list of various existing interference mitigation techniques. Not all techniques in Recommendation </w:t>
      </w:r>
      <w:r w:rsidRPr="00742051">
        <w:rPr>
          <w:color w:val="000000" w:themeColor="text1"/>
          <w:szCs w:val="24"/>
        </w:rPr>
        <w:t>ITU-R M.1825</w:t>
      </w:r>
      <w:r w:rsidR="00742051">
        <w:t xml:space="preserve"> </w:t>
      </w:r>
      <w:r w:rsidRPr="0080287F">
        <w:t>are applicable to all types of systems, for example site shielding can be helpful for fixed systems but may not be used for mobile terminals. Similarly, some of these techniques are useful at both ends of an interfering link, while other techniques can only be applied to the interfering transmitter or to the victim receiver.</w:t>
      </w:r>
    </w:p>
    <w:p w14:paraId="6BA71182" w14:textId="77777777" w:rsidR="003F78DC" w:rsidRPr="0080287F" w:rsidRDefault="003F78DC" w:rsidP="003F78DC">
      <w:pPr>
        <w:jc w:val="both"/>
        <w:rPr>
          <w:bCs/>
        </w:rPr>
      </w:pPr>
      <w:r w:rsidRPr="0080287F">
        <w:rPr>
          <w:bCs/>
        </w:rPr>
        <w:t>For the land-mobile service applications summarized in Section 5 that are indoors or under cover and the communicating devices are stationary and in close proximity, site selection and physical shielding may be effective mitigation techniques and are worth to be further studied:</w:t>
      </w:r>
    </w:p>
    <w:p w14:paraId="03579720" w14:textId="77777777" w:rsidR="003F78DC" w:rsidRPr="0080287F" w:rsidRDefault="003F78DC" w:rsidP="003F78DC">
      <w:pPr>
        <w:jc w:val="both"/>
      </w:pPr>
      <w:r w:rsidRPr="0080287F">
        <w:rPr>
          <w:bCs/>
          <w:i/>
          <w:iCs/>
        </w:rPr>
        <w:t xml:space="preserve">Site selection </w:t>
      </w:r>
      <w:r w:rsidRPr="0080287F">
        <w:t xml:space="preserve">– Choosing a site to minimize potential interference. </w:t>
      </w:r>
    </w:p>
    <w:p w14:paraId="524D5382" w14:textId="77777777" w:rsidR="003F78DC" w:rsidRPr="0080287F" w:rsidRDefault="003F78DC" w:rsidP="003F78DC">
      <w:pPr>
        <w:jc w:val="both"/>
      </w:pPr>
      <w:r w:rsidRPr="0080287F">
        <w:rPr>
          <w:bCs/>
          <w:i/>
          <w:iCs/>
        </w:rPr>
        <w:t xml:space="preserve">Physical shielding </w:t>
      </w:r>
      <w:r w:rsidRPr="0080287F">
        <w:t xml:space="preserve">– Using natural terrain, buildings, special purpose fencing to block signal in undesired directions. </w:t>
      </w:r>
    </w:p>
    <w:p w14:paraId="7B89747F" w14:textId="77777777" w:rsidR="003F78DC" w:rsidRPr="0080287F" w:rsidRDefault="003F78DC" w:rsidP="003F78DC">
      <w:pPr>
        <w:jc w:val="both"/>
        <w:rPr>
          <w:bCs/>
        </w:rPr>
      </w:pPr>
      <w:r w:rsidRPr="0080287F">
        <w:rPr>
          <w:bCs/>
        </w:rPr>
        <w:t>The use of cross-polarization between the land mobile transmitters and the EESS (passive) is worth studying as a mitigation technique:</w:t>
      </w:r>
    </w:p>
    <w:p w14:paraId="634716E8" w14:textId="767924C1" w:rsidR="003F78DC" w:rsidRPr="0080287F" w:rsidRDefault="003F78DC" w:rsidP="003F78DC">
      <w:pPr>
        <w:jc w:val="both"/>
      </w:pPr>
      <w:r w:rsidRPr="0080287F">
        <w:rPr>
          <w:bCs/>
          <w:i/>
          <w:iCs/>
        </w:rPr>
        <w:t>Cross</w:t>
      </w:r>
      <w:r w:rsidR="0080287F">
        <w:rPr>
          <w:bCs/>
          <w:i/>
          <w:iCs/>
        </w:rPr>
        <w:t>-</w:t>
      </w:r>
      <w:r w:rsidRPr="0080287F">
        <w:rPr>
          <w:bCs/>
          <w:i/>
          <w:iCs/>
        </w:rPr>
        <w:t xml:space="preserve">polarization </w:t>
      </w:r>
      <w:r w:rsidRPr="0080287F">
        <w:t xml:space="preserve">– The use of cross polarization can be used to introduce additional isolation between systems (see further discussion in Section 7.1). </w:t>
      </w:r>
    </w:p>
    <w:p w14:paraId="3946BC57" w14:textId="77777777" w:rsidR="003F78DC" w:rsidRPr="0080287F" w:rsidRDefault="003F78DC" w:rsidP="003F78DC">
      <w:pPr>
        <w:jc w:val="both"/>
        <w:rPr>
          <w:i/>
          <w:iCs/>
        </w:rPr>
      </w:pPr>
      <w:r w:rsidRPr="0080287F">
        <w:rPr>
          <w:i/>
          <w:iCs/>
        </w:rPr>
        <w:t>[Editor’s Note: The discrimination due to cross polarization depends on the polarization and the characteristics of the systems under study.]</w:t>
      </w:r>
    </w:p>
    <w:p w14:paraId="69B42B52" w14:textId="77777777" w:rsidR="003F78DC" w:rsidRPr="0080287F" w:rsidRDefault="003F78DC" w:rsidP="003F78DC">
      <w:pPr>
        <w:jc w:val="both"/>
      </w:pPr>
      <w:r w:rsidRPr="0080287F">
        <w:rPr>
          <w:bCs/>
          <w:i/>
          <w:iCs/>
        </w:rPr>
        <w:t xml:space="preserve">[Synchronized time division </w:t>
      </w:r>
      <w:r w:rsidRPr="0080287F">
        <w:t>– The mitigation brought by ensuring the active systems avoids transmission during the time interval when the passive system is receiving.]</w:t>
      </w:r>
    </w:p>
    <w:p w14:paraId="3FEEE133" w14:textId="77777777" w:rsidR="003F78DC" w:rsidRPr="0080287F" w:rsidRDefault="003F78DC" w:rsidP="003F78DC">
      <w:pPr>
        <w:pStyle w:val="EditorsNote"/>
      </w:pPr>
      <w:r w:rsidRPr="0080287F">
        <w:t>[Editor’s Note: Further discussion is needed to determine if and to what extent this technique is relevant to the scenarios covered in this report]</w:t>
      </w:r>
    </w:p>
    <w:p w14:paraId="4A423765" w14:textId="77777777" w:rsidR="003F78DC" w:rsidRPr="0080287F" w:rsidRDefault="003F78DC" w:rsidP="003F78DC">
      <w:pPr>
        <w:jc w:val="both"/>
      </w:pPr>
      <w:r w:rsidRPr="0080287F">
        <w:rPr>
          <w:bCs/>
          <w:i/>
          <w:iCs/>
        </w:rPr>
        <w:t xml:space="preserve">Transmitter and receiver filtering </w:t>
      </w:r>
      <w:r w:rsidRPr="0080287F">
        <w:t xml:space="preserve">– Filtering is the ideal technique for avoiding, causing, or receiving adjacent channel interference. </w:t>
      </w:r>
    </w:p>
    <w:p w14:paraId="6953FDAC" w14:textId="77777777" w:rsidR="003F78DC" w:rsidRPr="0080287F" w:rsidRDefault="003F78DC" w:rsidP="003F78DC">
      <w:pPr>
        <w:pStyle w:val="EditorsNote"/>
      </w:pPr>
      <w:r w:rsidRPr="0080287F">
        <w:t>[Editor’s Note: Further discussion is needed to determine if and to what extent this technique is relevant to the scenarios covered in this report]</w:t>
      </w:r>
    </w:p>
    <w:p w14:paraId="5637A379" w14:textId="77777777" w:rsidR="003F78DC" w:rsidRPr="0080287F" w:rsidRDefault="003F78DC" w:rsidP="003F78DC">
      <w:pPr>
        <w:jc w:val="both"/>
        <w:rPr>
          <w:bCs/>
        </w:rPr>
      </w:pPr>
      <w:r w:rsidRPr="0080287F">
        <w:rPr>
          <w:bCs/>
        </w:rPr>
        <w:t>For smart antenna systems (e.g., for AAS the antenna parameters would need to be carefully chosen):</w:t>
      </w:r>
    </w:p>
    <w:p w14:paraId="2F8739B1" w14:textId="77777777" w:rsidR="003F78DC" w:rsidRPr="0080287F" w:rsidRDefault="003F78DC" w:rsidP="003F78DC">
      <w:pPr>
        <w:jc w:val="both"/>
        <w:rPr>
          <w:spacing w:val="-2"/>
        </w:rPr>
      </w:pPr>
      <w:r w:rsidRPr="0080287F">
        <w:rPr>
          <w:bCs/>
          <w:i/>
          <w:iCs/>
        </w:rPr>
        <w:t xml:space="preserve">Smart antennas </w:t>
      </w:r>
      <w:r w:rsidRPr="0080287F">
        <w:t xml:space="preserve">– A smart antenna system combines multiple antenna elements with a signal-processing capability to optimize its radiation and/or reception pattern automatically in response to the signal environment. The benefit from the use of smart antennas on sharing is due to the fact that the RF energy radiated by antenna arrays is both lower than that from conventional antennas for the </w:t>
      </w:r>
      <w:r w:rsidRPr="0080287F">
        <w:rPr>
          <w:spacing w:val="-2"/>
        </w:rPr>
        <w:t>same e.i.r.p. and focused in limited, specific regions of a cell rather than wide sectors.</w:t>
      </w:r>
    </w:p>
    <w:p w14:paraId="71BD01E1" w14:textId="77777777" w:rsidR="003F78DC" w:rsidRPr="0080287F" w:rsidRDefault="003F78DC" w:rsidP="003F78DC">
      <w:pPr>
        <w:pStyle w:val="Note"/>
        <w:jc w:val="both"/>
      </w:pPr>
      <w:r w:rsidRPr="0080287F">
        <w:lastRenderedPageBreak/>
        <w:t>NOTE 1 – The two major categories of smart antennas, based on the choice of transmit strategy, are adaptive antennas and switched-beam antennas.</w:t>
      </w:r>
    </w:p>
    <w:p w14:paraId="7AFE18FC" w14:textId="77777777" w:rsidR="003F78DC" w:rsidRPr="0080287F" w:rsidRDefault="003F78DC" w:rsidP="003F78DC">
      <w:pPr>
        <w:jc w:val="both"/>
      </w:pPr>
      <w:r w:rsidRPr="0080287F">
        <w:rPr>
          <w:bCs/>
          <w:i/>
          <w:iCs/>
        </w:rPr>
        <w:t xml:space="preserve">Dynamic channel selection techniques </w:t>
      </w:r>
      <w:r w:rsidRPr="0080287F">
        <w:t xml:space="preserve">– The radio system can potentially use one of a number of channels within a band for each transmission. [The radio system listens on all of those channels to determine which ones are occupied and dynamically chooses the channel to be used accordingly. Such techniques include for example Dynamic Frequency Selection or Detect and Avoid mechanisms.] </w:t>
      </w:r>
    </w:p>
    <w:p w14:paraId="01116C51" w14:textId="77777777" w:rsidR="003F78DC" w:rsidRPr="0080287F" w:rsidRDefault="003F78DC" w:rsidP="003F78DC">
      <w:pPr>
        <w:pStyle w:val="EditorsNote"/>
      </w:pPr>
      <w:r w:rsidRPr="0080287F">
        <w:t>[Editor’s Note: It has to be taken into account that EESS (passive) is receive-only.]</w:t>
      </w:r>
    </w:p>
    <w:p w14:paraId="14752124" w14:textId="77777777" w:rsidR="003F78DC" w:rsidRPr="0080287F" w:rsidRDefault="003F78DC" w:rsidP="003F78DC">
      <w:pPr>
        <w:jc w:val="both"/>
      </w:pPr>
      <w:r w:rsidRPr="0080287F">
        <w:rPr>
          <w:bCs/>
          <w:i/>
          <w:iCs/>
        </w:rPr>
        <w:t xml:space="preserve">Spread spectrum techniques </w:t>
      </w:r>
      <w:r w:rsidRPr="0080287F">
        <w:t xml:space="preserve">– As defined in Recommendation ITU-R SM.1055, the average energy of the transmitted signal is spread over a bandwidth which is much wider than the information bandwidth. </w:t>
      </w:r>
    </w:p>
    <w:p w14:paraId="6C852104" w14:textId="77777777" w:rsidR="003F78DC" w:rsidRPr="0080287F" w:rsidRDefault="003F78DC" w:rsidP="003F78DC">
      <w:pPr>
        <w:jc w:val="both"/>
      </w:pPr>
      <w:r w:rsidRPr="0080287F">
        <w:rPr>
          <w:bCs/>
          <w:i/>
          <w:iCs/>
        </w:rPr>
        <w:t xml:space="preserve">Adaptive power control </w:t>
      </w:r>
      <w:r w:rsidRPr="0080287F">
        <w:t xml:space="preserve">– Systems using adaptive power control transmit using just enough power for a signal to go through. This minimizes the total amount of radio power that could potentially interfere with other systems and allows systems to adapt to poor conditions by temporarily increasing the transmitted power level. </w:t>
      </w:r>
    </w:p>
    <w:p w14:paraId="4A5091F9" w14:textId="77777777" w:rsidR="003F78DC" w:rsidRPr="0080287F" w:rsidRDefault="003F78DC" w:rsidP="003F78DC">
      <w:pPr>
        <w:jc w:val="both"/>
        <w:rPr>
          <w:szCs w:val="24"/>
        </w:rPr>
      </w:pPr>
      <w:r w:rsidRPr="0080287F">
        <w:rPr>
          <w:szCs w:val="24"/>
        </w:rPr>
        <w:t>Different technical solutions for mitigation may offer a different level of mitigation to devices of the same kind as compared to devices of a different kind. The level of mitigation may depend on the technology used and often on a combination of technical requirements.</w:t>
      </w:r>
    </w:p>
    <w:p w14:paraId="0FFCD4E7" w14:textId="77777777" w:rsidR="003F78DC" w:rsidRPr="0080287F" w:rsidRDefault="003F78DC" w:rsidP="003F78DC">
      <w:pPr>
        <w:pStyle w:val="EditorsNote"/>
        <w:rPr>
          <w:sz w:val="22"/>
          <w:lang w:eastAsia="ja-JP"/>
        </w:rPr>
      </w:pPr>
      <w:r w:rsidRPr="0080287F">
        <w:t>[Editor’s note: Other mitigation techniques for consideration beyond those in Rec. ITU-R M.1825 may be added here].</w:t>
      </w:r>
    </w:p>
    <w:p w14:paraId="7180546B" w14:textId="77777777" w:rsidR="003F78DC" w:rsidRPr="0080287F" w:rsidRDefault="003F78DC" w:rsidP="003F78DC">
      <w:pPr>
        <w:rPr>
          <w:lang w:eastAsia="zh-CN"/>
        </w:rPr>
      </w:pPr>
      <w:r w:rsidRPr="0080287F">
        <w:t>…</w:t>
      </w:r>
      <w:r w:rsidRPr="0080287F">
        <w:rPr>
          <w:szCs w:val="24"/>
        </w:rPr>
        <w:t xml:space="preserve"> </w:t>
      </w:r>
    </w:p>
    <w:p w14:paraId="6333770B" w14:textId="77777777" w:rsidR="003F78DC" w:rsidRPr="0080287F" w:rsidRDefault="003F78DC" w:rsidP="003F78DC">
      <w:pPr>
        <w:rPr>
          <w:szCs w:val="24"/>
        </w:rPr>
      </w:pPr>
      <w:r w:rsidRPr="0080287F">
        <w:rPr>
          <w:szCs w:val="24"/>
        </w:rPr>
        <w:t>These mitigation techniques are discussed further in sections below.</w:t>
      </w:r>
    </w:p>
    <w:p w14:paraId="486AC9AC" w14:textId="77777777" w:rsidR="003F78DC" w:rsidRPr="0080287F" w:rsidRDefault="003F78DC" w:rsidP="003F78DC">
      <w:pPr>
        <w:pStyle w:val="Heading2"/>
      </w:pPr>
      <w:r w:rsidRPr="0080287F">
        <w:t>7.1</w:t>
      </w:r>
      <w:r w:rsidRPr="0080287F">
        <w:tab/>
        <w:t>Cross-polarization discrimination</w:t>
      </w:r>
    </w:p>
    <w:p w14:paraId="43C79BCF" w14:textId="77777777" w:rsidR="003F78DC" w:rsidRPr="0080287F" w:rsidRDefault="003F78DC" w:rsidP="003F78DC">
      <w:pPr>
        <w:jc w:val="both"/>
      </w:pPr>
      <w:r w:rsidRPr="0080287F">
        <w:t>The isolation between interfering (LMS) and victim (EESS (passive)) stations which may be obtained with transmission on different polarizations depends on factors such as: types of polarizations used, cross-polarization characteristics and mutual placement of the polarization planes of both antennas, propagation conditions.</w:t>
      </w:r>
    </w:p>
    <w:p w14:paraId="5BB1233F" w14:textId="6D194C64" w:rsidR="003F78DC" w:rsidRPr="0080287F" w:rsidRDefault="003F78DC" w:rsidP="003F78DC">
      <w:pPr>
        <w:jc w:val="both"/>
      </w:pPr>
      <w:r w:rsidRPr="0080287F">
        <w:t>To assess the level of isolation between systems a following characteristic may be used if we compare with the received interference level without taking into account polarizations (illustration in Figure</w:t>
      </w:r>
      <w:r w:rsidR="00694A45">
        <w:t> </w:t>
      </w:r>
      <w:r w:rsidRPr="0080287F">
        <w:t>2):</w:t>
      </w:r>
    </w:p>
    <w:p w14:paraId="35A219EE" w14:textId="024B7735" w:rsidR="003F78DC" w:rsidRPr="0080287F" w:rsidRDefault="00F92324" w:rsidP="00F92324">
      <w:pPr>
        <w:pStyle w:val="Equation"/>
        <w:rPr>
          <w:rFonts w:eastAsiaTheme="minorEastAsia"/>
        </w:rPr>
      </w:pPr>
      <w:r>
        <w:tab/>
      </w:r>
      <w:r>
        <w:tab/>
      </w:r>
      <m:oMath>
        <m:r>
          <w:rPr>
            <w:rFonts w:ascii="Cambria Math" w:hAnsi="Cambria Math"/>
          </w:rPr>
          <m:t>I</m:t>
        </m:r>
        <m:r>
          <m:rPr>
            <m:sty m:val="p"/>
          </m:rPr>
          <w:rPr>
            <w:rFonts w:ascii="Cambria Math" w:hAnsi="Cambria Math"/>
          </w:rPr>
          <m:t>=</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r</m:t>
                </m:r>
                <m:r>
                  <m:rPr>
                    <m:sty m:val="p"/>
                  </m:rPr>
                  <w:rPr>
                    <w:rFonts w:ascii="Cambria Math" w:eastAsiaTheme="minorEastAsia" w:hAnsi="Cambria Math"/>
                  </w:rPr>
                  <m:t xml:space="preserve"> </m:t>
                </m:r>
                <m:r>
                  <w:rPr>
                    <w:rFonts w:ascii="Cambria Math" w:eastAsiaTheme="minorEastAsia" w:hAnsi="Cambria Math"/>
                  </w:rPr>
                  <m:t>all</m:t>
                </m:r>
                <m:r>
                  <m:rPr>
                    <m:sty m:val="p"/>
                  </m:rPr>
                  <w:rPr>
                    <w:rFonts w:ascii="Cambria Math" w:eastAsiaTheme="minorEastAsia" w:hAnsi="Cambria Math"/>
                  </w:rPr>
                  <m:t xml:space="preserve"> </m:t>
                </m:r>
                <m:r>
                  <w:rPr>
                    <w:rFonts w:ascii="Cambria Math" w:eastAsiaTheme="minorEastAsia" w:hAnsi="Cambria Math"/>
                  </w:rPr>
                  <m:t>copolar</m:t>
                </m:r>
              </m:sub>
            </m:sSub>
          </m:num>
          <m:den>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r</m:t>
                </m:r>
                <m:r>
                  <m:rPr>
                    <m:sty m:val="p"/>
                  </m:rPr>
                  <w:rPr>
                    <w:rFonts w:ascii="Cambria Math" w:eastAsiaTheme="minorEastAsia" w:hAnsi="Cambria Math"/>
                  </w:rPr>
                  <m:t xml:space="preserve"> </m:t>
                </m:r>
                <m:r>
                  <w:rPr>
                    <w:rFonts w:ascii="Cambria Math" w:eastAsiaTheme="minorEastAsia" w:hAnsi="Cambria Math"/>
                  </w:rPr>
                  <m:t>with</m:t>
                </m:r>
                <m:r>
                  <m:rPr>
                    <m:sty m:val="p"/>
                  </m:rPr>
                  <w:rPr>
                    <w:rFonts w:ascii="Cambria Math" w:eastAsiaTheme="minorEastAsia" w:hAnsi="Cambria Math"/>
                  </w:rPr>
                  <m:t xml:space="preserve"> </m:t>
                </m:r>
                <m:r>
                  <w:rPr>
                    <w:rFonts w:ascii="Cambria Math" w:eastAsiaTheme="minorEastAsia" w:hAnsi="Cambria Math"/>
                  </w:rPr>
                  <m:t>cross</m:t>
                </m:r>
                <m:r>
                  <m:rPr>
                    <m:sty m:val="p"/>
                  </m:rPr>
                  <w:rPr>
                    <w:rFonts w:ascii="Cambria Math" w:eastAsiaTheme="minorEastAsia" w:hAnsi="Cambria Math"/>
                  </w:rPr>
                  <m:t>-</m:t>
                </m:r>
                <m:r>
                  <w:rPr>
                    <w:rFonts w:ascii="Cambria Math" w:eastAsiaTheme="minorEastAsia" w:hAnsi="Cambria Math"/>
                  </w:rPr>
                  <m:t>polarization</m:t>
                </m:r>
              </m:sub>
            </m:sSub>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max</m:t>
                </m:r>
                <m:r>
                  <m:rPr>
                    <m:sty m:val="p"/>
                  </m:rPr>
                  <w:rPr>
                    <w:rFonts w:ascii="Cambria Math" w:eastAsiaTheme="minorEastAsia" w:hAnsi="Cambria Math"/>
                  </w:rPr>
                  <m:t xml:space="preserve"> </m:t>
                </m:r>
                <m:r>
                  <w:rPr>
                    <w:rFonts w:ascii="Cambria Math" w:eastAsiaTheme="minorEastAsia" w:hAnsi="Cambria Math"/>
                  </w:rPr>
                  <m:t>tr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max</m:t>
                </m:r>
                <m:r>
                  <m:rPr>
                    <m:sty m:val="p"/>
                  </m:rPr>
                  <w:rPr>
                    <w:rFonts w:ascii="Cambria Math" w:eastAsiaTheme="minorEastAsia" w:hAnsi="Cambria Math"/>
                  </w:rPr>
                  <m:t xml:space="preserve"> </m:t>
                </m:r>
                <m:r>
                  <w:rPr>
                    <w:rFonts w:ascii="Cambria Math" w:eastAsiaTheme="minorEastAsia" w:hAnsi="Cambria Math"/>
                  </w:rPr>
                  <m:t>r</m:t>
                </m:r>
              </m:sub>
            </m:sSub>
            <m:r>
              <m:rPr>
                <m:sty m:val="p"/>
              </m:rPr>
              <w:rPr>
                <w:rFonts w:ascii="Cambria Math" w:eastAsiaTheme="minorEastAsia" w:hAnsi="Cambria Math"/>
              </w:rPr>
              <m:t>/</m:t>
            </m:r>
            <m:r>
              <w:rPr>
                <w:rFonts w:ascii="Cambria Math" w:eastAsiaTheme="minorEastAsia" w:hAnsi="Cambria Math"/>
              </w:rPr>
              <m:t>L</m:t>
            </m:r>
          </m:num>
          <m:den>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r</m:t>
                </m:r>
                <m:r>
                  <m:rPr>
                    <m:sty m:val="p"/>
                  </m:rPr>
                  <w:rPr>
                    <w:rFonts w:ascii="Cambria Math" w:eastAsiaTheme="minorEastAsia" w:hAnsi="Cambria Math"/>
                  </w:rPr>
                  <m:t xml:space="preserve"> </m:t>
                </m:r>
                <m:r>
                  <w:rPr>
                    <w:rFonts w:ascii="Cambria Math" w:eastAsiaTheme="minorEastAsia" w:hAnsi="Cambria Math"/>
                  </w:rPr>
                  <m:t>with</m:t>
                </m:r>
                <m:r>
                  <m:rPr>
                    <m:sty m:val="p"/>
                  </m:rPr>
                  <w:rPr>
                    <w:rFonts w:ascii="Cambria Math" w:eastAsiaTheme="minorEastAsia" w:hAnsi="Cambria Math"/>
                  </w:rPr>
                  <m:t xml:space="preserve"> </m:t>
                </m:r>
                <m:r>
                  <w:rPr>
                    <w:rFonts w:ascii="Cambria Math" w:eastAsiaTheme="minorEastAsia" w:hAnsi="Cambria Math"/>
                  </w:rPr>
                  <m:t>cross</m:t>
                </m:r>
                <m:r>
                  <m:rPr>
                    <m:sty m:val="p"/>
                  </m:rPr>
                  <w:rPr>
                    <w:rFonts w:ascii="Cambria Math" w:eastAsiaTheme="minorEastAsia" w:hAnsi="Cambria Math"/>
                  </w:rPr>
                  <m:t>-</m:t>
                </m:r>
                <m:r>
                  <w:rPr>
                    <w:rFonts w:ascii="Cambria Math" w:eastAsiaTheme="minorEastAsia" w:hAnsi="Cambria Math"/>
                  </w:rPr>
                  <m:t>polarization</m:t>
                </m:r>
              </m:sub>
            </m:sSub>
          </m:den>
        </m:f>
      </m:oMath>
      <w:r w:rsidR="003F78DC" w:rsidRPr="0080287F">
        <w:rPr>
          <w:rFonts w:eastAsiaTheme="minorEastAsia"/>
        </w:rPr>
        <w:tab/>
        <w:t>(1)</w:t>
      </w:r>
    </w:p>
    <w:p w14:paraId="26C98479" w14:textId="62DF3860" w:rsidR="003F78DC" w:rsidRPr="0080287F" w:rsidRDefault="003F78DC" w:rsidP="003F78DC">
      <w:pPr>
        <w:jc w:val="both"/>
      </w:pPr>
      <w:r w:rsidRPr="0080287F">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 all copolar</m:t>
            </m:r>
          </m:sub>
        </m:sSub>
      </m:oMath>
      <w:r w:rsidRPr="0080287F">
        <w:t xml:space="preserve"> is a received interference power without taking into account polarizations (see Figure 2), </w:t>
      </w:r>
      <m:oMath>
        <m:r>
          <w:rPr>
            <w:rFonts w:ascii="Cambria Math" w:eastAsiaTheme="minorEastAsia" w:hAnsi="Cambria Math"/>
          </w:rPr>
          <m:t>P</m:t>
        </m:r>
      </m:oMath>
      <w:r w:rsidRPr="0080287F">
        <w:t xml:space="preserve"> – power of the transmitter of interference station,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max tr</m:t>
            </m:r>
          </m:sub>
        </m:sSub>
      </m:oMath>
      <w:r w:rsidRPr="0080287F">
        <w:t xml:space="preserve"> – antenna gain of interfering station antenna,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max r</m:t>
            </m:r>
          </m:sub>
        </m:sSub>
      </m:oMath>
      <w:r w:rsidRPr="0080287F">
        <w:t xml:space="preserve"> – antenna gain of victim station, </w:t>
      </w:r>
      <m:oMath>
        <m:r>
          <w:rPr>
            <w:rFonts w:ascii="Cambria Math" w:eastAsiaTheme="minorEastAsia" w:hAnsi="Cambria Math"/>
          </w:rPr>
          <m:t>L</m:t>
        </m:r>
      </m:oMath>
      <w:r w:rsidRPr="0080287F">
        <w:t xml:space="preserve"> – basic transmission loss. Arrows in Figure</w:t>
      </w:r>
      <w:r w:rsidR="00F92324">
        <w:t> </w:t>
      </w:r>
      <w:r w:rsidRPr="0080287F">
        <w:t xml:space="preserve">2 and in figures below are polarizations. For simplicity we will consider the case when antennas of interfering and victim stations are aligned, but this can be replaced by real co-polar and cross-polar gains. Also it may be taken into account that for some types of antennas maximum cross-polar radiation may take place not in the direction of the main beam but in the diagonal planes. </w:t>
      </w:r>
    </w:p>
    <w:p w14:paraId="1BEBD49A" w14:textId="77777777" w:rsidR="003F78DC" w:rsidRPr="00633C1D" w:rsidRDefault="003F78DC" w:rsidP="003F78DC">
      <w:pPr>
        <w:pStyle w:val="FigureNo"/>
      </w:pPr>
      <w:r w:rsidRPr="0080287F">
        <w:lastRenderedPageBreak/>
        <w:t xml:space="preserve">FIGURE </w:t>
      </w:r>
      <w:r w:rsidRPr="00633C1D">
        <w:t>2</w:t>
      </w:r>
    </w:p>
    <w:p w14:paraId="4147C5BA" w14:textId="77777777" w:rsidR="003F78DC" w:rsidRPr="0080287F" w:rsidRDefault="003F78DC" w:rsidP="003F78DC">
      <w:pPr>
        <w:pStyle w:val="Figuretitle"/>
      </w:pPr>
      <w:r w:rsidRPr="0080287F">
        <w:t>Interference path without polarization discrimination</w:t>
      </w:r>
    </w:p>
    <w:p w14:paraId="797949BB" w14:textId="77777777" w:rsidR="003F78DC" w:rsidRPr="0080287F" w:rsidRDefault="003F78DC" w:rsidP="0080287F">
      <w:pPr>
        <w:pStyle w:val="Figure"/>
        <w:rPr>
          <w:noProof w:val="0"/>
        </w:rPr>
      </w:pPr>
      <w:r w:rsidRPr="0080287F">
        <w:rPr>
          <w:rFonts w:eastAsiaTheme="minorEastAsia"/>
        </w:rPr>
        <w:drawing>
          <wp:inline distT="0" distB="0" distL="0" distR="0" wp14:anchorId="68E3C2C4" wp14:editId="04B3B9F1">
            <wp:extent cx="5940425" cy="1131525"/>
            <wp:effectExtent l="0" t="0" r="3175" b="0"/>
            <wp:docPr id="9" name="Рисунок 9" descr="\\10.0.110.50\vdi-users$\yastrebtsovaoi\Redirection\Desktop\5А вклад\Без учета поляри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110.50\vdi-users$\yastrebtsovaoi\Redirection\Desktop\5А вклад\Без учета поляриз.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1131525"/>
                    </a:xfrm>
                    <a:prstGeom prst="rect">
                      <a:avLst/>
                    </a:prstGeom>
                    <a:noFill/>
                    <a:ln>
                      <a:noFill/>
                    </a:ln>
                  </pic:spPr>
                </pic:pic>
              </a:graphicData>
            </a:graphic>
          </wp:inline>
        </w:drawing>
      </w:r>
    </w:p>
    <w:p w14:paraId="3D0E90FB" w14:textId="64C73B6F" w:rsidR="003F78DC" w:rsidRPr="0080287F" w:rsidRDefault="003F78DC" w:rsidP="003F78DC">
      <w:pPr>
        <w:jc w:val="both"/>
      </w:pPr>
      <w:r w:rsidRPr="0080287F">
        <w:t>In general case equation (1) depends o</w:t>
      </w:r>
      <w:r w:rsidR="0080287F">
        <w:t>n</w:t>
      </w:r>
      <w:r w:rsidRPr="0080287F">
        <w:t xml:space="preserve"> a large number of factors, but two simple cases may be investigated if we take an assumption that both antennas use orthogonal linear polarizations and antennas are placed in parallel planes.</w:t>
      </w:r>
    </w:p>
    <w:p w14:paraId="72DCC55F" w14:textId="77777777" w:rsidR="003F78DC" w:rsidRPr="0080287F" w:rsidRDefault="003F78DC" w:rsidP="003F78DC">
      <w:pPr>
        <w:jc w:val="both"/>
      </w:pPr>
      <w:r w:rsidRPr="0080287F">
        <w:t>There are quite different definitions for some polarization characteristics but for the purposes of this document the following terms will be used, antenna cross-polarization and depolarization along the propagation path will be considered separately.</w:t>
      </w:r>
    </w:p>
    <w:p w14:paraId="1A8CC5B3" w14:textId="1FD8D0CE" w:rsidR="003F78DC" w:rsidRPr="0080287F" w:rsidRDefault="003F78DC" w:rsidP="003F78DC">
      <w:pPr>
        <w:jc w:val="both"/>
      </w:pPr>
      <w:r w:rsidRPr="0080287F">
        <w:t xml:space="preserve">According to Recommendation </w:t>
      </w:r>
      <w:hyperlink r:id="rId31" w:history="1">
        <w:r w:rsidRPr="00F92324">
          <w:rPr>
            <w:rStyle w:val="Hyperlink"/>
          </w:rPr>
          <w:t>ITU-R P.530</w:t>
        </w:r>
      </w:hyperlink>
      <w:r w:rsidRPr="0080287F">
        <w:t>, ‘cross-polarization isolation’ has the following definition: ‘For two radio waves transmitted with the same frequency with the same power and orthogonal polarization, the ratio of the co-polarized power in a given receiver to the cross-polarized power in that receiver’. Here this term will be used to describe antenna properties only:</w:t>
      </w:r>
    </w:p>
    <w:p w14:paraId="258924FE" w14:textId="4E1C061E" w:rsidR="003F78DC" w:rsidRPr="0080287F" w:rsidRDefault="00F92324" w:rsidP="00F92324">
      <w:pPr>
        <w:pStyle w:val="Equation"/>
      </w:pPr>
      <w:r>
        <w:tab/>
      </w:r>
      <w:r>
        <w:tab/>
      </w:r>
      <m:oMath>
        <m:r>
          <w:rPr>
            <w:rFonts w:ascii="Cambria Math" w:hAnsi="Cambria Math"/>
          </w:rPr>
          <m:t>XPI</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max</m:t>
                </m:r>
              </m:sub>
            </m:sSub>
          </m:num>
          <m:den>
            <m:sSub>
              <m:sSubPr>
                <m:ctrlPr>
                  <w:rPr>
                    <w:rFonts w:ascii="Cambria Math" w:hAnsi="Cambria Math"/>
                  </w:rPr>
                </m:ctrlPr>
              </m:sSubPr>
              <m:e>
                <m:r>
                  <w:rPr>
                    <w:rFonts w:ascii="Cambria Math" w:hAnsi="Cambria Math"/>
                  </w:rPr>
                  <m:t>G</m:t>
                </m:r>
              </m:e>
              <m:sub>
                <m:r>
                  <w:rPr>
                    <w:rFonts w:ascii="Cambria Math" w:hAnsi="Cambria Math"/>
                  </w:rPr>
                  <m:t>cross</m:t>
                </m:r>
              </m:sub>
            </m:sSub>
          </m:den>
        </m:f>
      </m:oMath>
      <w:r w:rsidR="003F78DC" w:rsidRPr="0080287F">
        <w:rPr>
          <w:rFonts w:eastAsiaTheme="minorEastAsia"/>
        </w:rPr>
        <w:t>,</w:t>
      </w:r>
      <w:r w:rsidR="003F78DC" w:rsidRPr="0080287F">
        <w:rPr>
          <w:rFonts w:eastAsiaTheme="minorEastAsia"/>
        </w:rPr>
        <w:tab/>
        <w:t>(2)</w:t>
      </w:r>
    </w:p>
    <w:p w14:paraId="195CEA42" w14:textId="77777777" w:rsidR="003F78DC" w:rsidRPr="0080287F" w:rsidRDefault="003F78DC" w:rsidP="003F78DC">
      <w:pPr>
        <w:jc w:val="both"/>
        <w:rPr>
          <w:rFonts w:eastAsiaTheme="minorEastAsia"/>
        </w:rPr>
      </w:pPr>
      <w:r w:rsidRPr="0080287F">
        <w:t xml:space="preserve">where </w:t>
      </w:r>
      <m:oMath>
        <m:sSub>
          <m:sSubPr>
            <m:ctrlPr>
              <w:rPr>
                <w:rFonts w:ascii="Cambria Math" w:hAnsi="Cambria Math"/>
                <w:i/>
              </w:rPr>
            </m:ctrlPr>
          </m:sSubPr>
          <m:e>
            <m:r>
              <w:rPr>
                <w:rFonts w:ascii="Cambria Math" w:hAnsi="Cambria Math"/>
              </w:rPr>
              <m:t>G</m:t>
            </m:r>
          </m:e>
          <m:sub>
            <m:r>
              <w:rPr>
                <w:rFonts w:ascii="Cambria Math" w:hAnsi="Cambria Math"/>
              </w:rPr>
              <m:t>max</m:t>
            </m:r>
          </m:sub>
        </m:sSub>
      </m:oMath>
      <w:r w:rsidRPr="0080287F">
        <w:rPr>
          <w:rFonts w:eastAsiaTheme="minorEastAsia"/>
        </w:rPr>
        <w:t xml:space="preserve"> – antenna gain in the intended polarization, </w:t>
      </w:r>
      <m:oMath>
        <m:sSub>
          <m:sSubPr>
            <m:ctrlPr>
              <w:rPr>
                <w:rFonts w:ascii="Cambria Math" w:hAnsi="Cambria Math"/>
                <w:i/>
              </w:rPr>
            </m:ctrlPr>
          </m:sSubPr>
          <m:e>
            <m:r>
              <w:rPr>
                <w:rFonts w:ascii="Cambria Math" w:hAnsi="Cambria Math"/>
              </w:rPr>
              <m:t>G</m:t>
            </m:r>
          </m:e>
          <m:sub>
            <m:r>
              <w:rPr>
                <w:rFonts w:ascii="Cambria Math" w:hAnsi="Cambria Math"/>
              </w:rPr>
              <m:t>cross</m:t>
            </m:r>
          </m:sub>
        </m:sSub>
      </m:oMath>
      <w:r w:rsidRPr="0080287F">
        <w:rPr>
          <w:rFonts w:eastAsiaTheme="minorEastAsia"/>
        </w:rPr>
        <w:t xml:space="preserve"> – antenna gain in the orthogonal polarization.</w:t>
      </w:r>
    </w:p>
    <w:p w14:paraId="1C93B27B" w14:textId="29C7B98E" w:rsidR="003F78DC" w:rsidRPr="0080287F" w:rsidRDefault="003F78DC" w:rsidP="003F78DC">
      <w:pPr>
        <w:jc w:val="both"/>
      </w:pPr>
      <w:r w:rsidRPr="0080287F">
        <w:rPr>
          <w:rFonts w:eastAsiaTheme="minorEastAsia"/>
        </w:rPr>
        <w:t>To assess depolarization along the propagation path a ‘</w:t>
      </w:r>
      <w:r w:rsidRPr="0080287F">
        <w:t>cross-polarization discrimination’ may be used which has the following definition in Recommendation ITU-R P.530: ‘For a radio wave transmitted with a given polarization, the ratio at the reception of the power received with the expected polarization to the power received with the orthogonal polarization’. But we will use this term excluding impact of the cross</w:t>
      </w:r>
      <w:r w:rsidR="0080287F">
        <w:t>-</w:t>
      </w:r>
      <w:r w:rsidRPr="0080287F">
        <w:t>polarization characteristics of antenna:</w:t>
      </w:r>
    </w:p>
    <w:p w14:paraId="6932DD9E" w14:textId="2428D910" w:rsidR="003F78DC" w:rsidRPr="0080287F" w:rsidRDefault="00F92324" w:rsidP="00F92324">
      <w:pPr>
        <w:pStyle w:val="Equation"/>
      </w:pPr>
      <w:r>
        <w:tab/>
      </w:r>
      <w:r>
        <w:tab/>
      </w:r>
      <m:oMath>
        <m:r>
          <w:rPr>
            <w:rFonts w:ascii="Cambria Math" w:hAnsi="Cambria Math"/>
          </w:rPr>
          <m:t>XPD</m:t>
        </m:r>
        <m:r>
          <m:rPr>
            <m:sty m:val="p"/>
          </m:rPr>
          <w:rPr>
            <w:rFonts w:ascii="Cambria Math" w:hAnsi="Cambria Math"/>
          </w:rPr>
          <m:t>=</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copolar</m:t>
                </m:r>
              </m:sub>
            </m:sSub>
          </m:num>
          <m:den>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crosspolar</m:t>
                </m:r>
              </m:sub>
            </m:sSub>
          </m:den>
        </m:f>
      </m:oMath>
      <w:r w:rsidR="003F78DC" w:rsidRPr="0080287F">
        <w:rPr>
          <w:rFonts w:eastAsiaTheme="minorEastAsia"/>
        </w:rPr>
        <w:tab/>
        <w:t>(3)</w:t>
      </w:r>
    </w:p>
    <w:p w14:paraId="5F6CD46F" w14:textId="77777777" w:rsidR="003F78DC" w:rsidRPr="0080287F" w:rsidRDefault="003F78DC" w:rsidP="003F78DC">
      <w:pPr>
        <w:jc w:val="both"/>
      </w:pPr>
      <w:r w:rsidRPr="0080287F">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copolar</m:t>
            </m:r>
          </m:sub>
        </m:sSub>
      </m:oMath>
      <w:r w:rsidRPr="0080287F">
        <w:rPr>
          <w:rFonts w:eastAsiaTheme="minorEastAsia"/>
        </w:rPr>
        <w:t xml:space="preserve"> is the power received by ideal antenna having no cross-polarization,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crosspolar</m:t>
            </m:r>
          </m:sub>
        </m:sSub>
      </m:oMath>
      <w:r w:rsidRPr="0080287F">
        <w:rPr>
          <w:rFonts w:eastAsiaTheme="minorEastAsia"/>
        </w:rPr>
        <w:t xml:space="preserve"> – the power received by the same antenna but placed so that it is aligned with cross-polarization.</w:t>
      </w:r>
    </w:p>
    <w:p w14:paraId="6D1E7E96" w14:textId="77777777" w:rsidR="003F78DC" w:rsidRPr="0080287F" w:rsidRDefault="003F78DC" w:rsidP="003F78DC">
      <w:pPr>
        <w:jc w:val="both"/>
        <w:rPr>
          <w:rFonts w:eastAsiaTheme="minorEastAsia"/>
        </w:rPr>
      </w:pPr>
      <w:r w:rsidRPr="0080287F">
        <w:rPr>
          <w:rFonts w:eastAsiaTheme="minorEastAsia"/>
        </w:rPr>
        <w:t>The first case is when propagation medium is isotropic (not depolarizing) and isolation between systems depends only on antennas (Figure 3).</w:t>
      </w:r>
    </w:p>
    <w:p w14:paraId="45EB3FA5" w14:textId="77777777" w:rsidR="003F78DC" w:rsidRPr="0080287F" w:rsidRDefault="003F78DC" w:rsidP="003F78DC">
      <w:pPr>
        <w:pStyle w:val="FigureNo"/>
      </w:pPr>
      <w:r w:rsidRPr="0080287F">
        <w:t>FIGURE 3</w:t>
      </w:r>
    </w:p>
    <w:p w14:paraId="6CF58038" w14:textId="77777777" w:rsidR="003F78DC" w:rsidRPr="0080287F" w:rsidRDefault="003F78DC" w:rsidP="003F78DC">
      <w:pPr>
        <w:pStyle w:val="Figuretitle"/>
      </w:pPr>
      <w:r w:rsidRPr="0080287F">
        <w:t>Interference path with orthogonal polarizations without depolarization</w:t>
      </w:r>
    </w:p>
    <w:p w14:paraId="2144D809" w14:textId="77777777" w:rsidR="003F78DC" w:rsidRPr="0080287F" w:rsidRDefault="003F78DC" w:rsidP="0080287F">
      <w:pPr>
        <w:pStyle w:val="Figure"/>
        <w:rPr>
          <w:noProof w:val="0"/>
        </w:rPr>
      </w:pPr>
      <w:r w:rsidRPr="0080287F">
        <w:rPr>
          <w:rFonts w:eastAsiaTheme="minorEastAsia"/>
        </w:rPr>
        <w:drawing>
          <wp:inline distT="0" distB="0" distL="0" distR="0" wp14:anchorId="7DF0F2C4" wp14:editId="1F9E4D74">
            <wp:extent cx="6120765" cy="1101864"/>
            <wp:effectExtent l="0" t="0" r="0" b="3175"/>
            <wp:docPr id="10" name="Рисунок 10" descr="\\10.0.110.50\vdi-users$\yastrebtsovaoi\Redirection\Desktop\5А вклад\Без деполяри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110.50\vdi-users$\yastrebtsovaoi\Redirection\Desktop\5А вклад\Без деполяриз.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101864"/>
                    </a:xfrm>
                    <a:prstGeom prst="rect">
                      <a:avLst/>
                    </a:prstGeom>
                    <a:noFill/>
                    <a:ln>
                      <a:noFill/>
                    </a:ln>
                  </pic:spPr>
                </pic:pic>
              </a:graphicData>
            </a:graphic>
          </wp:inline>
        </w:drawing>
      </w:r>
    </w:p>
    <w:p w14:paraId="69209620" w14:textId="77777777" w:rsidR="003F78DC" w:rsidRPr="0080287F" w:rsidRDefault="003F78DC" w:rsidP="003F78DC">
      <w:pPr>
        <w:jc w:val="both"/>
      </w:pPr>
      <w:r w:rsidRPr="0080287F">
        <w:lastRenderedPageBreak/>
        <w:t>If an assumption is made that basic transmission loss will be the same for both polarizations we can write equation (1) in the following way:</w:t>
      </w:r>
    </w:p>
    <w:p w14:paraId="222C470F" w14:textId="35D13850" w:rsidR="003F78DC" w:rsidRPr="0080287F" w:rsidRDefault="00F92324" w:rsidP="003F78DC">
      <w:pPr>
        <w:pStyle w:val="Equation"/>
        <w:ind w:firstLine="993"/>
        <w:rPr>
          <w:rFonts w:eastAsiaTheme="minorEastAsia"/>
        </w:rPr>
      </w:pPr>
      <w:r>
        <w:tab/>
      </w:r>
      <w:r>
        <w:tab/>
      </w:r>
      <m:oMath>
        <m:r>
          <w:rPr>
            <w:rFonts w:ascii="Cambria Math" w:hAnsi="Cambria Math"/>
          </w:rPr>
          <m:t>I</m:t>
        </m:r>
        <m:r>
          <m:rPr>
            <m:sty m:val="p"/>
          </m:rPr>
          <w:rPr>
            <w:rFonts w:ascii="Cambria Math" w:hAnsi="Cambria Math"/>
          </w:rPr>
          <m:t>=</m:t>
        </m:r>
        <m:f>
          <m:fPr>
            <m:ctrlPr>
              <w:rPr>
                <w:rFonts w:ascii="Cambria Math" w:hAnsi="Cambria Math"/>
              </w:rPr>
            </m:ctrlPr>
          </m:fPr>
          <m:num>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max</m:t>
                </m:r>
                <m:r>
                  <m:rPr>
                    <m:sty m:val="p"/>
                  </m:rPr>
                  <w:rPr>
                    <w:rFonts w:ascii="Cambria Math" w:eastAsiaTheme="minorEastAsia" w:hAnsi="Cambria Math"/>
                  </w:rPr>
                  <m:t xml:space="preserve"> </m:t>
                </m:r>
                <m:r>
                  <w:rPr>
                    <w:rFonts w:ascii="Cambria Math" w:eastAsiaTheme="minorEastAsia" w:hAnsi="Cambria Math"/>
                  </w:rPr>
                  <m:t>tr</m:t>
                </m:r>
              </m:sub>
            </m:sSub>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max</m:t>
                </m:r>
                <m:r>
                  <m:rPr>
                    <m:sty m:val="p"/>
                  </m:rPr>
                  <w:rPr>
                    <w:rFonts w:ascii="Cambria Math" w:eastAsiaTheme="minorEastAsia" w:hAnsi="Cambria Math"/>
                  </w:rPr>
                  <m:t xml:space="preserve"> </m:t>
                </m:r>
                <m:r>
                  <w:rPr>
                    <w:rFonts w:ascii="Cambria Math" w:eastAsiaTheme="minorEastAsia" w:hAnsi="Cambria Math"/>
                  </w:rPr>
                  <m:t>r</m:t>
                </m:r>
              </m:sub>
            </m:sSub>
          </m:num>
          <m:den>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cross</m:t>
                </m:r>
                <m:r>
                  <m:rPr>
                    <m:sty m:val="p"/>
                  </m:rPr>
                  <w:rPr>
                    <w:rFonts w:ascii="Cambria Math" w:eastAsiaTheme="minorEastAsia" w:hAnsi="Cambria Math"/>
                  </w:rPr>
                  <m:t xml:space="preserve"> </m:t>
                </m:r>
                <m:r>
                  <w:rPr>
                    <w:rFonts w:ascii="Cambria Math" w:eastAsiaTheme="minorEastAsia" w:hAnsi="Cambria Math"/>
                  </w:rPr>
                  <m:t>tr</m:t>
                </m:r>
              </m:sub>
            </m:sSub>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max</m:t>
                </m:r>
                <m:r>
                  <m:rPr>
                    <m:sty m:val="p"/>
                  </m:rPr>
                  <w:rPr>
                    <w:rFonts w:ascii="Cambria Math" w:eastAsiaTheme="minorEastAsia" w:hAnsi="Cambria Math"/>
                  </w:rPr>
                  <m:t xml:space="preserve"> </m:t>
                </m:r>
                <m:r>
                  <w:rPr>
                    <w:rFonts w:ascii="Cambria Math" w:eastAsiaTheme="minorEastAsia" w:hAnsi="Cambria Math"/>
                  </w:rPr>
                  <m:t>r</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max</m:t>
                </m:r>
                <m:r>
                  <m:rPr>
                    <m:sty m:val="p"/>
                  </m:rPr>
                  <w:rPr>
                    <w:rFonts w:ascii="Cambria Math" w:eastAsiaTheme="minorEastAsia" w:hAnsi="Cambria Math"/>
                  </w:rPr>
                  <m:t xml:space="preserve"> </m:t>
                </m:r>
                <m:r>
                  <w:rPr>
                    <w:rFonts w:ascii="Cambria Math" w:eastAsiaTheme="minorEastAsia" w:hAnsi="Cambria Math"/>
                  </w:rPr>
                  <m:t>tr</m:t>
                </m:r>
              </m:sub>
            </m:sSub>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cross</m:t>
                </m:r>
                <m:r>
                  <m:rPr>
                    <m:sty m:val="p"/>
                  </m:rPr>
                  <w:rPr>
                    <w:rFonts w:ascii="Cambria Math" w:eastAsiaTheme="minorEastAsia" w:hAnsi="Cambria Math"/>
                  </w:rPr>
                  <m:t xml:space="preserve"> </m:t>
                </m:r>
                <m:r>
                  <w:rPr>
                    <w:rFonts w:ascii="Cambria Math" w:eastAsiaTheme="minorEastAsia" w:hAnsi="Cambria Math"/>
                  </w:rPr>
                  <m:t>r</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XPI</m:t>
                </m:r>
              </m:e>
              <m:sub>
                <m:r>
                  <w:rPr>
                    <w:rFonts w:ascii="Cambria Math" w:hAnsi="Cambria Math"/>
                  </w:rPr>
                  <m:t>tr</m:t>
                </m:r>
              </m:sub>
            </m:sSub>
            <m:sSub>
              <m:sSubPr>
                <m:ctrlPr>
                  <w:rPr>
                    <w:rFonts w:ascii="Cambria Math" w:hAnsi="Cambria Math"/>
                  </w:rPr>
                </m:ctrlPr>
              </m:sSubPr>
              <m:e>
                <m:r>
                  <w:rPr>
                    <w:rFonts w:ascii="Cambria Math" w:hAnsi="Cambria Math"/>
                  </w:rPr>
                  <m:t>XPI</m:t>
                </m:r>
              </m:e>
              <m:sub>
                <m:r>
                  <w:rPr>
                    <w:rFonts w:ascii="Cambria Math" w:hAnsi="Cambria Math"/>
                  </w:rPr>
                  <m:t>r</m:t>
                </m:r>
              </m:sub>
            </m:sSub>
          </m:num>
          <m:den>
            <m:sSub>
              <m:sSubPr>
                <m:ctrlPr>
                  <w:rPr>
                    <w:rFonts w:ascii="Cambria Math" w:hAnsi="Cambria Math"/>
                  </w:rPr>
                </m:ctrlPr>
              </m:sSubPr>
              <m:e>
                <m:r>
                  <w:rPr>
                    <w:rFonts w:ascii="Cambria Math" w:hAnsi="Cambria Math"/>
                  </w:rPr>
                  <m:t>XPI</m:t>
                </m:r>
              </m:e>
              <m:sub>
                <m:r>
                  <w:rPr>
                    <w:rFonts w:ascii="Cambria Math" w:hAnsi="Cambria Math"/>
                  </w:rPr>
                  <m:t>tr</m:t>
                </m:r>
              </m:sub>
            </m:sSub>
            <m:r>
              <m:rPr>
                <m:sty m:val="p"/>
              </m:rPr>
              <w:rPr>
                <w:rFonts w:ascii="Cambria Math" w:hAnsi="Cambria Math"/>
              </w:rPr>
              <m:t>+</m:t>
            </m:r>
            <m:sSub>
              <m:sSubPr>
                <m:ctrlPr>
                  <w:rPr>
                    <w:rFonts w:ascii="Cambria Math" w:hAnsi="Cambria Math"/>
                  </w:rPr>
                </m:ctrlPr>
              </m:sSubPr>
              <m:e>
                <m:r>
                  <w:rPr>
                    <w:rFonts w:ascii="Cambria Math" w:hAnsi="Cambria Math"/>
                  </w:rPr>
                  <m:t>XPI</m:t>
                </m:r>
              </m:e>
              <m:sub>
                <m:r>
                  <w:rPr>
                    <w:rFonts w:ascii="Cambria Math" w:hAnsi="Cambria Math"/>
                  </w:rPr>
                  <m:t>r</m:t>
                </m:r>
              </m:sub>
            </m:sSub>
          </m:den>
        </m:f>
      </m:oMath>
      <w:r w:rsidR="003F78DC" w:rsidRPr="0080287F">
        <w:rPr>
          <w:rFonts w:eastAsiaTheme="minorEastAsia"/>
        </w:rPr>
        <w:t>,</w:t>
      </w:r>
      <w:r w:rsidR="003F78DC" w:rsidRPr="0080287F">
        <w:rPr>
          <w:rFonts w:eastAsiaTheme="minorEastAsia"/>
        </w:rPr>
        <w:tab/>
        <w:t>(4)</w:t>
      </w:r>
    </w:p>
    <w:p w14:paraId="17AEC07A" w14:textId="02CF4882" w:rsidR="003F78DC" w:rsidRPr="0080287F" w:rsidRDefault="003F78DC" w:rsidP="003F78DC">
      <w:pPr>
        <w:jc w:val="both"/>
        <w:rPr>
          <w:rFonts w:eastAsiaTheme="minorEastAsia"/>
        </w:rPr>
      </w:pPr>
      <w:r w:rsidRPr="0080287F">
        <w:rPr>
          <w:rFonts w:eastAsiaTheme="minorEastAsia"/>
        </w:rPr>
        <w:t xml:space="preserve">where </w:t>
      </w:r>
      <m:oMath>
        <m:sSub>
          <m:sSubPr>
            <m:ctrlPr>
              <w:rPr>
                <w:rFonts w:ascii="Cambria Math" w:hAnsi="Cambria Math"/>
                <w:i/>
              </w:rPr>
            </m:ctrlPr>
          </m:sSubPr>
          <m:e>
            <m:r>
              <w:rPr>
                <w:rFonts w:ascii="Cambria Math" w:hAnsi="Cambria Math"/>
              </w:rPr>
              <m:t>XPI</m:t>
            </m:r>
          </m:e>
          <m:sub>
            <m:r>
              <w:rPr>
                <w:rFonts w:ascii="Cambria Math" w:hAnsi="Cambria Math"/>
              </w:rPr>
              <m:t>tr</m:t>
            </m:r>
          </m:sub>
        </m:sSub>
      </m:oMath>
      <w:r w:rsidRPr="0080287F">
        <w:rPr>
          <w:rFonts w:eastAsiaTheme="minorEastAsia"/>
        </w:rPr>
        <w:t xml:space="preserve"> is cross-polarization isolation of interfering station antenna and </w:t>
      </w:r>
      <m:oMath>
        <m:sSub>
          <m:sSubPr>
            <m:ctrlPr>
              <w:rPr>
                <w:rFonts w:ascii="Cambria Math" w:hAnsi="Cambria Math"/>
                <w:i/>
              </w:rPr>
            </m:ctrlPr>
          </m:sSubPr>
          <m:e>
            <m:r>
              <w:rPr>
                <w:rFonts w:ascii="Cambria Math" w:hAnsi="Cambria Math"/>
              </w:rPr>
              <m:t>XPI</m:t>
            </m:r>
          </m:e>
          <m:sub>
            <m:r>
              <w:rPr>
                <w:rFonts w:ascii="Cambria Math" w:hAnsi="Cambria Math"/>
              </w:rPr>
              <m:t>r</m:t>
            </m:r>
          </m:sub>
        </m:sSub>
      </m:oMath>
      <w:r w:rsidRPr="0080287F">
        <w:rPr>
          <w:rFonts w:eastAsiaTheme="minorEastAsia"/>
        </w:rPr>
        <w:t xml:space="preserve"> – cross-polarization isolation of victim station antenna. Isolation between systems calculated with equation</w:t>
      </w:r>
      <w:r w:rsidR="00F92324">
        <w:rPr>
          <w:rFonts w:eastAsiaTheme="minorEastAsia"/>
        </w:rPr>
        <w:t> </w:t>
      </w:r>
      <w:r w:rsidRPr="0080287F">
        <w:rPr>
          <w:rFonts w:eastAsiaTheme="minorEastAsia"/>
        </w:rPr>
        <w:t>(4) for different cross-polarization isolations of antennas is presented in Figure 4.</w:t>
      </w:r>
    </w:p>
    <w:p w14:paraId="261ABA60" w14:textId="77777777" w:rsidR="003F78DC" w:rsidRPr="0080287F" w:rsidRDefault="003F78DC" w:rsidP="003F78DC">
      <w:pPr>
        <w:pStyle w:val="TableNo"/>
      </w:pPr>
      <w:r w:rsidRPr="0080287F">
        <w:t>FIGURE 4</w:t>
      </w:r>
    </w:p>
    <w:p w14:paraId="6A6CB53C" w14:textId="77777777" w:rsidR="003F78DC" w:rsidRPr="0080287F" w:rsidRDefault="003F78DC" w:rsidP="003F78DC">
      <w:pPr>
        <w:pStyle w:val="Tabletitle"/>
        <w:rPr>
          <w:rFonts w:ascii="Times New Roman" w:hAnsi="Times New Roman"/>
        </w:rPr>
      </w:pPr>
      <w:r w:rsidRPr="0080287F">
        <w:rPr>
          <w:rFonts w:ascii="Times New Roman" w:hAnsi="Times New Roman"/>
        </w:rPr>
        <w:t>Isolation between systems when there is no depolarization on the path</w:t>
      </w:r>
    </w:p>
    <w:p w14:paraId="6771C01F" w14:textId="77777777" w:rsidR="003F78DC" w:rsidRPr="0080287F" w:rsidRDefault="003F78DC" w:rsidP="0080287F">
      <w:pPr>
        <w:pStyle w:val="Figure"/>
        <w:rPr>
          <w:rFonts w:eastAsiaTheme="minorEastAsia"/>
          <w:noProof w:val="0"/>
        </w:rPr>
      </w:pPr>
      <w:r w:rsidRPr="0080287F">
        <w:rPr>
          <w:rFonts w:eastAsiaTheme="minorEastAsia"/>
        </w:rPr>
        <w:drawing>
          <wp:inline distT="0" distB="0" distL="0" distR="0" wp14:anchorId="170E258C" wp14:editId="14C32D80">
            <wp:extent cx="5350391" cy="2686479"/>
            <wp:effectExtent l="0" t="0" r="3175" b="0"/>
            <wp:docPr id="11" name="Рисунок 11" descr="E:\57\Без атмосфер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7\Без атмосферы.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5023" cy="2688805"/>
                    </a:xfrm>
                    <a:prstGeom prst="rect">
                      <a:avLst/>
                    </a:prstGeom>
                    <a:noFill/>
                    <a:ln>
                      <a:noFill/>
                    </a:ln>
                  </pic:spPr>
                </pic:pic>
              </a:graphicData>
            </a:graphic>
          </wp:inline>
        </w:drawing>
      </w:r>
    </w:p>
    <w:p w14:paraId="11E452BC" w14:textId="503C273D" w:rsidR="003F78DC" w:rsidRPr="0080287F" w:rsidRDefault="003F78DC" w:rsidP="003F78DC">
      <w:pPr>
        <w:jc w:val="both"/>
      </w:pPr>
      <w:r w:rsidRPr="0080287F">
        <w:rPr>
          <w:rFonts w:eastAsiaTheme="minorEastAsia"/>
        </w:rPr>
        <w:t>The second case is when ‘</w:t>
      </w:r>
      <w:r w:rsidRPr="0080287F">
        <w:t xml:space="preserve">part of the power of a radio wave transmitted with a defined polarization is transferred to another polarization’ (definition of ‘depolarization’ from Recommendation ITU-R P.530) (Figure 5). Depolarization on Earth-space paths may be induced as by hydrometeors, as well as by Faraday rotation. Faraday rotation may be ignored at frequencies more than about 10 GHz. Depolarization on terrestrial paths may be due to multiple reflections by multipath propagation. Depolarization due to hydrometeors is caused by anisotropic propagation medium (raindrops or ice crystals) that produce different attenuations and phase shifts on radiowaves with different polarizations due to non-spherical form of raindrops and ice crystals, but the ITU-R model provided in Recommendation </w:t>
      </w:r>
      <w:hyperlink r:id="rId34" w:history="1">
        <w:r w:rsidRPr="00F92324">
          <w:rPr>
            <w:rStyle w:val="Hyperlink"/>
          </w:rPr>
          <w:t>ITU-R P.618</w:t>
        </w:r>
      </w:hyperlink>
      <w:r w:rsidRPr="0080287F">
        <w:t xml:space="preserve"> is valid only up to 55 GHz.</w:t>
      </w:r>
    </w:p>
    <w:p w14:paraId="7F46B83B" w14:textId="77777777" w:rsidR="003F78DC" w:rsidRPr="0080287F" w:rsidRDefault="003F78DC" w:rsidP="0080287F">
      <w:pPr>
        <w:pStyle w:val="FigureNo"/>
      </w:pPr>
      <w:r w:rsidRPr="0080287F">
        <w:t>FIGURE 5</w:t>
      </w:r>
    </w:p>
    <w:p w14:paraId="5716A9A4" w14:textId="77777777" w:rsidR="003F78DC" w:rsidRPr="0080287F" w:rsidRDefault="003F78DC" w:rsidP="0080287F">
      <w:pPr>
        <w:pStyle w:val="Figuretitle"/>
      </w:pPr>
      <w:r w:rsidRPr="0080287F">
        <w:t>Interference path with orthogonal polarizations with depolarization</w:t>
      </w:r>
    </w:p>
    <w:p w14:paraId="1B76DC4F" w14:textId="77777777" w:rsidR="003F78DC" w:rsidRPr="0080287F" w:rsidRDefault="003F78DC" w:rsidP="0080287F">
      <w:pPr>
        <w:pStyle w:val="Figure"/>
        <w:rPr>
          <w:noProof w:val="0"/>
        </w:rPr>
      </w:pPr>
      <w:r w:rsidRPr="0080287F">
        <w:drawing>
          <wp:inline distT="0" distB="0" distL="0" distR="0" wp14:anchorId="1EB53F79" wp14:editId="2A50D2BC">
            <wp:extent cx="6120765" cy="1089257"/>
            <wp:effectExtent l="0" t="0" r="0" b="0"/>
            <wp:docPr id="12" name="Рисунок 12" descr="\\10.0.110.50\vdi-users$\yastrebtsovaoi\Redirection\Desktop\С деполяри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110.50\vdi-users$\yastrebtsovaoi\Redirection\Desktop\С деполяриз.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089257"/>
                    </a:xfrm>
                    <a:prstGeom prst="rect">
                      <a:avLst/>
                    </a:prstGeom>
                    <a:noFill/>
                    <a:ln>
                      <a:noFill/>
                    </a:ln>
                  </pic:spPr>
                </pic:pic>
              </a:graphicData>
            </a:graphic>
          </wp:inline>
        </w:drawing>
      </w:r>
    </w:p>
    <w:p w14:paraId="39EE9379" w14:textId="77777777" w:rsidR="003F78DC" w:rsidRPr="0080287F" w:rsidRDefault="003F78DC" w:rsidP="003F78DC">
      <w:pPr>
        <w:jc w:val="both"/>
        <w:rPr>
          <w:rFonts w:eastAsiaTheme="minorEastAsia"/>
        </w:rPr>
      </w:pPr>
      <w:r w:rsidRPr="0080287F">
        <w:t>Isolation for systems with depolarization along the propagation path will take the following form (an assumption is made that basic transmission losses are the same for all four paths):</w:t>
      </w:r>
    </w:p>
    <w:p w14:paraId="109C5B75" w14:textId="23EEAEA0" w:rsidR="003F78DC" w:rsidRPr="00DA247A" w:rsidRDefault="003F78DC" w:rsidP="003F78DC">
      <w:pPr>
        <w:jc w:val="both"/>
        <w:rPr>
          <w:rFonts w:eastAsiaTheme="minorEastAsia"/>
          <w:i/>
          <w:sz w:val="18"/>
          <w:szCs w:val="18"/>
        </w:rPr>
      </w:pPr>
      <m:oMathPara>
        <m:oMath>
          <m:r>
            <w:rPr>
              <w:rFonts w:ascii="Cambria Math" w:hAnsi="Cambria Math"/>
              <w:sz w:val="18"/>
              <w:szCs w:val="18"/>
            </w:rPr>
            <w:lastRenderedPageBreak/>
            <m:t>I=</m:t>
          </m:r>
          <m:f>
            <m:fPr>
              <m:ctrlPr>
                <w:rPr>
                  <w:rFonts w:ascii="Cambria Math"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max tr</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max r</m:t>
                  </m:r>
                </m:sub>
              </m:sSub>
            </m:num>
            <m:den>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cross tr</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max r</m:t>
                  </m:r>
                </m:sub>
              </m:sSub>
              <m:f>
                <m:fPr>
                  <m:ctrlPr>
                    <w:rPr>
                      <w:rFonts w:ascii="Cambria Math" w:eastAsiaTheme="minorEastAsia"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XPD</m:t>
                      </m:r>
                    </m:e>
                    <m:sub>
                      <m:r>
                        <w:rPr>
                          <w:rFonts w:ascii="Cambria Math" w:hAnsi="Cambria Math"/>
                          <w:sz w:val="18"/>
                          <w:szCs w:val="18"/>
                        </w:rPr>
                        <m:t>1</m:t>
                      </m:r>
                    </m:sub>
                  </m:sSub>
                </m:num>
                <m:den>
                  <m:rad>
                    <m:radPr>
                      <m:degHide m:val="1"/>
                      <m:ctrlPr>
                        <w:rPr>
                          <w:rFonts w:ascii="Cambria Math" w:eastAsiaTheme="minorEastAsia" w:hAnsi="Cambria Math"/>
                          <w:i/>
                          <w:sz w:val="18"/>
                          <w:szCs w:val="18"/>
                        </w:rPr>
                      </m:ctrlPr>
                    </m:radPr>
                    <m:deg/>
                    <m:e>
                      <m:r>
                        <w:rPr>
                          <w:rFonts w:ascii="Cambria Math" w:eastAsiaTheme="minorEastAsia" w:hAnsi="Cambria Math"/>
                          <w:sz w:val="18"/>
                          <w:szCs w:val="18"/>
                        </w:rPr>
                        <m:t>1+</m:t>
                      </m:r>
                      <m:sSubSup>
                        <m:sSubSupPr>
                          <m:ctrlPr>
                            <w:rPr>
                              <w:rFonts w:ascii="Cambria Math" w:eastAsiaTheme="minorEastAsia" w:hAnsi="Cambria Math"/>
                              <w:i/>
                              <w:sz w:val="18"/>
                              <w:szCs w:val="18"/>
                            </w:rPr>
                          </m:ctrlPr>
                        </m:sSubSupPr>
                        <m:e>
                          <m:r>
                            <w:rPr>
                              <w:rFonts w:ascii="Cambria Math" w:eastAsiaTheme="minorEastAsia" w:hAnsi="Cambria Math"/>
                              <w:sz w:val="18"/>
                              <w:szCs w:val="18"/>
                            </w:rPr>
                            <m:t>XPD</m:t>
                          </m:r>
                        </m:e>
                        <m:sub>
                          <m:r>
                            <w:rPr>
                              <w:rFonts w:ascii="Cambria Math" w:eastAsiaTheme="minorEastAsia" w:hAnsi="Cambria Math"/>
                              <w:sz w:val="18"/>
                              <w:szCs w:val="18"/>
                            </w:rPr>
                            <m:t>1</m:t>
                          </m:r>
                        </m:sub>
                        <m:sup>
                          <m:r>
                            <w:rPr>
                              <w:rFonts w:ascii="Cambria Math" w:eastAsiaTheme="minorEastAsia" w:hAnsi="Cambria Math"/>
                              <w:sz w:val="18"/>
                              <w:szCs w:val="18"/>
                            </w:rPr>
                            <m:t>2</m:t>
                          </m:r>
                        </m:sup>
                      </m:sSubSup>
                    </m:e>
                  </m:rad>
                </m:den>
              </m:f>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cross tr</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cross r</m:t>
                  </m:r>
                </m:sub>
              </m:sSub>
              <m:f>
                <m:fPr>
                  <m:ctrlPr>
                    <w:rPr>
                      <w:rFonts w:ascii="Cambria Math" w:eastAsiaTheme="minorEastAsia" w:hAnsi="Cambria Math"/>
                      <w:i/>
                      <w:sz w:val="18"/>
                      <w:szCs w:val="18"/>
                    </w:rPr>
                  </m:ctrlPr>
                </m:fPr>
                <m:num>
                  <m:r>
                    <w:rPr>
                      <w:rFonts w:ascii="Cambria Math" w:hAnsi="Cambria Math"/>
                      <w:sz w:val="18"/>
                      <w:szCs w:val="18"/>
                    </w:rPr>
                    <m:t>1</m:t>
                  </m:r>
                </m:num>
                <m:den>
                  <m:rad>
                    <m:radPr>
                      <m:degHide m:val="1"/>
                      <m:ctrlPr>
                        <w:rPr>
                          <w:rFonts w:ascii="Cambria Math" w:eastAsiaTheme="minorEastAsia" w:hAnsi="Cambria Math"/>
                          <w:i/>
                          <w:sz w:val="18"/>
                          <w:szCs w:val="18"/>
                        </w:rPr>
                      </m:ctrlPr>
                    </m:radPr>
                    <m:deg/>
                    <m:e>
                      <m:r>
                        <w:rPr>
                          <w:rFonts w:ascii="Cambria Math" w:eastAsiaTheme="minorEastAsia" w:hAnsi="Cambria Math"/>
                          <w:sz w:val="18"/>
                          <w:szCs w:val="18"/>
                        </w:rPr>
                        <m:t>1+</m:t>
                      </m:r>
                      <m:sSubSup>
                        <m:sSubSupPr>
                          <m:ctrlPr>
                            <w:rPr>
                              <w:rFonts w:ascii="Cambria Math" w:eastAsiaTheme="minorEastAsia" w:hAnsi="Cambria Math"/>
                              <w:i/>
                              <w:sz w:val="18"/>
                              <w:szCs w:val="18"/>
                            </w:rPr>
                          </m:ctrlPr>
                        </m:sSubSupPr>
                        <m:e>
                          <m:r>
                            <w:rPr>
                              <w:rFonts w:ascii="Cambria Math" w:eastAsiaTheme="minorEastAsia" w:hAnsi="Cambria Math"/>
                              <w:sz w:val="18"/>
                              <w:szCs w:val="18"/>
                            </w:rPr>
                            <m:t>XPD</m:t>
                          </m:r>
                        </m:e>
                        <m:sub>
                          <m:r>
                            <w:rPr>
                              <w:rFonts w:ascii="Cambria Math" w:eastAsiaTheme="minorEastAsia" w:hAnsi="Cambria Math"/>
                              <w:sz w:val="18"/>
                              <w:szCs w:val="18"/>
                            </w:rPr>
                            <m:t>1</m:t>
                          </m:r>
                        </m:sub>
                        <m:sup>
                          <m:r>
                            <w:rPr>
                              <w:rFonts w:ascii="Cambria Math" w:eastAsiaTheme="minorEastAsia" w:hAnsi="Cambria Math"/>
                              <w:sz w:val="18"/>
                              <w:szCs w:val="18"/>
                            </w:rPr>
                            <m:t>2</m:t>
                          </m:r>
                        </m:sup>
                      </m:sSubSup>
                    </m:e>
                  </m:rad>
                </m:den>
              </m:f>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max tr</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cross r</m:t>
                  </m:r>
                </m:sub>
              </m:sSub>
              <m:f>
                <m:fPr>
                  <m:ctrlPr>
                    <w:rPr>
                      <w:rFonts w:ascii="Cambria Math" w:eastAsiaTheme="minorEastAsia"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XPD</m:t>
                      </m:r>
                    </m:e>
                    <m:sub>
                      <m:r>
                        <w:rPr>
                          <w:rFonts w:ascii="Cambria Math" w:hAnsi="Cambria Math"/>
                          <w:sz w:val="18"/>
                          <w:szCs w:val="18"/>
                        </w:rPr>
                        <m:t>2</m:t>
                      </m:r>
                    </m:sub>
                  </m:sSub>
                </m:num>
                <m:den>
                  <m:rad>
                    <m:radPr>
                      <m:degHide m:val="1"/>
                      <m:ctrlPr>
                        <w:rPr>
                          <w:rFonts w:ascii="Cambria Math" w:eastAsiaTheme="minorEastAsia" w:hAnsi="Cambria Math"/>
                          <w:i/>
                          <w:sz w:val="18"/>
                          <w:szCs w:val="18"/>
                        </w:rPr>
                      </m:ctrlPr>
                    </m:radPr>
                    <m:deg/>
                    <m:e>
                      <m:r>
                        <w:rPr>
                          <w:rFonts w:ascii="Cambria Math" w:eastAsiaTheme="minorEastAsia" w:hAnsi="Cambria Math"/>
                          <w:sz w:val="18"/>
                          <w:szCs w:val="18"/>
                        </w:rPr>
                        <m:t>1+</m:t>
                      </m:r>
                      <m:sSubSup>
                        <m:sSubSupPr>
                          <m:ctrlPr>
                            <w:rPr>
                              <w:rFonts w:ascii="Cambria Math" w:eastAsiaTheme="minorEastAsia" w:hAnsi="Cambria Math"/>
                              <w:i/>
                              <w:sz w:val="18"/>
                              <w:szCs w:val="18"/>
                            </w:rPr>
                          </m:ctrlPr>
                        </m:sSubSupPr>
                        <m:e>
                          <m:r>
                            <w:rPr>
                              <w:rFonts w:ascii="Cambria Math" w:eastAsiaTheme="minorEastAsia" w:hAnsi="Cambria Math"/>
                              <w:sz w:val="18"/>
                              <w:szCs w:val="18"/>
                            </w:rPr>
                            <m:t>XPD</m:t>
                          </m:r>
                        </m:e>
                        <m:sub>
                          <m:r>
                            <w:rPr>
                              <w:rFonts w:ascii="Cambria Math" w:eastAsiaTheme="minorEastAsia" w:hAnsi="Cambria Math"/>
                              <w:sz w:val="18"/>
                              <w:szCs w:val="18"/>
                            </w:rPr>
                            <m:t>2</m:t>
                          </m:r>
                        </m:sub>
                        <m:sup>
                          <m:r>
                            <w:rPr>
                              <w:rFonts w:ascii="Cambria Math" w:eastAsiaTheme="minorEastAsia" w:hAnsi="Cambria Math"/>
                              <w:sz w:val="18"/>
                              <w:szCs w:val="18"/>
                            </w:rPr>
                            <m:t>2</m:t>
                          </m:r>
                        </m:sup>
                      </m:sSubSup>
                    </m:e>
                  </m:rad>
                </m:den>
              </m:f>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max tr</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G</m:t>
                  </m:r>
                </m:e>
                <m:sub>
                  <m:r>
                    <w:rPr>
                      <w:rFonts w:ascii="Cambria Math" w:eastAsiaTheme="minorEastAsia" w:hAnsi="Cambria Math"/>
                      <w:sz w:val="18"/>
                      <w:szCs w:val="18"/>
                    </w:rPr>
                    <m:t>max r</m:t>
                  </m:r>
                </m:sub>
              </m:sSub>
              <m:f>
                <m:fPr>
                  <m:ctrlPr>
                    <w:rPr>
                      <w:rFonts w:ascii="Cambria Math" w:eastAsiaTheme="minorEastAsia" w:hAnsi="Cambria Math"/>
                      <w:i/>
                      <w:sz w:val="18"/>
                      <w:szCs w:val="18"/>
                    </w:rPr>
                  </m:ctrlPr>
                </m:fPr>
                <m:num>
                  <m:r>
                    <w:rPr>
                      <w:rFonts w:ascii="Cambria Math" w:hAnsi="Cambria Math"/>
                      <w:sz w:val="18"/>
                      <w:szCs w:val="18"/>
                    </w:rPr>
                    <m:t>1</m:t>
                  </m:r>
                </m:num>
                <m:den>
                  <m:rad>
                    <m:radPr>
                      <m:degHide m:val="1"/>
                      <m:ctrlPr>
                        <w:rPr>
                          <w:rFonts w:ascii="Cambria Math" w:eastAsiaTheme="minorEastAsia" w:hAnsi="Cambria Math"/>
                          <w:i/>
                          <w:sz w:val="18"/>
                          <w:szCs w:val="18"/>
                        </w:rPr>
                      </m:ctrlPr>
                    </m:radPr>
                    <m:deg/>
                    <m:e>
                      <m:r>
                        <w:rPr>
                          <w:rFonts w:ascii="Cambria Math" w:eastAsiaTheme="minorEastAsia" w:hAnsi="Cambria Math"/>
                          <w:sz w:val="18"/>
                          <w:szCs w:val="18"/>
                        </w:rPr>
                        <m:t>1+</m:t>
                      </m:r>
                      <m:sSubSup>
                        <m:sSubSupPr>
                          <m:ctrlPr>
                            <w:rPr>
                              <w:rFonts w:ascii="Cambria Math" w:eastAsiaTheme="minorEastAsia" w:hAnsi="Cambria Math"/>
                              <w:i/>
                              <w:sz w:val="18"/>
                              <w:szCs w:val="18"/>
                            </w:rPr>
                          </m:ctrlPr>
                        </m:sSubSupPr>
                        <m:e>
                          <m:r>
                            <w:rPr>
                              <w:rFonts w:ascii="Cambria Math" w:eastAsiaTheme="minorEastAsia" w:hAnsi="Cambria Math"/>
                              <w:sz w:val="18"/>
                              <w:szCs w:val="18"/>
                            </w:rPr>
                            <m:t>XPD</m:t>
                          </m:r>
                        </m:e>
                        <m:sub>
                          <m:r>
                            <w:rPr>
                              <w:rFonts w:ascii="Cambria Math" w:eastAsiaTheme="minorEastAsia" w:hAnsi="Cambria Math"/>
                              <w:sz w:val="18"/>
                              <w:szCs w:val="18"/>
                            </w:rPr>
                            <m:t>2</m:t>
                          </m:r>
                        </m:sub>
                        <m:sup>
                          <m:r>
                            <w:rPr>
                              <w:rFonts w:ascii="Cambria Math" w:eastAsiaTheme="minorEastAsia" w:hAnsi="Cambria Math"/>
                              <w:sz w:val="18"/>
                              <w:szCs w:val="18"/>
                            </w:rPr>
                            <m:t>2</m:t>
                          </m:r>
                        </m:sup>
                      </m:sSubSup>
                    </m:e>
                  </m:rad>
                </m:den>
              </m:f>
            </m:den>
          </m:f>
        </m:oMath>
      </m:oMathPara>
    </w:p>
    <w:p w14:paraId="596D4A74" w14:textId="22733F53" w:rsidR="003F78DC" w:rsidRPr="0080287F" w:rsidRDefault="00DA247A" w:rsidP="00DA247A">
      <w:pPr>
        <w:pStyle w:val="Equation"/>
        <w:rPr>
          <w:rFonts w:eastAsiaTheme="minorEastAsia"/>
        </w:rPr>
      </w:pPr>
      <w:r>
        <w:rPr>
          <w:rFonts w:eastAsiaTheme="minorEastAsia"/>
          <w:sz w:val="18"/>
          <w:szCs w:val="18"/>
        </w:rPr>
        <w:tab/>
      </w:r>
      <w:r>
        <w:rPr>
          <w:rFonts w:eastAsiaTheme="minorEastAsia"/>
          <w:sz w:val="18"/>
          <w:szCs w:val="18"/>
        </w:rPr>
        <w:tab/>
      </w:r>
      <m:oMath>
        <m:r>
          <w:rPr>
            <w:rFonts w:ascii="Cambria Math" w:eastAsiaTheme="minorEastAsia" w:hAnsi="Cambria Math"/>
          </w:rPr>
          <m:t>I</m:t>
        </m:r>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XPI</m:t>
                </m:r>
              </m:e>
              <m:sub>
                <m:r>
                  <w:rPr>
                    <w:rFonts w:ascii="Cambria Math" w:eastAsiaTheme="minorEastAsia" w:hAnsi="Cambria Math"/>
                  </w:rPr>
                  <m:t>tr</m:t>
                </m:r>
              </m:sub>
            </m:sSub>
            <m:sSub>
              <m:sSubPr>
                <m:ctrlPr>
                  <w:rPr>
                    <w:rFonts w:ascii="Cambria Math" w:eastAsiaTheme="minorEastAsia" w:hAnsi="Cambria Math"/>
                  </w:rPr>
                </m:ctrlPr>
              </m:sSubPr>
              <m:e>
                <m:r>
                  <w:rPr>
                    <w:rFonts w:ascii="Cambria Math" w:eastAsiaTheme="minorEastAsia" w:hAnsi="Cambria Math"/>
                  </w:rPr>
                  <m:t>XPI</m:t>
                </m:r>
              </m:e>
              <m:sub>
                <m:r>
                  <w:rPr>
                    <w:rFonts w:ascii="Cambria Math" w:eastAsiaTheme="minorEastAsia" w:hAnsi="Cambria Math"/>
                  </w:rPr>
                  <m:t>r</m:t>
                </m:r>
              </m:sub>
            </m:sSub>
            <m:rad>
              <m:radPr>
                <m:degHide m:val="1"/>
                <m:ctrlPr>
                  <w:rPr>
                    <w:rFonts w:ascii="Cambria Math" w:eastAsiaTheme="minorEastAsia" w:hAnsi="Cambria Math"/>
                  </w:rPr>
                </m:ctrlPr>
              </m:radPr>
              <m:deg/>
              <m:e>
                <m:sSubSup>
                  <m:sSubSupPr>
                    <m:ctrlPr>
                      <w:rPr>
                        <w:rFonts w:ascii="Cambria Math" w:eastAsiaTheme="minorEastAsia" w:hAnsi="Cambria Math"/>
                      </w:rPr>
                    </m:ctrlPr>
                  </m:sSubSupPr>
                  <m:e>
                    <m:r>
                      <m:rPr>
                        <m:sty m:val="p"/>
                      </m:rPr>
                      <w:rPr>
                        <w:rFonts w:ascii="Cambria Math" w:eastAsiaTheme="minorEastAsia" w:hAnsi="Cambria Math"/>
                      </w:rPr>
                      <m:t>1+</m:t>
                    </m:r>
                    <m:r>
                      <w:rPr>
                        <w:rFonts w:ascii="Cambria Math" w:eastAsiaTheme="minorEastAsia" w:hAnsi="Cambria Math"/>
                      </w:rPr>
                      <m:t>XPD</m:t>
                    </m:r>
                  </m:e>
                  <m:sub>
                    <m:r>
                      <m:rPr>
                        <m:sty m:val="p"/>
                      </m:rPr>
                      <w:rPr>
                        <w:rFonts w:ascii="Cambria Math" w:eastAsiaTheme="minorEastAsia" w:hAnsi="Cambria Math"/>
                      </w:rPr>
                      <m:t>1</m:t>
                    </m:r>
                  </m:sub>
                  <m:sup>
                    <m:r>
                      <m:rPr>
                        <m:sty m:val="p"/>
                      </m:rPr>
                      <w:rPr>
                        <w:rFonts w:ascii="Cambria Math" w:eastAsiaTheme="minorEastAsia" w:hAnsi="Cambria Math"/>
                      </w:rPr>
                      <m:t>2</m:t>
                    </m:r>
                  </m:sup>
                </m:sSubSup>
              </m:e>
            </m:rad>
            <m:rad>
              <m:radPr>
                <m:degHide m:val="1"/>
                <m:ctrlPr>
                  <w:rPr>
                    <w:rFonts w:ascii="Cambria Math" w:eastAsiaTheme="minorEastAsia" w:hAnsi="Cambria Math"/>
                  </w:rPr>
                </m:ctrlPr>
              </m:radPr>
              <m:deg/>
              <m:e>
                <m:r>
                  <m:rPr>
                    <m:sty m:val="p"/>
                  </m:rPr>
                  <w:rPr>
                    <w:rFonts w:ascii="Cambria Math" w:eastAsiaTheme="minorEastAsia" w:hAnsi="Cambria Math"/>
                  </w:rPr>
                  <m:t>1+</m:t>
                </m:r>
                <m:sSubSup>
                  <m:sSubSupPr>
                    <m:ctrlPr>
                      <w:rPr>
                        <w:rFonts w:ascii="Cambria Math" w:eastAsiaTheme="minorEastAsia" w:hAnsi="Cambria Math"/>
                      </w:rPr>
                    </m:ctrlPr>
                  </m:sSubSupPr>
                  <m:e>
                    <m:r>
                      <w:rPr>
                        <w:rFonts w:ascii="Cambria Math" w:eastAsiaTheme="minorEastAsia" w:hAnsi="Cambria Math"/>
                      </w:rPr>
                      <m:t>XPD</m:t>
                    </m:r>
                  </m:e>
                  <m:sub>
                    <m:r>
                      <m:rPr>
                        <m:sty m:val="p"/>
                      </m:rPr>
                      <w:rPr>
                        <w:rFonts w:ascii="Cambria Math" w:eastAsiaTheme="minorEastAsia" w:hAnsi="Cambria Math"/>
                      </w:rPr>
                      <m:t>2</m:t>
                    </m:r>
                  </m:sub>
                  <m:sup>
                    <m:r>
                      <m:rPr>
                        <m:sty m:val="p"/>
                      </m:rPr>
                      <w:rPr>
                        <w:rFonts w:ascii="Cambria Math" w:eastAsiaTheme="minorEastAsia" w:hAnsi="Cambria Math"/>
                      </w:rPr>
                      <m:t>2</m:t>
                    </m:r>
                  </m:sup>
                </m:sSubSup>
              </m:e>
            </m:rad>
          </m:num>
          <m:den>
            <m:sSub>
              <m:sSubPr>
                <m:ctrlPr>
                  <w:rPr>
                    <w:rFonts w:ascii="Cambria Math" w:eastAsiaTheme="minorEastAsia" w:hAnsi="Cambria Math"/>
                  </w:rPr>
                </m:ctrlPr>
              </m:sSubPr>
              <m:e>
                <m:r>
                  <w:rPr>
                    <w:rFonts w:ascii="Cambria Math" w:eastAsiaTheme="minorEastAsia" w:hAnsi="Cambria Math"/>
                  </w:rPr>
                  <m:t>XPI</m:t>
                </m:r>
              </m:e>
              <m:sub>
                <m:r>
                  <w:rPr>
                    <w:rFonts w:ascii="Cambria Math" w:eastAsiaTheme="minorEastAsia" w:hAnsi="Cambria Math"/>
                  </w:rPr>
                  <m:t>r</m:t>
                </m:r>
              </m:sub>
            </m:sSub>
            <m:sSub>
              <m:sSubPr>
                <m:ctrlPr>
                  <w:rPr>
                    <w:rFonts w:ascii="Cambria Math" w:hAnsi="Cambria Math"/>
                  </w:rPr>
                </m:ctrlPr>
              </m:sSubPr>
              <m:e>
                <m:r>
                  <w:rPr>
                    <w:rFonts w:ascii="Cambria Math" w:hAnsi="Cambria Math"/>
                  </w:rPr>
                  <m:t>XPD</m:t>
                </m:r>
              </m:e>
              <m:sub>
                <m:r>
                  <m:rPr>
                    <m:sty m:val="p"/>
                  </m:rPr>
                  <w:rPr>
                    <w:rFonts w:ascii="Cambria Math" w:hAnsi="Cambria Math"/>
                  </w:rPr>
                  <m:t>1</m:t>
                </m:r>
              </m:sub>
            </m:sSub>
            <m:rad>
              <m:radPr>
                <m:degHide m:val="1"/>
                <m:ctrlPr>
                  <w:rPr>
                    <w:rFonts w:ascii="Cambria Math" w:eastAsiaTheme="minorEastAsia" w:hAnsi="Cambria Math"/>
                  </w:rPr>
                </m:ctrlPr>
              </m:radPr>
              <m:deg/>
              <m:e>
                <m:r>
                  <m:rPr>
                    <m:sty m:val="p"/>
                  </m:rPr>
                  <w:rPr>
                    <w:rFonts w:ascii="Cambria Math" w:eastAsiaTheme="minorEastAsia" w:hAnsi="Cambria Math"/>
                  </w:rPr>
                  <m:t>1+</m:t>
                </m:r>
                <m:sSubSup>
                  <m:sSubSupPr>
                    <m:ctrlPr>
                      <w:rPr>
                        <w:rFonts w:ascii="Cambria Math" w:eastAsiaTheme="minorEastAsia" w:hAnsi="Cambria Math"/>
                      </w:rPr>
                    </m:ctrlPr>
                  </m:sSubSupPr>
                  <m:e>
                    <m:r>
                      <w:rPr>
                        <w:rFonts w:ascii="Cambria Math" w:eastAsiaTheme="minorEastAsia" w:hAnsi="Cambria Math"/>
                      </w:rPr>
                      <m:t>XPD</m:t>
                    </m:r>
                  </m:e>
                  <m:sub>
                    <m:r>
                      <m:rPr>
                        <m:sty m:val="p"/>
                      </m:rPr>
                      <w:rPr>
                        <w:rFonts w:ascii="Cambria Math" w:eastAsiaTheme="minorEastAsia" w:hAnsi="Cambria Math"/>
                      </w:rPr>
                      <m:t>2</m:t>
                    </m:r>
                  </m:sub>
                  <m:sup>
                    <m:r>
                      <m:rPr>
                        <m:sty m:val="p"/>
                      </m:rPr>
                      <w:rPr>
                        <w:rFonts w:ascii="Cambria Math" w:eastAsiaTheme="minorEastAsia" w:hAnsi="Cambria Math"/>
                      </w:rPr>
                      <m:t>2</m:t>
                    </m:r>
                  </m:sup>
                </m:sSubSup>
              </m:e>
            </m:rad>
            <m:r>
              <m:rPr>
                <m:sty m:val="p"/>
              </m:rPr>
              <w:rPr>
                <w:rFonts w:ascii="Cambria Math" w:eastAsiaTheme="minorEastAsia" w:hAnsi="Cambria Math"/>
              </w:rPr>
              <m:t>+</m:t>
            </m:r>
            <m:rad>
              <m:radPr>
                <m:degHide m:val="1"/>
                <m:ctrlPr>
                  <w:rPr>
                    <w:rFonts w:ascii="Cambria Math" w:eastAsiaTheme="minorEastAsia" w:hAnsi="Cambria Math"/>
                  </w:rPr>
                </m:ctrlPr>
              </m:radPr>
              <m:deg/>
              <m:e>
                <m:r>
                  <m:rPr>
                    <m:sty m:val="p"/>
                  </m:rPr>
                  <w:rPr>
                    <w:rFonts w:ascii="Cambria Math" w:eastAsiaTheme="minorEastAsia" w:hAnsi="Cambria Math"/>
                  </w:rPr>
                  <m:t>1+</m:t>
                </m:r>
                <m:sSubSup>
                  <m:sSubSupPr>
                    <m:ctrlPr>
                      <w:rPr>
                        <w:rFonts w:ascii="Cambria Math" w:eastAsiaTheme="minorEastAsia" w:hAnsi="Cambria Math"/>
                      </w:rPr>
                    </m:ctrlPr>
                  </m:sSubSupPr>
                  <m:e>
                    <m:r>
                      <w:rPr>
                        <w:rFonts w:ascii="Cambria Math" w:eastAsiaTheme="minorEastAsia" w:hAnsi="Cambria Math"/>
                      </w:rPr>
                      <m:t>XPD</m:t>
                    </m:r>
                  </m:e>
                  <m:sub>
                    <m:r>
                      <m:rPr>
                        <m:sty m:val="p"/>
                      </m:rPr>
                      <w:rPr>
                        <w:rFonts w:ascii="Cambria Math" w:eastAsiaTheme="minorEastAsia" w:hAnsi="Cambria Math"/>
                      </w:rPr>
                      <m:t>2</m:t>
                    </m:r>
                  </m:sub>
                  <m:sup>
                    <m:r>
                      <m:rPr>
                        <m:sty m:val="p"/>
                      </m:rPr>
                      <w:rPr>
                        <w:rFonts w:ascii="Cambria Math" w:eastAsiaTheme="minorEastAsia" w:hAnsi="Cambria Math"/>
                      </w:rPr>
                      <m:t>2</m:t>
                    </m:r>
                  </m:sup>
                </m:sSubSup>
              </m:e>
            </m:ra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XPI</m:t>
                </m:r>
              </m:e>
              <m:sub>
                <m:r>
                  <w:rPr>
                    <w:rFonts w:ascii="Cambria Math" w:eastAsiaTheme="minorEastAsia" w:hAnsi="Cambria Math"/>
                  </w:rPr>
                  <m:t>tr</m:t>
                </m:r>
              </m:sub>
            </m:sSub>
            <m:sSub>
              <m:sSubPr>
                <m:ctrlPr>
                  <w:rPr>
                    <w:rFonts w:ascii="Cambria Math" w:hAnsi="Cambria Math"/>
                  </w:rPr>
                </m:ctrlPr>
              </m:sSubPr>
              <m:e>
                <m:r>
                  <w:rPr>
                    <w:rFonts w:ascii="Cambria Math" w:hAnsi="Cambria Math"/>
                  </w:rPr>
                  <m:t>XPD</m:t>
                </m:r>
              </m:e>
              <m:sub>
                <m:r>
                  <m:rPr>
                    <m:sty m:val="p"/>
                  </m:rPr>
                  <w:rPr>
                    <w:rFonts w:ascii="Cambria Math" w:hAnsi="Cambria Math"/>
                  </w:rPr>
                  <m:t>2</m:t>
                </m:r>
              </m:sub>
            </m:sSub>
            <m:rad>
              <m:radPr>
                <m:degHide m:val="1"/>
                <m:ctrlPr>
                  <w:rPr>
                    <w:rFonts w:ascii="Cambria Math" w:eastAsiaTheme="minorEastAsia" w:hAnsi="Cambria Math"/>
                  </w:rPr>
                </m:ctrlPr>
              </m:radPr>
              <m:deg/>
              <m:e>
                <m:r>
                  <m:rPr>
                    <m:sty m:val="p"/>
                  </m:rPr>
                  <w:rPr>
                    <w:rFonts w:ascii="Cambria Math" w:eastAsiaTheme="minorEastAsia" w:hAnsi="Cambria Math"/>
                  </w:rPr>
                  <m:t>1+</m:t>
                </m:r>
                <m:sSubSup>
                  <m:sSubSupPr>
                    <m:ctrlPr>
                      <w:rPr>
                        <w:rFonts w:ascii="Cambria Math" w:eastAsiaTheme="minorEastAsia" w:hAnsi="Cambria Math"/>
                      </w:rPr>
                    </m:ctrlPr>
                  </m:sSubSupPr>
                  <m:e>
                    <m:r>
                      <w:rPr>
                        <w:rFonts w:ascii="Cambria Math" w:eastAsiaTheme="minorEastAsia" w:hAnsi="Cambria Math"/>
                      </w:rPr>
                      <m:t>XPD</m:t>
                    </m:r>
                  </m:e>
                  <m:sub>
                    <m:r>
                      <m:rPr>
                        <m:sty m:val="p"/>
                      </m:rPr>
                      <w:rPr>
                        <w:rFonts w:ascii="Cambria Math" w:eastAsiaTheme="minorEastAsia" w:hAnsi="Cambria Math"/>
                      </w:rPr>
                      <m:t>1</m:t>
                    </m:r>
                  </m:sub>
                  <m:sup>
                    <m:r>
                      <m:rPr>
                        <m:sty m:val="p"/>
                      </m:rPr>
                      <w:rPr>
                        <w:rFonts w:ascii="Cambria Math" w:eastAsiaTheme="minorEastAsia" w:hAnsi="Cambria Math"/>
                      </w:rPr>
                      <m:t>2</m:t>
                    </m:r>
                  </m:sup>
                </m:sSubSup>
              </m:e>
            </m:ra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XPI</m:t>
                </m:r>
              </m:e>
              <m:sub>
                <m:r>
                  <w:rPr>
                    <w:rFonts w:ascii="Cambria Math" w:eastAsiaTheme="minorEastAsia" w:hAnsi="Cambria Math"/>
                  </w:rPr>
                  <m:t>tr</m:t>
                </m:r>
              </m:sub>
            </m:sSub>
            <m:sSub>
              <m:sSubPr>
                <m:ctrlPr>
                  <w:rPr>
                    <w:rFonts w:ascii="Cambria Math" w:eastAsiaTheme="minorEastAsia" w:hAnsi="Cambria Math"/>
                  </w:rPr>
                </m:ctrlPr>
              </m:sSubPr>
              <m:e>
                <m:r>
                  <w:rPr>
                    <w:rFonts w:ascii="Cambria Math" w:eastAsiaTheme="minorEastAsia" w:hAnsi="Cambria Math"/>
                  </w:rPr>
                  <m:t>XPI</m:t>
                </m:r>
              </m:e>
              <m:sub>
                <m:r>
                  <w:rPr>
                    <w:rFonts w:ascii="Cambria Math" w:eastAsiaTheme="minorEastAsia" w:hAnsi="Cambria Math"/>
                  </w:rPr>
                  <m:t>r</m:t>
                </m:r>
              </m:sub>
            </m:sSub>
            <m:sSub>
              <m:sSubPr>
                <m:ctrlPr>
                  <w:rPr>
                    <w:rFonts w:ascii="Cambria Math" w:hAnsi="Cambria Math"/>
                  </w:rPr>
                </m:ctrlPr>
              </m:sSubPr>
              <m:e>
                <m:r>
                  <w:rPr>
                    <w:rFonts w:ascii="Cambria Math" w:hAnsi="Cambria Math"/>
                  </w:rPr>
                  <m:t>XPD</m:t>
                </m:r>
              </m:e>
              <m:sub>
                <m:r>
                  <m:rPr>
                    <m:sty m:val="p"/>
                  </m:rPr>
                  <w:rPr>
                    <w:rFonts w:ascii="Cambria Math" w:hAnsi="Cambria Math"/>
                  </w:rPr>
                  <m:t>1</m:t>
                </m:r>
              </m:sub>
            </m:sSub>
            <m:rad>
              <m:radPr>
                <m:degHide m:val="1"/>
                <m:ctrlPr>
                  <w:rPr>
                    <w:rFonts w:ascii="Cambria Math" w:eastAsiaTheme="minorEastAsia" w:hAnsi="Cambria Math"/>
                  </w:rPr>
                </m:ctrlPr>
              </m:radPr>
              <m:deg/>
              <m:e>
                <m:r>
                  <m:rPr>
                    <m:sty m:val="p"/>
                  </m:rPr>
                  <w:rPr>
                    <w:rFonts w:ascii="Cambria Math" w:eastAsiaTheme="minorEastAsia" w:hAnsi="Cambria Math"/>
                  </w:rPr>
                  <m:t>1+</m:t>
                </m:r>
                <m:sSubSup>
                  <m:sSubSupPr>
                    <m:ctrlPr>
                      <w:rPr>
                        <w:rFonts w:ascii="Cambria Math" w:eastAsiaTheme="minorEastAsia" w:hAnsi="Cambria Math"/>
                      </w:rPr>
                    </m:ctrlPr>
                  </m:sSubSupPr>
                  <m:e>
                    <m:r>
                      <w:rPr>
                        <w:rFonts w:ascii="Cambria Math" w:eastAsiaTheme="minorEastAsia" w:hAnsi="Cambria Math"/>
                      </w:rPr>
                      <m:t>XPD</m:t>
                    </m:r>
                  </m:e>
                  <m:sub>
                    <m:r>
                      <m:rPr>
                        <m:sty m:val="p"/>
                      </m:rPr>
                      <w:rPr>
                        <w:rFonts w:ascii="Cambria Math" w:eastAsiaTheme="minorEastAsia" w:hAnsi="Cambria Math"/>
                      </w:rPr>
                      <m:t>1</m:t>
                    </m:r>
                  </m:sub>
                  <m:sup>
                    <m:r>
                      <m:rPr>
                        <m:sty m:val="p"/>
                      </m:rPr>
                      <w:rPr>
                        <w:rFonts w:ascii="Cambria Math" w:eastAsiaTheme="minorEastAsia" w:hAnsi="Cambria Math"/>
                      </w:rPr>
                      <m:t>2</m:t>
                    </m:r>
                  </m:sup>
                </m:sSubSup>
              </m:e>
            </m:rad>
          </m:den>
        </m:f>
      </m:oMath>
      <w:r w:rsidR="003F78DC" w:rsidRPr="0080287F">
        <w:rPr>
          <w:rFonts w:eastAsiaTheme="minorEastAsia"/>
        </w:rPr>
        <w:t>,</w:t>
      </w:r>
      <w:r w:rsidR="003F78DC" w:rsidRPr="0080287F">
        <w:rPr>
          <w:rFonts w:eastAsiaTheme="minorEastAsia"/>
        </w:rPr>
        <w:tab/>
        <w:t>(5)</w:t>
      </w:r>
    </w:p>
    <w:p w14:paraId="50CE31C3" w14:textId="77777777" w:rsidR="003F78DC" w:rsidRPr="0080287F" w:rsidRDefault="003F78DC" w:rsidP="003F78DC">
      <w:pPr>
        <w:jc w:val="both"/>
        <w:rPr>
          <w:rFonts w:eastAsiaTheme="minorEastAsia"/>
        </w:rPr>
      </w:pPr>
      <w:r w:rsidRPr="0080287F">
        <w:rPr>
          <w:rFonts w:eastAsiaTheme="minorEastAsia"/>
        </w:rPr>
        <w:t xml:space="preserve">where subscript ‘1’ for </w:t>
      </w:r>
      <m:oMath>
        <m:r>
          <w:rPr>
            <w:rFonts w:ascii="Cambria Math" w:eastAsiaTheme="minorEastAsia" w:hAnsi="Cambria Math"/>
          </w:rPr>
          <m:t>XPD</m:t>
        </m:r>
      </m:oMath>
      <w:r w:rsidRPr="0080287F">
        <w:rPr>
          <w:rFonts w:eastAsiaTheme="minorEastAsia"/>
        </w:rPr>
        <w:t xml:space="preserve"> is for transfer of energy from the polarization co-polar for victim station to the orthogonal polarization and ‘2’ is for vice versa.</w:t>
      </w:r>
    </w:p>
    <w:p w14:paraId="1157D5B7" w14:textId="77777777" w:rsidR="003F78DC" w:rsidRPr="0080287F" w:rsidRDefault="003F78DC" w:rsidP="003F78DC">
      <w:pPr>
        <w:jc w:val="both"/>
        <w:rPr>
          <w:rFonts w:eastAsiaTheme="minorEastAsia"/>
          <w:szCs w:val="24"/>
        </w:rPr>
      </w:pPr>
      <w:r w:rsidRPr="0080287F">
        <w:rPr>
          <w:rFonts w:eastAsiaTheme="minorEastAsia"/>
        </w:rPr>
        <w:t xml:space="preserve">In Figures 6 and 7 the results are shown for abstract values of </w:t>
      </w:r>
      <m:oMath>
        <m:r>
          <w:rPr>
            <w:rFonts w:ascii="Cambria Math" w:eastAsiaTheme="minorEastAsia" w:hAnsi="Cambria Math"/>
          </w:rPr>
          <m:t>XPD</m:t>
        </m:r>
      </m:oMath>
      <w:r w:rsidRPr="0080287F">
        <w:rPr>
          <w:rFonts w:eastAsiaTheme="minorEastAsia"/>
        </w:rPr>
        <w:t xml:space="preserve"> equal to 40 and 30 dB, respectively. It is evident that the most impact on isolation has the transfer of energy from cross-polar to copolar components in respect to victim </w:t>
      </w:r>
      <w:r w:rsidRPr="0080287F">
        <w:rPr>
          <w:rFonts w:eastAsiaTheme="minorEastAsia"/>
          <w:szCs w:val="24"/>
        </w:rPr>
        <w:t>polarization (</w:t>
      </w:r>
      <m:oMath>
        <m:sSub>
          <m:sSubPr>
            <m:ctrlPr>
              <w:rPr>
                <w:rFonts w:ascii="Cambria Math" w:hAnsi="Cambria Math"/>
                <w:i/>
                <w:szCs w:val="24"/>
              </w:rPr>
            </m:ctrlPr>
          </m:sSubPr>
          <m:e>
            <m:r>
              <w:rPr>
                <w:rFonts w:ascii="Cambria Math" w:hAnsi="Cambria Math"/>
                <w:szCs w:val="24"/>
              </w:rPr>
              <m:t>XPD</m:t>
            </m:r>
          </m:e>
          <m:sub>
            <m:r>
              <w:rPr>
                <w:rFonts w:ascii="Cambria Math" w:hAnsi="Cambria Math"/>
                <w:szCs w:val="24"/>
              </w:rPr>
              <m:t>2</m:t>
            </m:r>
          </m:sub>
        </m:sSub>
      </m:oMath>
      <w:r w:rsidRPr="0080287F">
        <w:rPr>
          <w:rFonts w:eastAsiaTheme="minorEastAsia"/>
          <w:szCs w:val="24"/>
        </w:rPr>
        <w:t>).</w:t>
      </w:r>
    </w:p>
    <w:p w14:paraId="71AE9915" w14:textId="77777777" w:rsidR="003F78DC" w:rsidRPr="0080287F" w:rsidRDefault="003F78DC" w:rsidP="003F78DC">
      <w:pPr>
        <w:pStyle w:val="FigureNo"/>
      </w:pPr>
      <w:r w:rsidRPr="0080287F">
        <w:t>FIGURE 6</w:t>
      </w:r>
    </w:p>
    <w:p w14:paraId="52339F08" w14:textId="77777777" w:rsidR="003F78DC" w:rsidRPr="0080287F" w:rsidRDefault="003F78DC" w:rsidP="003F78DC">
      <w:pPr>
        <w:pStyle w:val="Figuretitle"/>
      </w:pPr>
      <w:r w:rsidRPr="0080287F">
        <w:t xml:space="preserve">Isolation when propagation medium is depolarizing, </w:t>
      </w:r>
      <m:oMath>
        <m:sSub>
          <m:sSubPr>
            <m:ctrlPr>
              <w:rPr>
                <w:rFonts w:ascii="Cambria Math" w:hAnsi="Cambria Math"/>
                <w:i/>
              </w:rPr>
            </m:ctrlPr>
          </m:sSubPr>
          <m:e>
            <m:r>
              <m:rPr>
                <m:sty m:val="bi"/>
              </m:rPr>
              <w:rPr>
                <w:rFonts w:ascii="Cambria Math" w:hAnsi="Cambria Math"/>
              </w:rPr>
              <m:t>XPD</m:t>
            </m:r>
          </m:e>
          <m:sub>
            <m:r>
              <m:rPr>
                <m:sty m:val="bi"/>
              </m:rPr>
              <w:rPr>
                <w:rFonts w:ascii="Cambria Math" w:hAnsi="Cambria Math"/>
              </w:rPr>
              <m:t>2</m:t>
            </m:r>
          </m:sub>
        </m:sSub>
        <m:r>
          <m:rPr>
            <m:sty m:val="bi"/>
          </m:rPr>
          <w:rPr>
            <w:rFonts w:ascii="Cambria Math" w:hAnsi="Cambria Math"/>
          </w:rPr>
          <m:t>=40</m:t>
        </m:r>
      </m:oMath>
      <w:r w:rsidRPr="0080287F">
        <w:t xml:space="preserve"> dB</w:t>
      </w:r>
    </w:p>
    <w:p w14:paraId="2168DF08" w14:textId="77777777" w:rsidR="003F78DC" w:rsidRPr="0080287F" w:rsidRDefault="003F78DC" w:rsidP="0080287F">
      <w:pPr>
        <w:pStyle w:val="Figure"/>
        <w:rPr>
          <w:noProof w:val="0"/>
        </w:rPr>
      </w:pPr>
      <w:r w:rsidRPr="0080287F">
        <w:drawing>
          <wp:inline distT="0" distB="0" distL="0" distR="0" wp14:anchorId="79B13E99" wp14:editId="1FBB7EA7">
            <wp:extent cx="5620175" cy="2812499"/>
            <wp:effectExtent l="0" t="0" r="0" b="6985"/>
            <wp:docPr id="13" name="Рисунок 13" descr="\\10.0.110.50\vdi-users$\yastrebtsovaoi\Redirection\Desktop\5А вклад\С атм 40 д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110.50\vdi-users$\yastrebtsovaoi\Redirection\Desktop\5А вклад\С атм 40 дБ.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25428" cy="2815128"/>
                    </a:xfrm>
                    <a:prstGeom prst="rect">
                      <a:avLst/>
                    </a:prstGeom>
                    <a:noFill/>
                    <a:ln>
                      <a:noFill/>
                    </a:ln>
                  </pic:spPr>
                </pic:pic>
              </a:graphicData>
            </a:graphic>
          </wp:inline>
        </w:drawing>
      </w:r>
    </w:p>
    <w:p w14:paraId="4F4109AD" w14:textId="77777777" w:rsidR="003F78DC" w:rsidRPr="0080287F" w:rsidRDefault="003F78DC" w:rsidP="003F78DC">
      <w:pPr>
        <w:pStyle w:val="FigureNo"/>
      </w:pPr>
      <w:r w:rsidRPr="0080287F">
        <w:lastRenderedPageBreak/>
        <w:t>FIGURE 7</w:t>
      </w:r>
    </w:p>
    <w:p w14:paraId="0D1D0E8A" w14:textId="77777777" w:rsidR="003F78DC" w:rsidRPr="0080287F" w:rsidRDefault="003F78DC" w:rsidP="003F78DC">
      <w:pPr>
        <w:pStyle w:val="Figuretitle"/>
      </w:pPr>
      <w:r w:rsidRPr="0080287F">
        <w:t xml:space="preserve">Isolation when propagation medium is depolarizing, </w:t>
      </w:r>
      <m:oMath>
        <m:sSub>
          <m:sSubPr>
            <m:ctrlPr>
              <w:rPr>
                <w:rFonts w:ascii="Cambria Math" w:hAnsi="Cambria Math"/>
                <w:i/>
              </w:rPr>
            </m:ctrlPr>
          </m:sSubPr>
          <m:e>
            <m:r>
              <m:rPr>
                <m:sty m:val="bi"/>
              </m:rPr>
              <w:rPr>
                <w:rFonts w:ascii="Cambria Math" w:hAnsi="Cambria Math"/>
              </w:rPr>
              <m:t>XPD</m:t>
            </m:r>
          </m:e>
          <m:sub>
            <m:r>
              <m:rPr>
                <m:sty m:val="bi"/>
              </m:rPr>
              <w:rPr>
                <w:rFonts w:ascii="Cambria Math" w:hAnsi="Cambria Math"/>
              </w:rPr>
              <m:t>2</m:t>
            </m:r>
          </m:sub>
        </m:sSub>
        <m:r>
          <m:rPr>
            <m:sty m:val="bi"/>
          </m:rPr>
          <w:rPr>
            <w:rFonts w:ascii="Cambria Math" w:hAnsi="Cambria Math"/>
          </w:rPr>
          <m:t>=30</m:t>
        </m:r>
      </m:oMath>
      <w:r w:rsidRPr="0080287F">
        <w:t xml:space="preserve"> dB</w:t>
      </w:r>
    </w:p>
    <w:p w14:paraId="2EC36BB2" w14:textId="77777777" w:rsidR="003F78DC" w:rsidRPr="0080287F" w:rsidRDefault="003F78DC" w:rsidP="0080287F">
      <w:pPr>
        <w:pStyle w:val="Figure"/>
        <w:rPr>
          <w:rFonts w:eastAsiaTheme="minorEastAsia"/>
          <w:noProof w:val="0"/>
        </w:rPr>
      </w:pPr>
      <w:r w:rsidRPr="0080287F">
        <w:rPr>
          <w:rFonts w:eastAsiaTheme="minorEastAsia"/>
        </w:rPr>
        <w:drawing>
          <wp:inline distT="0" distB="0" distL="0" distR="0" wp14:anchorId="76F684F0" wp14:editId="6A56D4D6">
            <wp:extent cx="5545878" cy="2800350"/>
            <wp:effectExtent l="0" t="0" r="0" b="0"/>
            <wp:docPr id="14" name="Рисунок 14" descr="\\10.0.110.50\vdi-users$\yastrebtsovaoi\Redirection\Desktop\5А вклад\С атм 30 д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110.50\vdi-users$\yastrebtsovaoi\Redirection\Desktop\5А вклад\С атм 30 дБ.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54028" cy="2804465"/>
                    </a:xfrm>
                    <a:prstGeom prst="rect">
                      <a:avLst/>
                    </a:prstGeom>
                    <a:noFill/>
                    <a:ln>
                      <a:noFill/>
                    </a:ln>
                  </pic:spPr>
                </pic:pic>
              </a:graphicData>
            </a:graphic>
          </wp:inline>
        </w:drawing>
      </w:r>
    </w:p>
    <w:p w14:paraId="1A0761E9" w14:textId="77777777" w:rsidR="003F78DC" w:rsidRPr="0080287F" w:rsidRDefault="003F78DC" w:rsidP="003F78DC">
      <w:pPr>
        <w:jc w:val="both"/>
        <w:rPr>
          <w:rFonts w:eastAsiaTheme="minorEastAsia"/>
        </w:rPr>
      </w:pPr>
      <w:r w:rsidRPr="0080287F">
        <w:rPr>
          <w:rFonts w:eastAsiaTheme="minorEastAsia"/>
        </w:rPr>
        <w:t>From Figures 6 and 7 it can be concluded that depolarization along the propagation path further decreases isolation between interfering and victim stations.</w:t>
      </w:r>
    </w:p>
    <w:p w14:paraId="2843DDBF" w14:textId="77777777" w:rsidR="003F78DC" w:rsidRPr="0080287F" w:rsidRDefault="003F78DC" w:rsidP="003F78DC">
      <w:pPr>
        <w:jc w:val="both"/>
        <w:rPr>
          <w:rFonts w:eastAsiaTheme="minorEastAsia"/>
        </w:rPr>
      </w:pPr>
      <w:r w:rsidRPr="0080287F">
        <w:rPr>
          <w:rFonts w:eastAsiaTheme="minorEastAsia"/>
        </w:rPr>
        <w:t>From the provided in this section results for linear polarization the following general conclusions may be drawn. The simplest case when interfering and victim antennas are located in parallel planes and there is no depolarization on the path shows that:</w:t>
      </w:r>
    </w:p>
    <w:p w14:paraId="4E9EA168" w14:textId="77777777" w:rsidR="003F78DC" w:rsidRPr="0080287F" w:rsidRDefault="003F78DC" w:rsidP="003F78DC">
      <w:pPr>
        <w:pStyle w:val="enumlev1"/>
        <w:rPr>
          <w:rFonts w:eastAsiaTheme="minorEastAsia"/>
        </w:rPr>
      </w:pPr>
      <w:r w:rsidRPr="0080287F">
        <w:rPr>
          <w:rFonts w:eastAsiaTheme="minorEastAsia"/>
        </w:rPr>
        <w:t>–</w:t>
      </w:r>
      <w:r w:rsidRPr="0080287F">
        <w:rPr>
          <w:rFonts w:eastAsiaTheme="minorEastAsia"/>
        </w:rPr>
        <w:tab/>
        <w:t>firstly, isolation between the stations depends on crosspolar characteristics of both antennas;</w:t>
      </w:r>
    </w:p>
    <w:p w14:paraId="36A2F563" w14:textId="77777777" w:rsidR="003F78DC" w:rsidRPr="0080287F" w:rsidRDefault="003F78DC" w:rsidP="003F78DC">
      <w:pPr>
        <w:pStyle w:val="enumlev1"/>
        <w:rPr>
          <w:rFonts w:eastAsiaTheme="minorEastAsia"/>
        </w:rPr>
      </w:pPr>
      <w:r w:rsidRPr="0080287F">
        <w:rPr>
          <w:rFonts w:eastAsiaTheme="minorEastAsia"/>
        </w:rPr>
        <w:t>–</w:t>
      </w:r>
      <w:r w:rsidRPr="0080287F">
        <w:rPr>
          <w:rFonts w:eastAsiaTheme="minorEastAsia"/>
        </w:rPr>
        <w:tab/>
        <w:t>secondly, isolation between the stations compared with calculations without taking into account polarizations is worse than the lowest cross-polarization isolation of the two antennas (Figure 4).</w:t>
      </w:r>
    </w:p>
    <w:p w14:paraId="24ACB24E" w14:textId="77777777" w:rsidR="003F78DC" w:rsidRPr="0080287F" w:rsidRDefault="003F78DC" w:rsidP="003F78DC">
      <w:pPr>
        <w:jc w:val="both"/>
        <w:rPr>
          <w:rFonts w:eastAsiaTheme="minorEastAsia"/>
        </w:rPr>
      </w:pPr>
      <w:r w:rsidRPr="0080287F">
        <w:rPr>
          <w:rFonts w:eastAsiaTheme="minorEastAsia"/>
        </w:rPr>
        <w:t>The isolation will be further reduced if the propagation path is depolarizing one but it cannot be assessed due to the lack of depolarization models for the considered frequencies. However it should be taken into account that with increase of depolarization due to hydrometeors attenuation also will be significantly increased.</w:t>
      </w:r>
    </w:p>
    <w:p w14:paraId="10411DED" w14:textId="1DED9AD2" w:rsidR="003F78DC" w:rsidRPr="0080287F" w:rsidRDefault="003F78DC" w:rsidP="003F78DC">
      <w:pPr>
        <w:jc w:val="both"/>
        <w:rPr>
          <w:rFonts w:eastAsiaTheme="minorEastAsia"/>
        </w:rPr>
      </w:pPr>
      <w:r w:rsidRPr="0080287F">
        <w:rPr>
          <w:rFonts w:eastAsiaTheme="minorEastAsia"/>
        </w:rPr>
        <w:t>In reality antennas of interfering and victim stations are placed in the arbitrary planes with respect to each other so isolation between systems will be further reduced. Before a value of isolation between systems may be determined additional studies are needed in order not to make a mistake when assessing interference level.</w:t>
      </w:r>
    </w:p>
    <w:p w14:paraId="2D25BA6E" w14:textId="77777777" w:rsidR="003F78DC" w:rsidRPr="0080287F" w:rsidRDefault="003F78DC" w:rsidP="00633C1D">
      <w:pPr>
        <w:pStyle w:val="Heading2"/>
      </w:pPr>
      <w:r w:rsidRPr="0080287F">
        <w:t>7.2</w:t>
      </w:r>
      <w:r w:rsidRPr="0080287F">
        <w:tab/>
        <w:t>[TBD]</w:t>
      </w:r>
    </w:p>
    <w:p w14:paraId="1B6DE3AE" w14:textId="77777777" w:rsidR="003F78DC" w:rsidRPr="0080287F" w:rsidRDefault="003F78DC" w:rsidP="003F78DC"/>
    <w:p w14:paraId="5927F883" w14:textId="34706393" w:rsidR="000069D4" w:rsidRPr="0080287F" w:rsidRDefault="003F78DC" w:rsidP="00F92324">
      <w:pPr>
        <w:jc w:val="center"/>
        <w:rPr>
          <w:lang w:eastAsia="zh-CN"/>
        </w:rPr>
      </w:pPr>
      <w:r w:rsidRPr="0080287F">
        <w:t>______________</w:t>
      </w:r>
    </w:p>
    <w:sectPr w:rsidR="000069D4" w:rsidRPr="0080287F" w:rsidSect="00D02712">
      <w:headerReference w:type="default"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BFD7" w14:textId="77777777" w:rsidR="003F78DC" w:rsidRDefault="003F78DC">
      <w:r>
        <w:separator/>
      </w:r>
    </w:p>
  </w:endnote>
  <w:endnote w:type="continuationSeparator" w:id="0">
    <w:p w14:paraId="41103344" w14:textId="77777777" w:rsidR="003F78DC" w:rsidRDefault="003F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EDD" w14:textId="41712294" w:rsidR="00FA124A" w:rsidRPr="002F7CB3" w:rsidRDefault="0054197E">
    <w:pPr>
      <w:pStyle w:val="Footer"/>
      <w:rPr>
        <w:lang w:val="en-US"/>
      </w:rPr>
    </w:pPr>
    <w:r>
      <w:fldChar w:fldCharType="begin"/>
    </w:r>
    <w:r>
      <w:instrText xml:space="preserve"> FILENAME \p \* MERGEFORMAT </w:instrText>
    </w:r>
    <w:r>
      <w:fldChar w:fldCharType="separate"/>
    </w:r>
    <w:r w:rsidR="00BF287D" w:rsidRPr="00BF287D">
      <w:rPr>
        <w:lang w:val="en-US"/>
      </w:rPr>
      <w:t>M</w:t>
    </w:r>
    <w:r w:rsidR="00BF287D">
      <w:t>:\BRSGD\TEXT2019\SG05\WP5A\500\597\597N24e.docx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BF287D">
      <w:t>13.06.22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F287D">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BA2D" w14:textId="6DC75A45" w:rsidR="00FA124A" w:rsidRPr="002F7CB3" w:rsidRDefault="0054197E" w:rsidP="0080287F">
    <w:pPr>
      <w:pStyle w:val="Footer"/>
      <w:spacing w:before="240"/>
      <w:rPr>
        <w:lang w:val="en-US"/>
      </w:rPr>
    </w:pPr>
    <w:r>
      <w:fldChar w:fldCharType="begin"/>
    </w:r>
    <w:r>
      <w:instrText xml:space="preserve"> FILENAME \p \* MERGEFORMAT </w:instrText>
    </w:r>
    <w:r>
      <w:fldChar w:fldCharType="separate"/>
    </w:r>
    <w:r w:rsidR="00BF287D" w:rsidRPr="00BF287D">
      <w:rPr>
        <w:lang w:val="en-US"/>
      </w:rPr>
      <w:t>M</w:t>
    </w:r>
    <w:r w:rsidR="00BF287D">
      <w:t>:\BRSGD\TEXT2019\SG05\WP5A\500\597\597N24e.docx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BF287D">
      <w:t>13.06.22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F287D">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DB00" w14:textId="77777777" w:rsidR="003F78DC" w:rsidRDefault="003F78DC">
      <w:r>
        <w:t>____________________</w:t>
      </w:r>
    </w:p>
  </w:footnote>
  <w:footnote w:type="continuationSeparator" w:id="0">
    <w:p w14:paraId="54BEFD58" w14:textId="77777777" w:rsidR="003F78DC" w:rsidRDefault="003F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9E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244EFB2" w14:textId="01926CBE" w:rsidR="00FA124A" w:rsidRDefault="003F78DC">
    <w:pPr>
      <w:pStyle w:val="Header"/>
      <w:rPr>
        <w:lang w:val="en-US"/>
      </w:rPr>
    </w:pPr>
    <w:r>
      <w:rPr>
        <w:lang w:val="en-US"/>
      </w:rPr>
      <w:t>5A/</w:t>
    </w:r>
    <w:r w:rsidR="00633C1D">
      <w:rPr>
        <w:lang w:val="en-US"/>
      </w:rPr>
      <w:t>597 (Annex 24)</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DC"/>
    <w:rsid w:val="000069D4"/>
    <w:rsid w:val="000174AD"/>
    <w:rsid w:val="00047A1D"/>
    <w:rsid w:val="000604B9"/>
    <w:rsid w:val="000A7D55"/>
    <w:rsid w:val="000B315E"/>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3F78DC"/>
    <w:rsid w:val="004B1EF7"/>
    <w:rsid w:val="004B3FAD"/>
    <w:rsid w:val="004C5749"/>
    <w:rsid w:val="00501DCA"/>
    <w:rsid w:val="00513A47"/>
    <w:rsid w:val="005408DF"/>
    <w:rsid w:val="0054197E"/>
    <w:rsid w:val="00573344"/>
    <w:rsid w:val="00583F9B"/>
    <w:rsid w:val="005B0D29"/>
    <w:rsid w:val="005E5C10"/>
    <w:rsid w:val="005F2C78"/>
    <w:rsid w:val="006144E4"/>
    <w:rsid w:val="00633C1D"/>
    <w:rsid w:val="00650299"/>
    <w:rsid w:val="00655FC5"/>
    <w:rsid w:val="00694A45"/>
    <w:rsid w:val="00742051"/>
    <w:rsid w:val="00790C43"/>
    <w:rsid w:val="0080287F"/>
    <w:rsid w:val="0080538C"/>
    <w:rsid w:val="00814E0A"/>
    <w:rsid w:val="00822581"/>
    <w:rsid w:val="008309DD"/>
    <w:rsid w:val="0083227A"/>
    <w:rsid w:val="00866900"/>
    <w:rsid w:val="00876A8A"/>
    <w:rsid w:val="00881BA1"/>
    <w:rsid w:val="008C2302"/>
    <w:rsid w:val="008C26B8"/>
    <w:rsid w:val="008F208F"/>
    <w:rsid w:val="0096519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BF287D"/>
    <w:rsid w:val="00C57A91"/>
    <w:rsid w:val="00CC01C2"/>
    <w:rsid w:val="00CF21F2"/>
    <w:rsid w:val="00D02712"/>
    <w:rsid w:val="00D046A7"/>
    <w:rsid w:val="00D214D0"/>
    <w:rsid w:val="00D6546B"/>
    <w:rsid w:val="00DA247A"/>
    <w:rsid w:val="00DB178B"/>
    <w:rsid w:val="00DC17D3"/>
    <w:rsid w:val="00DD4BED"/>
    <w:rsid w:val="00DE39F0"/>
    <w:rsid w:val="00DF0AF3"/>
    <w:rsid w:val="00DF7E9F"/>
    <w:rsid w:val="00E27D7E"/>
    <w:rsid w:val="00E42E13"/>
    <w:rsid w:val="00E56D5C"/>
    <w:rsid w:val="00E6257C"/>
    <w:rsid w:val="00E63C59"/>
    <w:rsid w:val="00F25662"/>
    <w:rsid w:val="00F92324"/>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CDEE4"/>
  <w15:docId w15:val="{13D692B4-52F3-4A81-9CD1-74A60F55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qFormat/>
    <w:rsid w:val="003F78DC"/>
    <w:rPr>
      <w:color w:val="0000FF" w:themeColor="hyperlink"/>
      <w:u w:val="single"/>
    </w:rPr>
  </w:style>
  <w:style w:type="character" w:styleId="UnresolvedMention">
    <w:name w:val="Unresolved Mention"/>
    <w:basedOn w:val="DefaultParagraphFont"/>
    <w:uiPriority w:val="99"/>
    <w:semiHidden/>
    <w:unhideWhenUsed/>
    <w:rsid w:val="003F78DC"/>
    <w:rPr>
      <w:color w:val="605E5C"/>
      <w:shd w:val="clear" w:color="auto" w:fill="E1DFDD"/>
    </w:rPr>
  </w:style>
  <w:style w:type="table" w:styleId="TableGrid">
    <w:name w:val="Table Grid"/>
    <w:basedOn w:val="TableNormal"/>
    <w:rsid w:val="003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Char">
    <w:name w:val="Table_No Char"/>
    <w:basedOn w:val="DefaultParagraphFont"/>
    <w:link w:val="TableNo"/>
    <w:locked/>
    <w:rsid w:val="003F78DC"/>
    <w:rPr>
      <w:rFonts w:ascii="Times New Roman" w:hAnsi="Times New Roman"/>
      <w:caps/>
      <w:lang w:val="en-GB" w:eastAsia="en-US"/>
    </w:rPr>
  </w:style>
  <w:style w:type="character" w:customStyle="1" w:styleId="TabletitleChar">
    <w:name w:val="Table_title Char"/>
    <w:basedOn w:val="DefaultParagraphFont"/>
    <w:link w:val="Tabletitle"/>
    <w:locked/>
    <w:rsid w:val="003F78DC"/>
    <w:rPr>
      <w:rFonts w:ascii="Times New Roman Bold" w:hAnsi="Times New Roman Bold"/>
      <w:b/>
      <w:lang w:val="en-GB" w:eastAsia="en-US"/>
    </w:rPr>
  </w:style>
  <w:style w:type="paragraph" w:styleId="Revision">
    <w:name w:val="Revision"/>
    <w:hidden/>
    <w:uiPriority w:val="99"/>
    <w:semiHidden/>
    <w:rsid w:val="0080287F"/>
    <w:rPr>
      <w:rFonts w:ascii="Times New Roman" w:hAnsi="Times New Roman"/>
      <w:sz w:val="24"/>
      <w:lang w:val="en-GB" w:eastAsia="en-US"/>
    </w:rPr>
  </w:style>
  <w:style w:type="character" w:styleId="FollowedHyperlink">
    <w:name w:val="FollowedHyperlink"/>
    <w:basedOn w:val="DefaultParagraphFont"/>
    <w:semiHidden/>
    <w:unhideWhenUsed/>
    <w:rsid w:val="00694A45"/>
    <w:rPr>
      <w:color w:val="800080" w:themeColor="followedHyperlink"/>
      <w:u w:val="single"/>
    </w:rPr>
  </w:style>
  <w:style w:type="character" w:styleId="CommentReference">
    <w:name w:val="annotation reference"/>
    <w:basedOn w:val="DefaultParagraphFont"/>
    <w:semiHidden/>
    <w:unhideWhenUsed/>
    <w:rsid w:val="00742051"/>
    <w:rPr>
      <w:sz w:val="16"/>
      <w:szCs w:val="16"/>
    </w:rPr>
  </w:style>
  <w:style w:type="paragraph" w:styleId="CommentText">
    <w:name w:val="annotation text"/>
    <w:basedOn w:val="Normal"/>
    <w:link w:val="CommentTextChar"/>
    <w:semiHidden/>
    <w:unhideWhenUsed/>
    <w:rsid w:val="00742051"/>
    <w:rPr>
      <w:sz w:val="20"/>
    </w:rPr>
  </w:style>
  <w:style w:type="character" w:customStyle="1" w:styleId="CommentTextChar">
    <w:name w:val="Comment Text Char"/>
    <w:basedOn w:val="DefaultParagraphFont"/>
    <w:link w:val="CommentText"/>
    <w:semiHidden/>
    <w:rsid w:val="0074205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42051"/>
    <w:rPr>
      <w:b/>
      <w:bCs/>
    </w:rPr>
  </w:style>
  <w:style w:type="character" w:customStyle="1" w:styleId="CommentSubjectChar">
    <w:name w:val="Comment Subject Char"/>
    <w:basedOn w:val="CommentTextChar"/>
    <w:link w:val="CommentSubject"/>
    <w:semiHidden/>
    <w:rsid w:val="0074205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rec/R-REC-P.676/en" TargetMode="External"/><Relationship Id="rId18" Type="http://schemas.openxmlformats.org/officeDocument/2006/relationships/hyperlink" Target="https://www.itu.int/pub/R-REP-M.2417" TargetMode="External"/><Relationship Id="rId26" Type="http://schemas.openxmlformats.org/officeDocument/2006/relationships/hyperlink" Target="https://www.itu.int/rec/R-REC-P.2109/e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pub/R-REP-SM.2450" TargetMode="External"/><Relationship Id="rId34" Type="http://schemas.openxmlformats.org/officeDocument/2006/relationships/hyperlink" Target="https://www.itu.int/rec/R-REC-P.618/e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rec/R-REC-M.1825/en" TargetMode="External"/><Relationship Id="rId17" Type="http://schemas.openxmlformats.org/officeDocument/2006/relationships/hyperlink" Target="https://www.itu.int/rec/R-REC-RS.2017/en" TargetMode="External"/><Relationship Id="rId25" Type="http://schemas.openxmlformats.org/officeDocument/2006/relationships/hyperlink" Target="https://www.itu.int/rec/R-REC-P.2108/en" TargetMode="External"/><Relationship Id="rId33" Type="http://schemas.openxmlformats.org/officeDocument/2006/relationships/image" Target="media/image5.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rec/R-REC-P.2109" TargetMode="External"/><Relationship Id="rId20" Type="http://schemas.openxmlformats.org/officeDocument/2006/relationships/hyperlink" Target="https://www.itu.int/pub/R-REP-SM.2352" TargetMode="External"/><Relationship Id="rId29" Type="http://schemas.openxmlformats.org/officeDocument/2006/relationships/hyperlink" Target="http://www.itu.int/rec/R-REC-M.1825/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pub/R-REP-SM.2450" TargetMode="External"/><Relationship Id="rId24" Type="http://schemas.openxmlformats.org/officeDocument/2006/relationships/image" Target="media/image2.png"/><Relationship Id="rId32" Type="http://schemas.openxmlformats.org/officeDocument/2006/relationships/image" Target="media/image4.png"/><Relationship Id="rId37" Type="http://schemas.openxmlformats.org/officeDocument/2006/relationships/image" Target="media/image8.pn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tu.int/rec/R-REC-P.840/en" TargetMode="External"/><Relationship Id="rId23" Type="http://schemas.openxmlformats.org/officeDocument/2006/relationships/hyperlink" Target="https://www.itu.int/rec/R-REC-P.676/en" TargetMode="External"/><Relationship Id="rId28" Type="http://schemas.openxmlformats.org/officeDocument/2006/relationships/hyperlink" Target="https://www.itu.int/md/R19-WP5A-C-0225/en" TargetMode="External"/><Relationship Id="rId36" Type="http://schemas.openxmlformats.org/officeDocument/2006/relationships/image" Target="media/image7.png"/><Relationship Id="rId10" Type="http://schemas.openxmlformats.org/officeDocument/2006/relationships/hyperlink" Target="https://www.itu.int/md/R19-WP5A-C-0225/en" TargetMode="External"/><Relationship Id="rId19" Type="http://schemas.openxmlformats.org/officeDocument/2006/relationships/hyperlink" Target="https://www.itu.int/pub/R-REP-RS.2431" TargetMode="External"/><Relationship Id="rId31" Type="http://schemas.openxmlformats.org/officeDocument/2006/relationships/hyperlink" Target="https://www.itu.int/rec/R-REC-P.530/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rec/R-REC-P.838/en" TargetMode="External"/><Relationship Id="rId22" Type="http://schemas.openxmlformats.org/officeDocument/2006/relationships/hyperlink" Target="https://www.itu.int/pub/R-REP-RS.2017" TargetMode="External"/><Relationship Id="rId27" Type="http://schemas.openxmlformats.org/officeDocument/2006/relationships/hyperlink" Target="https://www.itu.int/pub/R-REP-SM.2450" TargetMode="External"/><Relationship Id="rId30" Type="http://schemas.openxmlformats.org/officeDocument/2006/relationships/image" Target="media/image3.png"/><Relationship Id="rId35"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6A32E-B191-4CD5-A371-FAB2276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6E7AB-8A96-4281-B80C-44C228991BF2}">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7A2FE415-0F7C-4A77-A410-0E3178C52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221</TotalTime>
  <Pages>10</Pages>
  <Words>3042</Words>
  <Characters>19636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Fernandez Jimenez, Virginia</cp:lastModifiedBy>
  <cp:revision>5</cp:revision>
  <cp:lastPrinted>2008-02-21T14:04:00Z</cp:lastPrinted>
  <dcterms:created xsi:type="dcterms:W3CDTF">2022-06-13T09:32:00Z</dcterms:created>
  <dcterms:modified xsi:type="dcterms:W3CDTF">2022-06-13T13:42:00Z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