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15"/>
        <w:tblW w:w="9889" w:type="dxa"/>
        <w:tblLayout w:type="fixed"/>
        <w:tblLook w:val="0000" w:firstRow="0" w:lastRow="0" w:firstColumn="0" w:lastColumn="0" w:noHBand="0" w:noVBand="0"/>
      </w:tblPr>
      <w:tblGrid>
        <w:gridCol w:w="6237"/>
        <w:gridCol w:w="240"/>
        <w:gridCol w:w="10"/>
        <w:gridCol w:w="3294"/>
        <w:gridCol w:w="108"/>
      </w:tblGrid>
      <w:tr w:rsidR="00EC0BE3" w14:paraId="7A4F0EEA" w14:textId="77777777" w:rsidTr="46C3CBE9">
        <w:trPr>
          <w:cantSplit/>
        </w:trPr>
        <w:tc>
          <w:tcPr>
            <w:tcW w:w="6477" w:type="dxa"/>
            <w:gridSpan w:val="2"/>
            <w:vAlign w:val="center"/>
          </w:tcPr>
          <w:p w14:paraId="10D875D7"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420F57">
              <w:rPr>
                <w:rFonts w:ascii="Verdana" w:hAnsi="Verdana" w:cs="Times New Roman Bold"/>
                <w:b/>
                <w:bCs/>
                <w:sz w:val="20"/>
              </w:rPr>
              <w:t>25</w:t>
            </w:r>
            <w:r>
              <w:rPr>
                <w:rFonts w:ascii="Verdana" w:hAnsi="Verdana" w:cs="Times New Roman Bold"/>
                <w:b/>
                <w:bCs/>
                <w:sz w:val="20"/>
              </w:rPr>
              <w:t>-</w:t>
            </w:r>
            <w:r w:rsidR="00420F57">
              <w:rPr>
                <w:rFonts w:ascii="Verdana" w:hAnsi="Verdana" w:cs="Times New Roman Bold"/>
                <w:b/>
                <w:bCs/>
                <w:sz w:val="20"/>
              </w:rPr>
              <w:t>27</w:t>
            </w:r>
            <w:r>
              <w:rPr>
                <w:rFonts w:ascii="Verdana" w:hAnsi="Verdana" w:cs="Times New Roman Bold"/>
                <w:b/>
                <w:bCs/>
                <w:sz w:val="20"/>
              </w:rPr>
              <w:t xml:space="preserve"> </w:t>
            </w:r>
            <w:r w:rsidR="00420F57">
              <w:rPr>
                <w:rFonts w:ascii="Verdana" w:hAnsi="Verdana" w:cs="Times New Roman Bold"/>
                <w:b/>
                <w:bCs/>
                <w:sz w:val="20"/>
              </w:rPr>
              <w:t>May</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3"/>
            <w:vAlign w:val="center"/>
          </w:tcPr>
          <w:p w14:paraId="5B2D7785" w14:textId="77777777" w:rsidR="00EC0BE3" w:rsidRDefault="00C126C1" w:rsidP="00AF7CE7">
            <w:pPr>
              <w:shd w:val="solid" w:color="FFFFFF" w:fill="FFFFFF"/>
              <w:spacing w:before="0" w:line="240" w:lineRule="atLeast"/>
            </w:pPr>
            <w:r>
              <w:rPr>
                <w:noProof/>
              </w:rPr>
              <w:drawing>
                <wp:inline distT="0" distB="0" distL="0" distR="0" wp14:anchorId="2517BA53" wp14:editId="35435234">
                  <wp:extent cx="844492" cy="844492"/>
                  <wp:effectExtent l="0" t="0" r="0" b="0"/>
                  <wp:docPr id="1187236841"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51782D" w14:paraId="73F79B15" w14:textId="77777777" w:rsidTr="46C3CBE9">
        <w:trPr>
          <w:cantSplit/>
        </w:trPr>
        <w:tc>
          <w:tcPr>
            <w:tcW w:w="6487" w:type="dxa"/>
            <w:gridSpan w:val="3"/>
            <w:tcBorders>
              <w:bottom w:val="single" w:sz="12" w:space="0" w:color="auto"/>
            </w:tcBorders>
          </w:tcPr>
          <w:p w14:paraId="45FC32E6"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gridSpan w:val="2"/>
            <w:tcBorders>
              <w:bottom w:val="single" w:sz="12" w:space="0" w:color="auto"/>
            </w:tcBorders>
          </w:tcPr>
          <w:p w14:paraId="77398030" w14:textId="77777777" w:rsidR="0051782D" w:rsidRPr="0051782D" w:rsidRDefault="0051782D" w:rsidP="00B35BE4">
            <w:pPr>
              <w:shd w:val="solid" w:color="FFFFFF" w:fill="FFFFFF"/>
              <w:spacing w:before="0" w:after="48" w:line="240" w:lineRule="atLeast"/>
              <w:rPr>
                <w:sz w:val="22"/>
                <w:szCs w:val="22"/>
                <w:lang w:val="en-US"/>
              </w:rPr>
            </w:pPr>
          </w:p>
        </w:tc>
      </w:tr>
      <w:tr w:rsidR="0051782D" w14:paraId="32CD3A80" w14:textId="77777777" w:rsidTr="46C3CBE9">
        <w:trPr>
          <w:cantSplit/>
        </w:trPr>
        <w:tc>
          <w:tcPr>
            <w:tcW w:w="6487" w:type="dxa"/>
            <w:gridSpan w:val="3"/>
            <w:tcBorders>
              <w:top w:val="single" w:sz="12" w:space="0" w:color="auto"/>
            </w:tcBorders>
          </w:tcPr>
          <w:p w14:paraId="7D057953"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14:paraId="560C595D" w14:textId="77777777" w:rsidR="0051782D" w:rsidRPr="00710D66" w:rsidRDefault="0051782D" w:rsidP="00B35BE4">
            <w:pPr>
              <w:shd w:val="solid" w:color="FFFFFF" w:fill="FFFFFF"/>
              <w:spacing w:before="0" w:after="48" w:line="240" w:lineRule="atLeast"/>
              <w:rPr>
                <w:lang w:val="en-US"/>
              </w:rPr>
            </w:pPr>
          </w:p>
        </w:tc>
      </w:tr>
      <w:tr w:rsidR="0051782D" w14:paraId="1CE06028" w14:textId="77777777" w:rsidTr="46C3CBE9">
        <w:trPr>
          <w:gridAfter w:val="1"/>
          <w:wAfter w:w="108" w:type="dxa"/>
          <w:cantSplit/>
        </w:trPr>
        <w:tc>
          <w:tcPr>
            <w:tcW w:w="6237" w:type="dxa"/>
            <w:vMerge w:val="restart"/>
          </w:tcPr>
          <w:p w14:paraId="064A01B1" w14:textId="77777777" w:rsidR="0051782D" w:rsidRDefault="0051782D" w:rsidP="00B35BE4">
            <w:pPr>
              <w:shd w:val="solid" w:color="FFFFFF" w:fill="FFFFFF"/>
              <w:spacing w:after="240"/>
              <w:rPr>
                <w:sz w:val="20"/>
              </w:rPr>
            </w:pPr>
            <w:bookmarkStart w:id="0" w:name="dnum" w:colFirst="1" w:colLast="1"/>
          </w:p>
        </w:tc>
        <w:tc>
          <w:tcPr>
            <w:tcW w:w="3544" w:type="dxa"/>
            <w:gridSpan w:val="3"/>
          </w:tcPr>
          <w:p w14:paraId="602F97D3" w14:textId="42316466" w:rsidR="0051782D" w:rsidRPr="00C05D5C" w:rsidRDefault="00C05D5C" w:rsidP="00C05D5C">
            <w:pPr>
              <w:shd w:val="solid" w:color="FFFFFF" w:fill="FFFFFF"/>
              <w:spacing w:before="0" w:line="240" w:lineRule="atLeast"/>
              <w:rPr>
                <w:rFonts w:ascii="Verdana" w:hAnsi="Verdana"/>
                <w:sz w:val="20"/>
              </w:rPr>
            </w:pPr>
            <w:r>
              <w:rPr>
                <w:rFonts w:ascii="Verdana" w:hAnsi="Verdana"/>
                <w:b/>
                <w:sz w:val="20"/>
              </w:rPr>
              <w:t>Document RAG20/INFO/4-E</w:t>
            </w:r>
          </w:p>
        </w:tc>
      </w:tr>
      <w:tr w:rsidR="0051782D" w14:paraId="0E043F55" w14:textId="77777777" w:rsidTr="46C3CBE9">
        <w:trPr>
          <w:gridAfter w:val="1"/>
          <w:wAfter w:w="108" w:type="dxa"/>
          <w:cantSplit/>
        </w:trPr>
        <w:tc>
          <w:tcPr>
            <w:tcW w:w="6237" w:type="dxa"/>
            <w:vMerge/>
          </w:tcPr>
          <w:p w14:paraId="66D5A496" w14:textId="77777777" w:rsidR="0051782D" w:rsidRDefault="0051782D" w:rsidP="00B35BE4">
            <w:pPr>
              <w:spacing w:before="60"/>
              <w:jc w:val="center"/>
              <w:rPr>
                <w:b/>
                <w:smallCaps/>
                <w:sz w:val="32"/>
              </w:rPr>
            </w:pPr>
            <w:bookmarkStart w:id="1" w:name="ddate" w:colFirst="1" w:colLast="1"/>
            <w:bookmarkEnd w:id="0"/>
          </w:p>
        </w:tc>
        <w:tc>
          <w:tcPr>
            <w:tcW w:w="3544" w:type="dxa"/>
            <w:gridSpan w:val="3"/>
          </w:tcPr>
          <w:p w14:paraId="2D180854" w14:textId="6820B9F6" w:rsidR="0051782D" w:rsidRPr="00C05D5C" w:rsidRDefault="00C05D5C" w:rsidP="00C05D5C">
            <w:pPr>
              <w:shd w:val="solid" w:color="FFFFFF" w:fill="FFFFFF"/>
              <w:spacing w:before="0" w:line="240" w:lineRule="atLeast"/>
              <w:rPr>
                <w:rFonts w:ascii="Verdana" w:hAnsi="Verdana"/>
                <w:sz w:val="20"/>
              </w:rPr>
            </w:pPr>
            <w:r>
              <w:rPr>
                <w:rFonts w:ascii="Verdana" w:hAnsi="Verdana"/>
                <w:b/>
                <w:sz w:val="20"/>
              </w:rPr>
              <w:t>2</w:t>
            </w:r>
            <w:r w:rsidR="000837CB">
              <w:rPr>
                <w:rFonts w:ascii="Verdana" w:hAnsi="Verdana"/>
                <w:b/>
                <w:sz w:val="20"/>
              </w:rPr>
              <w:t>6</w:t>
            </w:r>
            <w:r>
              <w:rPr>
                <w:rFonts w:ascii="Verdana" w:hAnsi="Verdana"/>
                <w:b/>
                <w:sz w:val="20"/>
              </w:rPr>
              <w:t xml:space="preserve"> May 2020</w:t>
            </w:r>
          </w:p>
        </w:tc>
      </w:tr>
      <w:tr w:rsidR="0051782D" w14:paraId="4ABA69A7" w14:textId="77777777" w:rsidTr="46C3CBE9">
        <w:trPr>
          <w:gridAfter w:val="1"/>
          <w:wAfter w:w="108" w:type="dxa"/>
          <w:cantSplit/>
        </w:trPr>
        <w:tc>
          <w:tcPr>
            <w:tcW w:w="6237" w:type="dxa"/>
            <w:vMerge/>
          </w:tcPr>
          <w:p w14:paraId="53FE57ED" w14:textId="77777777" w:rsidR="0051782D" w:rsidRDefault="0051782D" w:rsidP="00B35BE4">
            <w:pPr>
              <w:spacing w:before="60"/>
              <w:jc w:val="center"/>
              <w:rPr>
                <w:b/>
                <w:smallCaps/>
                <w:sz w:val="32"/>
              </w:rPr>
            </w:pPr>
            <w:bookmarkStart w:id="2" w:name="dorlang" w:colFirst="1" w:colLast="1"/>
            <w:bookmarkEnd w:id="1"/>
          </w:p>
        </w:tc>
        <w:tc>
          <w:tcPr>
            <w:tcW w:w="3544" w:type="dxa"/>
            <w:gridSpan w:val="3"/>
          </w:tcPr>
          <w:p w14:paraId="5F7FF3D7" w14:textId="15221E94" w:rsidR="0051782D" w:rsidRPr="00C05D5C" w:rsidRDefault="00100805" w:rsidP="00C05D5C">
            <w:pPr>
              <w:shd w:val="solid" w:color="FFFFFF" w:fill="FFFFFF"/>
              <w:spacing w:before="0" w:after="120" w:line="240" w:lineRule="atLeast"/>
              <w:rPr>
                <w:rFonts w:ascii="Verdana" w:hAnsi="Verdana"/>
                <w:sz w:val="20"/>
              </w:rPr>
            </w:pPr>
            <w:r>
              <w:rPr>
                <w:rFonts w:ascii="Verdana" w:hAnsi="Verdana"/>
                <w:b/>
                <w:sz w:val="20"/>
              </w:rPr>
              <w:t>E</w:t>
            </w:r>
            <w:r w:rsidR="00C05D5C">
              <w:rPr>
                <w:rFonts w:ascii="Verdana" w:hAnsi="Verdana"/>
                <w:b/>
                <w:sz w:val="20"/>
              </w:rPr>
              <w:t>nglish</w:t>
            </w:r>
            <w:r>
              <w:rPr>
                <w:rFonts w:ascii="Verdana" w:hAnsi="Verdana"/>
                <w:b/>
                <w:sz w:val="20"/>
              </w:rPr>
              <w:t xml:space="preserve"> only</w:t>
            </w:r>
          </w:p>
        </w:tc>
      </w:tr>
      <w:tr w:rsidR="00093C73" w14:paraId="3BB34A80" w14:textId="77777777" w:rsidTr="46C3CBE9">
        <w:trPr>
          <w:cantSplit/>
        </w:trPr>
        <w:tc>
          <w:tcPr>
            <w:tcW w:w="9889" w:type="dxa"/>
            <w:gridSpan w:val="5"/>
          </w:tcPr>
          <w:p w14:paraId="6C7410BE" w14:textId="55152749" w:rsidR="00093C73" w:rsidRDefault="00C05D5C" w:rsidP="005B2C58">
            <w:pPr>
              <w:pStyle w:val="Source"/>
            </w:pPr>
            <w:bookmarkStart w:id="3" w:name="dsource" w:colFirst="0" w:colLast="0"/>
            <w:bookmarkEnd w:id="2"/>
            <w:r>
              <w:t>Radiocommunication Bureau</w:t>
            </w:r>
          </w:p>
        </w:tc>
      </w:tr>
      <w:tr w:rsidR="00093C73" w14:paraId="299BE58E" w14:textId="77777777" w:rsidTr="46C3CBE9">
        <w:trPr>
          <w:cantSplit/>
        </w:trPr>
        <w:tc>
          <w:tcPr>
            <w:tcW w:w="9889" w:type="dxa"/>
            <w:gridSpan w:val="5"/>
          </w:tcPr>
          <w:p w14:paraId="683DE58B" w14:textId="25B626D1" w:rsidR="00093C73" w:rsidRDefault="00C05D5C" w:rsidP="005B2C58">
            <w:pPr>
              <w:pStyle w:val="Title1"/>
            </w:pPr>
            <w:bookmarkStart w:id="4" w:name="dtitle1" w:colFirst="0" w:colLast="0"/>
            <w:bookmarkEnd w:id="3"/>
            <w:r>
              <w:t>INFORMATION DOCUMENT - ESTIMATION OF COST OF IMPLEMENTING RESOLUTION 245(wrc-19) UNDER WRC-23 AGENDA ITEM 1.2</w:t>
            </w:r>
          </w:p>
        </w:tc>
      </w:tr>
      <w:bookmarkEnd w:id="4"/>
    </w:tbl>
    <w:p w14:paraId="5CC24D2E" w14:textId="359604B3" w:rsidR="007934C9" w:rsidRDefault="007934C9" w:rsidP="00906598"/>
    <w:p w14:paraId="296BBDDB" w14:textId="77777777" w:rsidR="00C05D5C" w:rsidRPr="00CE06A1" w:rsidRDefault="00C05D5C" w:rsidP="00C05D5C">
      <w:pPr>
        <w:pStyle w:val="Headingb"/>
        <w:tabs>
          <w:tab w:val="left" w:pos="0"/>
        </w:tabs>
        <w:jc w:val="both"/>
      </w:pPr>
      <w:r w:rsidRPr="008F40E5">
        <w:t>Resolution </w:t>
      </w:r>
      <w:r>
        <w:t xml:space="preserve">245 (WRC-19), </w:t>
      </w:r>
      <w:r w:rsidRPr="008F40E5">
        <w:t>Studies on frequency-related matters for the terrestrial component of International Mobile Telecommunications (IMT) identification in the frequency bands 3 300-3 400 MHz, 3 600-3 800 MHz, 6 425-7 025 MHz, 7 025-7 125 MHz and 10.0-10.5 GHz</w:t>
      </w:r>
    </w:p>
    <w:p w14:paraId="255F55AC" w14:textId="77777777" w:rsidR="00C05D5C" w:rsidRDefault="00C05D5C" w:rsidP="00C05D5C">
      <w:pPr>
        <w:jc w:val="both"/>
      </w:pPr>
      <w:r>
        <w:t>The financial implications relating to the implementation of this new Resolution are estimated at CHF 456 000,</w:t>
      </w:r>
      <w:r w:rsidRPr="00BB037A">
        <w:t xml:space="preserve"> </w:t>
      </w:r>
      <w:r>
        <w:t xml:space="preserve">which includes additional meeting days, and translations of technical documentation. </w:t>
      </w:r>
    </w:p>
    <w:p w14:paraId="55667C87" w14:textId="77777777" w:rsidR="00C05D5C" w:rsidRDefault="00C05D5C" w:rsidP="00C05D5C">
      <w:pPr>
        <w:jc w:val="both"/>
      </w:pPr>
      <w:r>
        <w:t xml:space="preserve">WRC-23 Agenda item 1.2 impacts multiple services and, as a result, it may require larger than normal meetings of the assigned group, WP 5D and the contributing working parties.  Thus, because WP 5D is already large and it meets three times a year, it was assumed during WRC-19 that it would incur rental cost for the use of the CICG for its meetings held in Geneva. </w:t>
      </w:r>
    </w:p>
    <w:p w14:paraId="57C4271A" w14:textId="3E3A6564" w:rsidR="00C05D5C" w:rsidRDefault="00C05D5C" w:rsidP="00C05D5C">
      <w:pPr>
        <w:jc w:val="both"/>
      </w:pPr>
      <w:r>
        <w:t>The assessment which was the origin of the amount of 456 kCHF for Resolution 245 is shown below:</w:t>
      </w:r>
      <w:r>
        <w:br/>
        <w:t xml:space="preserve"> </w:t>
      </w:r>
    </w:p>
    <w:tbl>
      <w:tblPr>
        <w:tblW w:w="8124" w:type="dxa"/>
        <w:jc w:val="center"/>
        <w:tblLook w:val="04A0" w:firstRow="1" w:lastRow="0" w:firstColumn="1" w:lastColumn="0" w:noHBand="0" w:noVBand="1"/>
      </w:tblPr>
      <w:tblGrid>
        <w:gridCol w:w="6653"/>
        <w:gridCol w:w="272"/>
        <w:gridCol w:w="1199"/>
      </w:tblGrid>
      <w:tr w:rsidR="00C05D5C" w:rsidRPr="00C05D5C" w14:paraId="0C41AE91" w14:textId="77777777" w:rsidTr="00C05D5C">
        <w:trPr>
          <w:trHeight w:val="260"/>
          <w:jc w:val="center"/>
        </w:trPr>
        <w:tc>
          <w:tcPr>
            <w:tcW w:w="6925" w:type="dxa"/>
            <w:gridSpan w:val="2"/>
            <w:tcBorders>
              <w:top w:val="single" w:sz="4" w:space="0" w:color="auto"/>
              <w:left w:val="single" w:sz="4" w:space="0" w:color="auto"/>
              <w:bottom w:val="nil"/>
              <w:right w:val="nil"/>
            </w:tcBorders>
            <w:shd w:val="clear" w:color="000000" w:fill="C5D9F1"/>
            <w:noWrap/>
            <w:vAlign w:val="bottom"/>
            <w:hideMark/>
          </w:tcPr>
          <w:p w14:paraId="5AD80F77" w14:textId="77777777" w:rsidR="00C05D5C" w:rsidRPr="00C05D5C" w:rsidRDefault="00C05D5C" w:rsidP="00E6378C">
            <w:pPr>
              <w:rPr>
                <w:b/>
                <w:bCs/>
                <w:szCs w:val="24"/>
                <w:lang w:val="en-US" w:eastAsia="en-GB"/>
              </w:rPr>
            </w:pPr>
            <w:r w:rsidRPr="00C05D5C">
              <w:rPr>
                <w:b/>
                <w:bCs/>
                <w:szCs w:val="24"/>
                <w:lang w:eastAsia="en-GB"/>
              </w:rPr>
              <w:t>One Task Group or WP5D - for Studies under Resolution 245</w:t>
            </w:r>
          </w:p>
        </w:tc>
        <w:tc>
          <w:tcPr>
            <w:tcW w:w="1199" w:type="dxa"/>
            <w:tcBorders>
              <w:top w:val="single" w:sz="4" w:space="0" w:color="auto"/>
              <w:left w:val="nil"/>
              <w:bottom w:val="nil"/>
              <w:right w:val="single" w:sz="4" w:space="0" w:color="auto"/>
            </w:tcBorders>
            <w:shd w:val="clear" w:color="000000" w:fill="C5D9F1"/>
            <w:noWrap/>
            <w:vAlign w:val="bottom"/>
          </w:tcPr>
          <w:p w14:paraId="2DD62B23" w14:textId="77777777" w:rsidR="00C05D5C" w:rsidRPr="00C05D5C" w:rsidRDefault="00C05D5C" w:rsidP="00E6378C">
            <w:pPr>
              <w:rPr>
                <w:b/>
                <w:bCs/>
                <w:szCs w:val="24"/>
                <w:lang w:eastAsia="en-GB"/>
              </w:rPr>
            </w:pPr>
            <w:r w:rsidRPr="00C05D5C">
              <w:rPr>
                <w:b/>
                <w:bCs/>
                <w:szCs w:val="24"/>
                <w:lang w:eastAsia="en-GB"/>
              </w:rPr>
              <w:t xml:space="preserve">     CHF</w:t>
            </w:r>
          </w:p>
        </w:tc>
      </w:tr>
      <w:tr w:rsidR="00C05D5C" w:rsidRPr="00C05D5C" w14:paraId="0030575B" w14:textId="77777777" w:rsidTr="00C05D5C">
        <w:trPr>
          <w:trHeight w:val="260"/>
          <w:jc w:val="center"/>
        </w:trPr>
        <w:tc>
          <w:tcPr>
            <w:tcW w:w="6653" w:type="dxa"/>
            <w:tcBorders>
              <w:top w:val="nil"/>
              <w:left w:val="single" w:sz="4" w:space="0" w:color="auto"/>
              <w:bottom w:val="single" w:sz="4" w:space="0" w:color="auto"/>
              <w:right w:val="nil"/>
            </w:tcBorders>
            <w:shd w:val="clear" w:color="000000" w:fill="C5D9F1"/>
            <w:noWrap/>
            <w:vAlign w:val="bottom"/>
            <w:hideMark/>
          </w:tcPr>
          <w:p w14:paraId="4ED2A3C7" w14:textId="77777777" w:rsidR="00C05D5C" w:rsidRPr="00C05D5C" w:rsidRDefault="00C05D5C" w:rsidP="00E6378C">
            <w:pPr>
              <w:rPr>
                <w:b/>
                <w:bCs/>
                <w:szCs w:val="24"/>
                <w:lang w:eastAsia="en-GB"/>
              </w:rPr>
            </w:pPr>
            <w:r w:rsidRPr="00C05D5C">
              <w:rPr>
                <w:b/>
                <w:bCs/>
                <w:szCs w:val="24"/>
                <w:lang w:eastAsia="en-GB"/>
              </w:rPr>
              <w:t>9 weeks over 3 years (2020-2022)</w:t>
            </w:r>
          </w:p>
        </w:tc>
        <w:tc>
          <w:tcPr>
            <w:tcW w:w="272" w:type="dxa"/>
            <w:tcBorders>
              <w:top w:val="nil"/>
              <w:left w:val="nil"/>
              <w:bottom w:val="single" w:sz="4" w:space="0" w:color="auto"/>
              <w:right w:val="nil"/>
            </w:tcBorders>
            <w:shd w:val="clear" w:color="000000" w:fill="C5D9F1"/>
            <w:noWrap/>
            <w:vAlign w:val="bottom"/>
            <w:hideMark/>
          </w:tcPr>
          <w:p w14:paraId="01E1DE7E" w14:textId="77777777" w:rsidR="00C05D5C" w:rsidRPr="00C05D5C" w:rsidRDefault="00C05D5C" w:rsidP="00E6378C">
            <w:pPr>
              <w:rPr>
                <w:b/>
                <w:bCs/>
                <w:szCs w:val="24"/>
                <w:lang w:eastAsia="en-GB"/>
              </w:rPr>
            </w:pPr>
          </w:p>
        </w:tc>
        <w:tc>
          <w:tcPr>
            <w:tcW w:w="1199" w:type="dxa"/>
            <w:tcBorders>
              <w:top w:val="nil"/>
              <w:left w:val="nil"/>
              <w:bottom w:val="single" w:sz="4" w:space="0" w:color="auto"/>
              <w:right w:val="single" w:sz="4" w:space="0" w:color="auto"/>
            </w:tcBorders>
            <w:shd w:val="clear" w:color="000000" w:fill="C5D9F1"/>
            <w:noWrap/>
            <w:vAlign w:val="bottom"/>
          </w:tcPr>
          <w:p w14:paraId="5121290A" w14:textId="77777777" w:rsidR="00C05D5C" w:rsidRPr="00C05D5C" w:rsidRDefault="00C05D5C" w:rsidP="00E6378C">
            <w:pPr>
              <w:rPr>
                <w:b/>
                <w:bCs/>
                <w:szCs w:val="24"/>
                <w:lang w:eastAsia="en-GB"/>
              </w:rPr>
            </w:pPr>
          </w:p>
        </w:tc>
      </w:tr>
      <w:tr w:rsidR="00C05D5C" w:rsidRPr="00C05D5C" w14:paraId="23BD6269" w14:textId="77777777" w:rsidTr="00C05D5C">
        <w:trPr>
          <w:trHeight w:val="250"/>
          <w:jc w:val="center"/>
        </w:trPr>
        <w:tc>
          <w:tcPr>
            <w:tcW w:w="6653" w:type="dxa"/>
            <w:tcBorders>
              <w:top w:val="single" w:sz="4" w:space="0" w:color="auto"/>
              <w:left w:val="single" w:sz="4" w:space="0" w:color="auto"/>
              <w:bottom w:val="nil"/>
              <w:right w:val="nil"/>
            </w:tcBorders>
            <w:shd w:val="clear" w:color="auto" w:fill="auto"/>
            <w:noWrap/>
            <w:vAlign w:val="bottom"/>
            <w:hideMark/>
          </w:tcPr>
          <w:p w14:paraId="5993E5B2" w14:textId="77777777" w:rsidR="00C05D5C" w:rsidRPr="00C05D5C" w:rsidRDefault="00C05D5C" w:rsidP="00E6378C">
            <w:pPr>
              <w:rPr>
                <w:szCs w:val="24"/>
                <w:lang w:eastAsia="en-GB"/>
              </w:rPr>
            </w:pPr>
            <w:r w:rsidRPr="00C05D5C">
              <w:rPr>
                <w:szCs w:val="24"/>
                <w:lang w:eastAsia="en-GB"/>
              </w:rPr>
              <w:t>Staff costs without interpretation</w:t>
            </w:r>
          </w:p>
        </w:tc>
        <w:tc>
          <w:tcPr>
            <w:tcW w:w="272" w:type="dxa"/>
            <w:tcBorders>
              <w:top w:val="single" w:sz="4" w:space="0" w:color="auto"/>
              <w:left w:val="nil"/>
              <w:bottom w:val="nil"/>
              <w:right w:val="nil"/>
            </w:tcBorders>
            <w:shd w:val="clear" w:color="auto" w:fill="auto"/>
            <w:noWrap/>
            <w:vAlign w:val="bottom"/>
            <w:hideMark/>
          </w:tcPr>
          <w:p w14:paraId="19DFBAE1" w14:textId="77777777" w:rsidR="00C05D5C" w:rsidRPr="00C05D5C" w:rsidRDefault="00C05D5C" w:rsidP="00E6378C">
            <w:pPr>
              <w:rPr>
                <w:szCs w:val="24"/>
                <w:lang w:eastAsia="en-GB"/>
              </w:rPr>
            </w:pPr>
          </w:p>
        </w:tc>
        <w:tc>
          <w:tcPr>
            <w:tcW w:w="1199" w:type="dxa"/>
            <w:tcBorders>
              <w:top w:val="single" w:sz="4" w:space="0" w:color="auto"/>
              <w:left w:val="nil"/>
              <w:bottom w:val="nil"/>
              <w:right w:val="single" w:sz="4" w:space="0" w:color="auto"/>
            </w:tcBorders>
            <w:shd w:val="clear" w:color="auto" w:fill="auto"/>
            <w:noWrap/>
            <w:vAlign w:val="bottom"/>
            <w:hideMark/>
          </w:tcPr>
          <w:p w14:paraId="37110A1A" w14:textId="77777777" w:rsidR="00C05D5C" w:rsidRPr="00C05D5C" w:rsidRDefault="00C05D5C" w:rsidP="00E6378C">
            <w:pPr>
              <w:jc w:val="right"/>
              <w:rPr>
                <w:szCs w:val="24"/>
                <w:lang w:eastAsia="en-GB"/>
              </w:rPr>
            </w:pPr>
            <w:r w:rsidRPr="00C05D5C">
              <w:rPr>
                <w:szCs w:val="24"/>
                <w:lang w:eastAsia="en-GB"/>
              </w:rPr>
              <w:t>160,096</w:t>
            </w:r>
          </w:p>
        </w:tc>
      </w:tr>
      <w:tr w:rsidR="00C05D5C" w:rsidRPr="00C05D5C" w14:paraId="0921B8D6" w14:textId="77777777" w:rsidTr="00C05D5C">
        <w:trPr>
          <w:trHeight w:val="250"/>
          <w:jc w:val="center"/>
        </w:trPr>
        <w:tc>
          <w:tcPr>
            <w:tcW w:w="6653" w:type="dxa"/>
            <w:tcBorders>
              <w:top w:val="nil"/>
              <w:left w:val="single" w:sz="4" w:space="0" w:color="auto"/>
              <w:bottom w:val="nil"/>
              <w:right w:val="nil"/>
            </w:tcBorders>
            <w:shd w:val="clear" w:color="auto" w:fill="auto"/>
            <w:noWrap/>
            <w:vAlign w:val="bottom"/>
            <w:hideMark/>
          </w:tcPr>
          <w:p w14:paraId="33751D41" w14:textId="77777777" w:rsidR="00C05D5C" w:rsidRPr="00C05D5C" w:rsidRDefault="00C05D5C" w:rsidP="00E6378C">
            <w:pPr>
              <w:rPr>
                <w:szCs w:val="24"/>
                <w:lang w:eastAsia="en-GB"/>
              </w:rPr>
            </w:pPr>
            <w:r w:rsidRPr="00C05D5C">
              <w:rPr>
                <w:szCs w:val="24"/>
                <w:lang w:eastAsia="en-GB"/>
              </w:rPr>
              <w:t>Mission costs</w:t>
            </w:r>
          </w:p>
        </w:tc>
        <w:tc>
          <w:tcPr>
            <w:tcW w:w="272" w:type="dxa"/>
            <w:tcBorders>
              <w:top w:val="nil"/>
              <w:left w:val="nil"/>
              <w:bottom w:val="nil"/>
              <w:right w:val="nil"/>
            </w:tcBorders>
            <w:shd w:val="clear" w:color="auto" w:fill="auto"/>
            <w:noWrap/>
            <w:vAlign w:val="bottom"/>
            <w:hideMark/>
          </w:tcPr>
          <w:p w14:paraId="2EF0088D" w14:textId="77777777" w:rsidR="00C05D5C" w:rsidRPr="00C05D5C" w:rsidRDefault="00C05D5C" w:rsidP="00E6378C">
            <w:pPr>
              <w:rPr>
                <w:szCs w:val="24"/>
                <w:lang w:eastAsia="en-GB"/>
              </w:rPr>
            </w:pPr>
          </w:p>
        </w:tc>
        <w:tc>
          <w:tcPr>
            <w:tcW w:w="1199" w:type="dxa"/>
            <w:tcBorders>
              <w:top w:val="nil"/>
              <w:left w:val="nil"/>
              <w:bottom w:val="nil"/>
              <w:right w:val="single" w:sz="4" w:space="0" w:color="auto"/>
            </w:tcBorders>
            <w:shd w:val="clear" w:color="auto" w:fill="auto"/>
            <w:noWrap/>
            <w:vAlign w:val="bottom"/>
            <w:hideMark/>
          </w:tcPr>
          <w:p w14:paraId="4984DD11" w14:textId="77777777" w:rsidR="00C05D5C" w:rsidRPr="00C05D5C" w:rsidRDefault="00C05D5C" w:rsidP="00E6378C">
            <w:pPr>
              <w:jc w:val="right"/>
              <w:rPr>
                <w:szCs w:val="24"/>
                <w:lang w:eastAsia="en-GB"/>
              </w:rPr>
            </w:pPr>
            <w:r w:rsidRPr="00C05D5C">
              <w:rPr>
                <w:szCs w:val="24"/>
                <w:lang w:eastAsia="en-GB"/>
              </w:rPr>
              <w:t>84,000</w:t>
            </w:r>
          </w:p>
        </w:tc>
      </w:tr>
      <w:tr w:rsidR="00C05D5C" w:rsidRPr="00C05D5C" w14:paraId="490D0260" w14:textId="77777777" w:rsidTr="00C05D5C">
        <w:trPr>
          <w:trHeight w:val="250"/>
          <w:jc w:val="center"/>
        </w:trPr>
        <w:tc>
          <w:tcPr>
            <w:tcW w:w="6653" w:type="dxa"/>
            <w:tcBorders>
              <w:top w:val="nil"/>
              <w:left w:val="single" w:sz="4" w:space="0" w:color="auto"/>
              <w:bottom w:val="nil"/>
              <w:right w:val="nil"/>
            </w:tcBorders>
            <w:shd w:val="clear" w:color="auto" w:fill="auto"/>
            <w:noWrap/>
            <w:vAlign w:val="bottom"/>
            <w:hideMark/>
          </w:tcPr>
          <w:p w14:paraId="6DBC8D2E" w14:textId="77777777" w:rsidR="00C05D5C" w:rsidRPr="00C05D5C" w:rsidRDefault="00C05D5C" w:rsidP="00E6378C">
            <w:pPr>
              <w:rPr>
                <w:szCs w:val="24"/>
                <w:lang w:eastAsia="en-GB"/>
              </w:rPr>
            </w:pPr>
            <w:r w:rsidRPr="00C05D5C">
              <w:rPr>
                <w:szCs w:val="24"/>
                <w:lang w:eastAsia="en-GB"/>
              </w:rPr>
              <w:t>Rental and contractual services</w:t>
            </w:r>
          </w:p>
        </w:tc>
        <w:tc>
          <w:tcPr>
            <w:tcW w:w="272" w:type="dxa"/>
            <w:tcBorders>
              <w:top w:val="nil"/>
              <w:left w:val="nil"/>
              <w:bottom w:val="nil"/>
              <w:right w:val="nil"/>
            </w:tcBorders>
            <w:shd w:val="clear" w:color="auto" w:fill="auto"/>
            <w:noWrap/>
            <w:vAlign w:val="bottom"/>
            <w:hideMark/>
          </w:tcPr>
          <w:p w14:paraId="75811AB0" w14:textId="77777777" w:rsidR="00C05D5C" w:rsidRPr="00C05D5C" w:rsidRDefault="00C05D5C" w:rsidP="00E6378C">
            <w:pPr>
              <w:rPr>
                <w:szCs w:val="24"/>
                <w:lang w:eastAsia="en-GB"/>
              </w:rPr>
            </w:pPr>
          </w:p>
        </w:tc>
        <w:tc>
          <w:tcPr>
            <w:tcW w:w="1199" w:type="dxa"/>
            <w:tcBorders>
              <w:top w:val="nil"/>
              <w:left w:val="nil"/>
              <w:bottom w:val="nil"/>
              <w:right w:val="single" w:sz="4" w:space="0" w:color="auto"/>
            </w:tcBorders>
            <w:shd w:val="clear" w:color="auto" w:fill="auto"/>
            <w:noWrap/>
            <w:vAlign w:val="bottom"/>
            <w:hideMark/>
          </w:tcPr>
          <w:p w14:paraId="74E9D13D" w14:textId="77777777" w:rsidR="00C05D5C" w:rsidRPr="00C05D5C" w:rsidRDefault="00C05D5C" w:rsidP="00E6378C">
            <w:pPr>
              <w:jc w:val="right"/>
              <w:rPr>
                <w:szCs w:val="24"/>
                <w:lang w:eastAsia="en-GB"/>
              </w:rPr>
            </w:pPr>
            <w:r w:rsidRPr="00C05D5C">
              <w:rPr>
                <w:szCs w:val="24"/>
                <w:lang w:eastAsia="en-GB"/>
              </w:rPr>
              <w:t>182,250</w:t>
            </w:r>
          </w:p>
        </w:tc>
      </w:tr>
      <w:tr w:rsidR="00C05D5C" w:rsidRPr="00C05D5C" w14:paraId="6DBFF51A" w14:textId="77777777" w:rsidTr="00C05D5C">
        <w:trPr>
          <w:trHeight w:val="250"/>
          <w:jc w:val="center"/>
        </w:trPr>
        <w:tc>
          <w:tcPr>
            <w:tcW w:w="6653" w:type="dxa"/>
            <w:tcBorders>
              <w:top w:val="nil"/>
              <w:left w:val="single" w:sz="4" w:space="0" w:color="auto"/>
              <w:bottom w:val="nil"/>
              <w:right w:val="nil"/>
            </w:tcBorders>
            <w:shd w:val="clear" w:color="auto" w:fill="auto"/>
            <w:noWrap/>
            <w:vAlign w:val="bottom"/>
            <w:hideMark/>
          </w:tcPr>
          <w:p w14:paraId="13210866" w14:textId="77777777" w:rsidR="00C05D5C" w:rsidRPr="00C05D5C" w:rsidRDefault="00C05D5C" w:rsidP="00E6378C">
            <w:pPr>
              <w:rPr>
                <w:szCs w:val="24"/>
                <w:lang w:eastAsia="en-GB"/>
              </w:rPr>
            </w:pPr>
            <w:r w:rsidRPr="00C05D5C">
              <w:rPr>
                <w:szCs w:val="24"/>
                <w:lang w:eastAsia="en-GB"/>
              </w:rPr>
              <w:t>Miscellaneous</w:t>
            </w:r>
          </w:p>
        </w:tc>
        <w:tc>
          <w:tcPr>
            <w:tcW w:w="272" w:type="dxa"/>
            <w:tcBorders>
              <w:top w:val="nil"/>
              <w:left w:val="nil"/>
              <w:bottom w:val="nil"/>
              <w:right w:val="nil"/>
            </w:tcBorders>
            <w:shd w:val="clear" w:color="auto" w:fill="auto"/>
            <w:noWrap/>
            <w:vAlign w:val="bottom"/>
            <w:hideMark/>
          </w:tcPr>
          <w:p w14:paraId="754BFDA1" w14:textId="77777777" w:rsidR="00C05D5C" w:rsidRPr="00C05D5C" w:rsidRDefault="00C05D5C" w:rsidP="00E6378C">
            <w:pPr>
              <w:rPr>
                <w:szCs w:val="24"/>
                <w:lang w:eastAsia="en-GB"/>
              </w:rPr>
            </w:pPr>
          </w:p>
        </w:tc>
        <w:tc>
          <w:tcPr>
            <w:tcW w:w="1199" w:type="dxa"/>
            <w:tcBorders>
              <w:top w:val="nil"/>
              <w:left w:val="nil"/>
              <w:bottom w:val="nil"/>
              <w:right w:val="single" w:sz="4" w:space="0" w:color="auto"/>
            </w:tcBorders>
            <w:shd w:val="clear" w:color="auto" w:fill="auto"/>
            <w:noWrap/>
            <w:vAlign w:val="bottom"/>
            <w:hideMark/>
          </w:tcPr>
          <w:p w14:paraId="7F4DFBC0" w14:textId="77777777" w:rsidR="00C05D5C" w:rsidRPr="00C05D5C" w:rsidRDefault="00C05D5C" w:rsidP="00E6378C">
            <w:pPr>
              <w:jc w:val="right"/>
              <w:rPr>
                <w:szCs w:val="24"/>
                <w:lang w:eastAsia="en-GB"/>
              </w:rPr>
            </w:pPr>
            <w:r w:rsidRPr="00C05D5C">
              <w:rPr>
                <w:szCs w:val="24"/>
                <w:lang w:eastAsia="en-GB"/>
              </w:rPr>
              <w:t>10,000</w:t>
            </w:r>
          </w:p>
        </w:tc>
      </w:tr>
      <w:tr w:rsidR="00C05D5C" w:rsidRPr="00C05D5C" w14:paraId="6CF0BE9A" w14:textId="77777777" w:rsidTr="00C05D5C">
        <w:trPr>
          <w:trHeight w:val="250"/>
          <w:jc w:val="center"/>
        </w:trPr>
        <w:tc>
          <w:tcPr>
            <w:tcW w:w="6653" w:type="dxa"/>
            <w:tcBorders>
              <w:top w:val="nil"/>
              <w:left w:val="single" w:sz="4" w:space="0" w:color="auto"/>
              <w:bottom w:val="nil"/>
              <w:right w:val="nil"/>
            </w:tcBorders>
            <w:shd w:val="clear" w:color="auto" w:fill="auto"/>
            <w:noWrap/>
            <w:vAlign w:val="bottom"/>
            <w:hideMark/>
          </w:tcPr>
          <w:p w14:paraId="782AC620" w14:textId="77777777" w:rsidR="00C05D5C" w:rsidRPr="00C05D5C" w:rsidRDefault="00C05D5C" w:rsidP="00E6378C">
            <w:pPr>
              <w:rPr>
                <w:szCs w:val="24"/>
                <w:lang w:eastAsia="en-GB"/>
              </w:rPr>
            </w:pPr>
            <w:r w:rsidRPr="00C05D5C">
              <w:rPr>
                <w:szCs w:val="24"/>
                <w:lang w:eastAsia="en-GB"/>
              </w:rPr>
              <w:t>Documentation (translation/typing)</w:t>
            </w:r>
          </w:p>
        </w:tc>
        <w:tc>
          <w:tcPr>
            <w:tcW w:w="272" w:type="dxa"/>
            <w:tcBorders>
              <w:top w:val="nil"/>
              <w:left w:val="nil"/>
              <w:bottom w:val="nil"/>
              <w:right w:val="nil"/>
            </w:tcBorders>
            <w:shd w:val="clear" w:color="auto" w:fill="auto"/>
            <w:noWrap/>
            <w:vAlign w:val="bottom"/>
            <w:hideMark/>
          </w:tcPr>
          <w:p w14:paraId="1BFFB82E" w14:textId="77777777" w:rsidR="00C05D5C" w:rsidRPr="00C05D5C" w:rsidRDefault="00C05D5C" w:rsidP="00E6378C">
            <w:pPr>
              <w:rPr>
                <w:szCs w:val="24"/>
                <w:lang w:eastAsia="en-GB"/>
              </w:rPr>
            </w:pPr>
          </w:p>
        </w:tc>
        <w:tc>
          <w:tcPr>
            <w:tcW w:w="1199" w:type="dxa"/>
            <w:tcBorders>
              <w:top w:val="nil"/>
              <w:left w:val="nil"/>
              <w:bottom w:val="nil"/>
              <w:right w:val="single" w:sz="4" w:space="0" w:color="auto"/>
            </w:tcBorders>
            <w:shd w:val="clear" w:color="auto" w:fill="auto"/>
            <w:noWrap/>
            <w:vAlign w:val="bottom"/>
            <w:hideMark/>
          </w:tcPr>
          <w:p w14:paraId="3C498E9C" w14:textId="77777777" w:rsidR="00C05D5C" w:rsidRPr="00C05D5C" w:rsidRDefault="00C05D5C" w:rsidP="00E6378C">
            <w:pPr>
              <w:jc w:val="right"/>
              <w:rPr>
                <w:szCs w:val="24"/>
                <w:lang w:eastAsia="en-GB"/>
              </w:rPr>
            </w:pPr>
            <w:r w:rsidRPr="00C05D5C">
              <w:rPr>
                <w:szCs w:val="24"/>
                <w:lang w:eastAsia="en-GB"/>
              </w:rPr>
              <w:t>20,000</w:t>
            </w:r>
          </w:p>
        </w:tc>
      </w:tr>
      <w:tr w:rsidR="00C05D5C" w:rsidRPr="00C05D5C" w14:paraId="4CD37738" w14:textId="77777777" w:rsidTr="00C05D5C">
        <w:trPr>
          <w:trHeight w:val="270"/>
          <w:jc w:val="center"/>
        </w:trPr>
        <w:tc>
          <w:tcPr>
            <w:tcW w:w="6653" w:type="dxa"/>
            <w:tcBorders>
              <w:top w:val="nil"/>
              <w:left w:val="single" w:sz="4" w:space="0" w:color="auto"/>
              <w:bottom w:val="single" w:sz="4" w:space="0" w:color="auto"/>
              <w:right w:val="nil"/>
            </w:tcBorders>
            <w:shd w:val="clear" w:color="auto" w:fill="auto"/>
            <w:noWrap/>
            <w:vAlign w:val="bottom"/>
            <w:hideMark/>
          </w:tcPr>
          <w:p w14:paraId="6ACD022B" w14:textId="77777777" w:rsidR="00C05D5C" w:rsidRPr="00C05D5C" w:rsidRDefault="00C05D5C" w:rsidP="00E6378C">
            <w:pPr>
              <w:rPr>
                <w:b/>
                <w:bCs/>
                <w:szCs w:val="24"/>
                <w:lang w:eastAsia="en-GB"/>
              </w:rPr>
            </w:pPr>
            <w:r w:rsidRPr="00C05D5C">
              <w:rPr>
                <w:b/>
                <w:bCs/>
                <w:szCs w:val="24"/>
                <w:lang w:eastAsia="en-GB"/>
              </w:rPr>
              <w:t>Total</w:t>
            </w:r>
          </w:p>
        </w:tc>
        <w:tc>
          <w:tcPr>
            <w:tcW w:w="272" w:type="dxa"/>
            <w:tcBorders>
              <w:top w:val="nil"/>
              <w:left w:val="nil"/>
              <w:bottom w:val="single" w:sz="4" w:space="0" w:color="auto"/>
              <w:right w:val="nil"/>
            </w:tcBorders>
            <w:shd w:val="clear" w:color="auto" w:fill="auto"/>
            <w:noWrap/>
            <w:vAlign w:val="bottom"/>
            <w:hideMark/>
          </w:tcPr>
          <w:p w14:paraId="55D91EEF" w14:textId="77777777" w:rsidR="00C05D5C" w:rsidRPr="00C05D5C" w:rsidRDefault="00C05D5C" w:rsidP="00E6378C">
            <w:pPr>
              <w:rPr>
                <w:b/>
                <w:bCs/>
                <w:szCs w:val="24"/>
                <w:lang w:eastAsia="en-GB"/>
              </w:rPr>
            </w:pP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0584A5A6" w14:textId="77777777" w:rsidR="00C05D5C" w:rsidRPr="00C05D5C" w:rsidRDefault="00C05D5C" w:rsidP="00E6378C">
            <w:pPr>
              <w:jc w:val="right"/>
              <w:rPr>
                <w:b/>
                <w:bCs/>
                <w:szCs w:val="24"/>
                <w:lang w:eastAsia="en-GB"/>
              </w:rPr>
            </w:pPr>
            <w:r w:rsidRPr="00C05D5C">
              <w:rPr>
                <w:b/>
                <w:bCs/>
                <w:szCs w:val="24"/>
                <w:lang w:eastAsia="en-GB"/>
              </w:rPr>
              <w:t>456,346</w:t>
            </w:r>
          </w:p>
        </w:tc>
      </w:tr>
    </w:tbl>
    <w:p w14:paraId="679175BC" w14:textId="61507927" w:rsidR="00C05D5C" w:rsidRDefault="00C05D5C" w:rsidP="00C05D5C">
      <w:pPr>
        <w:jc w:val="both"/>
      </w:pPr>
      <w:r>
        <w:br/>
        <w:t>The above assessment was based during WRC-19 on the following assumptions:</w:t>
      </w:r>
    </w:p>
    <w:p w14:paraId="35DE828D" w14:textId="7FF997EE" w:rsidR="00C05D5C" w:rsidRPr="00C05D5C" w:rsidRDefault="0C6948E9" w:rsidP="46C3CBE9">
      <w:pPr>
        <w:pStyle w:val="ListParagraph"/>
        <w:numPr>
          <w:ilvl w:val="0"/>
          <w:numId w:val="12"/>
        </w:numPr>
        <w:tabs>
          <w:tab w:val="clear" w:pos="567"/>
          <w:tab w:val="left" w:pos="709"/>
        </w:tabs>
        <w:jc w:val="both"/>
        <w:rPr>
          <w:rFonts w:ascii="Times New Roman" w:hAnsi="Times New Roman"/>
          <w:szCs w:val="24"/>
        </w:rPr>
      </w:pPr>
      <w:r w:rsidRPr="46C3CBE9">
        <w:rPr>
          <w:rFonts w:ascii="Times New Roman" w:hAnsi="Times New Roman"/>
        </w:rPr>
        <w:t xml:space="preserve">The frequency bands and the multiple radio services involved would increase the participation of the delegates in the meetings of both WP5D and the contributing groups for AI 1.2. </w:t>
      </w:r>
    </w:p>
    <w:p w14:paraId="2BE491E4" w14:textId="1021D78B" w:rsidR="00C05D5C" w:rsidRPr="00C05D5C" w:rsidRDefault="08A07D6F" w:rsidP="46C3CBE9">
      <w:pPr>
        <w:pStyle w:val="ListParagraph"/>
        <w:numPr>
          <w:ilvl w:val="0"/>
          <w:numId w:val="12"/>
        </w:numPr>
        <w:tabs>
          <w:tab w:val="clear" w:pos="567"/>
          <w:tab w:val="left" w:pos="709"/>
        </w:tabs>
        <w:jc w:val="both"/>
        <w:rPr>
          <w:rFonts w:ascii="Times New Roman" w:hAnsi="Times New Roman"/>
          <w:szCs w:val="24"/>
        </w:rPr>
      </w:pPr>
      <w:r w:rsidRPr="46C3CBE9">
        <w:rPr>
          <w:rFonts w:ascii="Times New Roman" w:hAnsi="Times New Roman"/>
        </w:rPr>
        <w:t>There was also the assumption that both Working Party and Study Group meetings in year 2022, due to the new building project, would have been hosted outside Geneva, generating mission costs for staff supporting the meeting and</w:t>
      </w:r>
      <w:r w:rsidR="5E75EA8D" w:rsidRPr="46C3CBE9">
        <w:rPr>
          <w:rFonts w:ascii="Times New Roman" w:hAnsi="Times New Roman"/>
        </w:rPr>
        <w:t xml:space="preserve"> eventually</w:t>
      </w:r>
      <w:r w:rsidRPr="46C3CBE9">
        <w:rPr>
          <w:rFonts w:ascii="Times New Roman" w:hAnsi="Times New Roman"/>
        </w:rPr>
        <w:t xml:space="preserve"> interpreters (at least two pools). </w:t>
      </w:r>
      <w:r w:rsidRPr="46C3CBE9">
        <w:rPr>
          <w:rFonts w:ascii="Times New Roman" w:hAnsi="Times New Roman"/>
        </w:rPr>
        <w:lastRenderedPageBreak/>
        <w:t xml:space="preserve">In any case, the large group would have required facilities outside ITU (WP 5D is already attended by more than 200 delegates). </w:t>
      </w:r>
    </w:p>
    <w:p w14:paraId="388652A8" w14:textId="049D64F4" w:rsidR="00C05D5C" w:rsidRPr="00C05D5C" w:rsidRDefault="08A07D6F" w:rsidP="46C3CBE9">
      <w:pPr>
        <w:pStyle w:val="ListParagraph"/>
        <w:numPr>
          <w:ilvl w:val="0"/>
          <w:numId w:val="12"/>
        </w:numPr>
        <w:tabs>
          <w:tab w:val="clear" w:pos="567"/>
          <w:tab w:val="left" w:pos="709"/>
        </w:tabs>
        <w:jc w:val="both"/>
        <w:rPr>
          <w:rFonts w:ascii="Times New Roman" w:hAnsi="Times New Roman"/>
          <w:szCs w:val="24"/>
        </w:rPr>
      </w:pPr>
      <w:r w:rsidRPr="46C3CBE9">
        <w:rPr>
          <w:rFonts w:ascii="Times New Roman" w:hAnsi="Times New Roman"/>
        </w:rPr>
        <w:t xml:space="preserve">The amount of meeting days, a total of 9 weeks over 2020-2022, was based on the experience of JTG 4-5-6-7 and TG 5/1. As </w:t>
      </w:r>
      <w:r w:rsidR="7E00FE37" w:rsidRPr="46C3CBE9">
        <w:rPr>
          <w:rFonts w:ascii="Times New Roman" w:hAnsi="Times New Roman"/>
        </w:rPr>
        <w:t xml:space="preserve">for </w:t>
      </w:r>
      <w:r w:rsidRPr="46C3CBE9">
        <w:rPr>
          <w:rFonts w:ascii="Times New Roman" w:hAnsi="Times New Roman"/>
        </w:rPr>
        <w:t xml:space="preserve">example, JTG 4-5-6-7 associated with Res 233 (WRC-12) in Document 42 for Council 2012 requested CHF 600 000; TG 5/1 associated with Res 238 (WRC-15) in Document 61 for Council 2016 requested CHF 280 000. </w:t>
      </w:r>
    </w:p>
    <w:p w14:paraId="525E97B2" w14:textId="3AB7FAEB" w:rsidR="00C05D5C" w:rsidRPr="00C05D5C" w:rsidRDefault="00C05D5C" w:rsidP="46C3CBE9">
      <w:pPr>
        <w:pStyle w:val="ListParagraph"/>
        <w:numPr>
          <w:ilvl w:val="0"/>
          <w:numId w:val="12"/>
        </w:numPr>
        <w:tabs>
          <w:tab w:val="clear" w:pos="567"/>
          <w:tab w:val="left" w:pos="709"/>
        </w:tabs>
        <w:jc w:val="both"/>
      </w:pPr>
      <w:r w:rsidRPr="46C3CBE9">
        <w:rPr>
          <w:rFonts w:ascii="Times New Roman" w:hAnsi="Times New Roman"/>
        </w:rPr>
        <w:t>There was the understanding that a ‘Task group’ (or even WP 5D) would have generated several deliverables, which would have required additional meeting time (few days) for their approval by multiple Study Groups, generating interpretation costs (this is similar to the situation happened for JTG 4-5-6-7).</w:t>
      </w:r>
    </w:p>
    <w:p w14:paraId="2A537419" w14:textId="77777777" w:rsidR="00C05D5C" w:rsidRPr="00C05D5C" w:rsidRDefault="00C05D5C" w:rsidP="00C05D5C">
      <w:pPr>
        <w:pStyle w:val="ListParagraph"/>
        <w:numPr>
          <w:ilvl w:val="0"/>
          <w:numId w:val="12"/>
        </w:numPr>
        <w:tabs>
          <w:tab w:val="clear" w:pos="567"/>
          <w:tab w:val="left" w:pos="709"/>
        </w:tabs>
        <w:jc w:val="both"/>
        <w:rPr>
          <w:rFonts w:ascii="Times New Roman" w:hAnsi="Times New Roman"/>
        </w:rPr>
      </w:pPr>
      <w:r w:rsidRPr="46C3CBE9">
        <w:rPr>
          <w:rFonts w:ascii="Times New Roman" w:hAnsi="Times New Roman"/>
        </w:rPr>
        <w:t>The creation of a ‘task group’ (or even WP 5D) would have required the involvement of an additional secretary (Counsellor), which could not be covered by existing resources considering also that a second task group was foreseen for WRC-23 ai 1.5 and is now in place.</w:t>
      </w:r>
    </w:p>
    <w:p w14:paraId="5D584C11" w14:textId="768EFCA9" w:rsidR="006112F0" w:rsidRDefault="006112F0" w:rsidP="00C05D5C">
      <w:pPr>
        <w:pStyle w:val="ListParagraph"/>
        <w:numPr>
          <w:ilvl w:val="0"/>
          <w:numId w:val="12"/>
        </w:numPr>
        <w:tabs>
          <w:tab w:val="clear" w:pos="567"/>
          <w:tab w:val="left" w:pos="709"/>
        </w:tabs>
        <w:jc w:val="both"/>
        <w:rPr>
          <w:rFonts w:ascii="Times New Roman" w:hAnsi="Times New Roman"/>
        </w:rPr>
      </w:pPr>
      <w:r w:rsidRPr="006112F0">
        <w:rPr>
          <w:rFonts w:ascii="Times New Roman" w:hAnsi="Times New Roman"/>
        </w:rPr>
        <w:t>The staff costs are the additional Counsellor and two assistants dedicated to the meetings of the group, the technicians</w:t>
      </w:r>
      <w:r w:rsidR="00395E2C" w:rsidRPr="006112F0">
        <w:rPr>
          <w:rFonts w:ascii="Times New Roman" w:hAnsi="Times New Roman"/>
        </w:rPr>
        <w:t>,</w:t>
      </w:r>
      <w:r w:rsidRPr="006112F0">
        <w:rPr>
          <w:rFonts w:ascii="Times New Roman" w:hAnsi="Times New Roman"/>
        </w:rPr>
        <w:t xml:space="preserve"> and ushers that we need to provide when having meetings in the CICG. This manpower is estimated over the 9 weeks planned for this group.</w:t>
      </w:r>
    </w:p>
    <w:p w14:paraId="4D148163" w14:textId="2A435ACC" w:rsidR="00C2491A" w:rsidRDefault="00C2491A" w:rsidP="00C05D5C">
      <w:pPr>
        <w:pStyle w:val="ListParagraph"/>
        <w:numPr>
          <w:ilvl w:val="0"/>
          <w:numId w:val="12"/>
        </w:numPr>
        <w:tabs>
          <w:tab w:val="clear" w:pos="567"/>
          <w:tab w:val="left" w:pos="709"/>
        </w:tabs>
        <w:jc w:val="both"/>
        <w:rPr>
          <w:rFonts w:ascii="Times New Roman" w:hAnsi="Times New Roman"/>
        </w:rPr>
      </w:pPr>
      <w:r w:rsidRPr="00C2491A">
        <w:rPr>
          <w:rFonts w:ascii="Times New Roman" w:hAnsi="Times New Roman"/>
        </w:rPr>
        <w:t xml:space="preserve">Additional meetings generate an increase of documents to be handled, preparations and follow up, the creation of web pages in 6 languages, Circular Letters, modifications to electronic means (synch tools, SharePoint, e-mail reflectors, distribution lists) and other </w:t>
      </w:r>
      <w:r w:rsidR="00B84C78">
        <w:rPr>
          <w:rFonts w:ascii="Times New Roman" w:hAnsi="Times New Roman"/>
        </w:rPr>
        <w:t>small</w:t>
      </w:r>
      <w:r w:rsidRPr="00C2491A">
        <w:rPr>
          <w:rFonts w:ascii="Times New Roman" w:hAnsi="Times New Roman"/>
        </w:rPr>
        <w:t xml:space="preserve"> increases to the regular workload and services provided by the BR.</w:t>
      </w:r>
    </w:p>
    <w:p w14:paraId="472E923B" w14:textId="77777777" w:rsidR="00C05D5C" w:rsidRPr="00C05D5C" w:rsidRDefault="00C05D5C" w:rsidP="00C05D5C">
      <w:pPr>
        <w:pStyle w:val="ListParagraph"/>
        <w:numPr>
          <w:ilvl w:val="0"/>
          <w:numId w:val="12"/>
        </w:numPr>
        <w:tabs>
          <w:tab w:val="clear" w:pos="567"/>
          <w:tab w:val="left" w:pos="709"/>
        </w:tabs>
        <w:jc w:val="both"/>
        <w:rPr>
          <w:rFonts w:ascii="Times New Roman" w:hAnsi="Times New Roman"/>
        </w:rPr>
      </w:pPr>
      <w:r w:rsidRPr="00C05D5C">
        <w:rPr>
          <w:rFonts w:ascii="Times New Roman" w:hAnsi="Times New Roman"/>
        </w:rPr>
        <w:t xml:space="preserve">During RA-19, some developing countries expressed the wish of having relevant documents translated to other languages, at least in French, and possible interpretation for important meetings (e.g. plenary sessions). </w:t>
      </w:r>
    </w:p>
    <w:p w14:paraId="60ACC8FC" w14:textId="3C122346" w:rsidR="00C05D5C" w:rsidRPr="00C05D5C" w:rsidRDefault="00C05D5C" w:rsidP="00C05D5C">
      <w:pPr>
        <w:jc w:val="both"/>
      </w:pPr>
      <w:r>
        <w:t xml:space="preserve">At this moment, to address WRC-23 ai 1.2, WP 5D has already added 2 days to each scheduled meeting until </w:t>
      </w:r>
      <w:r w:rsidR="0C61B54F">
        <w:t xml:space="preserve">the </w:t>
      </w:r>
      <w:r>
        <w:t xml:space="preserve">end of 2022, and is considering a further extension of its meeting time, </w:t>
      </w:r>
      <w:r w:rsidR="35435234">
        <w:t xml:space="preserve">eventually </w:t>
      </w:r>
      <w:r>
        <w:t xml:space="preserve">by having a Spectrum Working Group that meets separately from WP 5D </w:t>
      </w:r>
    </w:p>
    <w:p w14:paraId="5FA7466F" w14:textId="77777777" w:rsidR="00C05D5C" w:rsidRPr="00C05D5C" w:rsidRDefault="00C05D5C" w:rsidP="00C05D5C">
      <w:pPr>
        <w:jc w:val="both"/>
      </w:pPr>
      <w:r w:rsidRPr="00C05D5C">
        <w:t xml:space="preserve">The above assumptions are still valid. </w:t>
      </w:r>
    </w:p>
    <w:p w14:paraId="2F45F6D4" w14:textId="596946FD" w:rsidR="00C05D5C" w:rsidRPr="00C05D5C" w:rsidRDefault="00C05D5C" w:rsidP="00C05D5C">
      <w:pPr>
        <w:jc w:val="both"/>
      </w:pPr>
      <w:r>
        <w:t>Additionally, we may even foresee a Covid-19 impact in terms of distancing, for example Room Popov could not host a meeting with more than 100 delegates.</w:t>
      </w:r>
    </w:p>
    <w:p w14:paraId="2A1AE913" w14:textId="77777777" w:rsidR="00C05D5C" w:rsidRPr="00C05D5C" w:rsidRDefault="00C05D5C" w:rsidP="00C05D5C"/>
    <w:p w14:paraId="302AC773" w14:textId="11DF0875" w:rsidR="00C05D5C" w:rsidRPr="00C05D5C" w:rsidRDefault="00C05D5C" w:rsidP="00C05D5C">
      <w:pPr>
        <w:jc w:val="center"/>
      </w:pPr>
      <w:r>
        <w:t>______________</w:t>
      </w:r>
    </w:p>
    <w:sectPr w:rsidR="00C05D5C" w:rsidRPr="00C05D5C" w:rsidSect="00F749FF">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67EB8" w14:textId="77777777" w:rsidR="00E6378C" w:rsidRDefault="00E6378C">
      <w:r>
        <w:separator/>
      </w:r>
    </w:p>
  </w:endnote>
  <w:endnote w:type="continuationSeparator" w:id="0">
    <w:p w14:paraId="7ACFF402" w14:textId="77777777" w:rsidR="00E6378C" w:rsidRDefault="00E6378C">
      <w:r>
        <w:continuationSeparator/>
      </w:r>
    </w:p>
  </w:endnote>
  <w:endnote w:type="continuationNotice" w:id="1">
    <w:p w14:paraId="65287547" w14:textId="77777777" w:rsidR="00E6378C" w:rsidRDefault="00E637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E9E3B" w14:textId="77777777" w:rsidR="00E6378C" w:rsidRDefault="00E6378C">
      <w:r>
        <w:t>____________________</w:t>
      </w:r>
    </w:p>
  </w:footnote>
  <w:footnote w:type="continuationSeparator" w:id="0">
    <w:p w14:paraId="0FABA30D" w14:textId="77777777" w:rsidR="00E6378C" w:rsidRDefault="00E6378C">
      <w:r>
        <w:continuationSeparator/>
      </w:r>
    </w:p>
  </w:footnote>
  <w:footnote w:type="continuationNotice" w:id="1">
    <w:p w14:paraId="3EA61961" w14:textId="77777777" w:rsidR="00E6378C" w:rsidRDefault="00E6378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0278"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09AE9B7E" w14:textId="2AD9F0D7" w:rsidR="00C126C1" w:rsidRDefault="00C126C1" w:rsidP="00237E22">
    <w:pPr>
      <w:pStyle w:val="Header"/>
      <w:rPr>
        <w:lang w:val="es-ES"/>
      </w:rPr>
    </w:pPr>
    <w:r>
      <w:rPr>
        <w:lang w:val="es-ES"/>
      </w:rPr>
      <w:t>RAG</w:t>
    </w:r>
    <w:r w:rsidR="00237E22">
      <w:rPr>
        <w:lang w:val="es-ES"/>
      </w:rPr>
      <w:t>20</w:t>
    </w:r>
    <w:r>
      <w:rPr>
        <w:lang w:val="es-ES"/>
      </w:rPr>
      <w:t>/</w:t>
    </w:r>
    <w:r w:rsidR="00100805">
      <w:rPr>
        <w:lang w:val="es-ES"/>
      </w:rPr>
      <w:t>INFO/4</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61966"/>
    <w:multiLevelType w:val="hybridMultilevel"/>
    <w:tmpl w:val="11B4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01DA"/>
    <w:multiLevelType w:val="hybridMultilevel"/>
    <w:tmpl w:val="75FA8B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5C"/>
    <w:rsid w:val="0008309C"/>
    <w:rsid w:val="000837CB"/>
    <w:rsid w:val="00093C73"/>
    <w:rsid w:val="000F2431"/>
    <w:rsid w:val="00100805"/>
    <w:rsid w:val="00103F38"/>
    <w:rsid w:val="001377D6"/>
    <w:rsid w:val="001632FD"/>
    <w:rsid w:val="0018520D"/>
    <w:rsid w:val="001E41A0"/>
    <w:rsid w:val="00237E22"/>
    <w:rsid w:val="002774E4"/>
    <w:rsid w:val="002F4DA3"/>
    <w:rsid w:val="003059D2"/>
    <w:rsid w:val="00326627"/>
    <w:rsid w:val="00395E2C"/>
    <w:rsid w:val="003D068D"/>
    <w:rsid w:val="003E2CE2"/>
    <w:rsid w:val="00414B0C"/>
    <w:rsid w:val="00420F57"/>
    <w:rsid w:val="00481551"/>
    <w:rsid w:val="004F0848"/>
    <w:rsid w:val="00507DA3"/>
    <w:rsid w:val="0051782D"/>
    <w:rsid w:val="00597657"/>
    <w:rsid w:val="005B2C58"/>
    <w:rsid w:val="006112F0"/>
    <w:rsid w:val="00627BDD"/>
    <w:rsid w:val="00656189"/>
    <w:rsid w:val="006B4CFB"/>
    <w:rsid w:val="00746923"/>
    <w:rsid w:val="007934C9"/>
    <w:rsid w:val="007D6F38"/>
    <w:rsid w:val="00806E63"/>
    <w:rsid w:val="0081028D"/>
    <w:rsid w:val="008B3F50"/>
    <w:rsid w:val="00906598"/>
    <w:rsid w:val="00946F8B"/>
    <w:rsid w:val="0095426A"/>
    <w:rsid w:val="00971BF2"/>
    <w:rsid w:val="009D27EC"/>
    <w:rsid w:val="00A16CB2"/>
    <w:rsid w:val="00AF7CE7"/>
    <w:rsid w:val="00B35BE4"/>
    <w:rsid w:val="00B409FB"/>
    <w:rsid w:val="00B52992"/>
    <w:rsid w:val="00B84C78"/>
    <w:rsid w:val="00B84F0F"/>
    <w:rsid w:val="00C05D5C"/>
    <w:rsid w:val="00C126C1"/>
    <w:rsid w:val="00C2491A"/>
    <w:rsid w:val="00C322C4"/>
    <w:rsid w:val="00CC1D49"/>
    <w:rsid w:val="00CD4D80"/>
    <w:rsid w:val="00CE366B"/>
    <w:rsid w:val="00CF7532"/>
    <w:rsid w:val="00D15830"/>
    <w:rsid w:val="00D211BC"/>
    <w:rsid w:val="00D575A9"/>
    <w:rsid w:val="00D86324"/>
    <w:rsid w:val="00D94FE1"/>
    <w:rsid w:val="00DC3B29"/>
    <w:rsid w:val="00DD3BF8"/>
    <w:rsid w:val="00E6378C"/>
    <w:rsid w:val="00EC0BE3"/>
    <w:rsid w:val="00F113C5"/>
    <w:rsid w:val="00F749FF"/>
    <w:rsid w:val="00FC1E29"/>
    <w:rsid w:val="00FF1290"/>
    <w:rsid w:val="08A07D6F"/>
    <w:rsid w:val="0C61B54F"/>
    <w:rsid w:val="0C6948E9"/>
    <w:rsid w:val="22435010"/>
    <w:rsid w:val="35435234"/>
    <w:rsid w:val="3A14E8C6"/>
    <w:rsid w:val="46C3CBE9"/>
    <w:rsid w:val="4E9C38FF"/>
    <w:rsid w:val="5E75EA8D"/>
    <w:rsid w:val="62D36D96"/>
    <w:rsid w:val="68543112"/>
    <w:rsid w:val="69464544"/>
    <w:rsid w:val="7E00F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B068DA"/>
  <w15:docId w15:val="{38C2AD8E-A129-4552-B766-FE8FA8F2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basedOn w:val="Normal"/>
    <w:uiPriority w:val="34"/>
    <w:qFormat/>
    <w:rsid w:val="00C05D5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sonj\AppData\Local\Temp\Temp2_RAG20.zip\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0BCD90392CE4983D33C8AE8606CB9" ma:contentTypeVersion="8" ma:contentTypeDescription="Create a new document." ma:contentTypeScope="" ma:versionID="051311d54ec213fcf3a43e875e61ffbd">
  <xsd:schema xmlns:xsd="http://www.w3.org/2001/XMLSchema" xmlns:xs="http://www.w3.org/2001/XMLSchema" xmlns:p="http://schemas.microsoft.com/office/2006/metadata/properties" xmlns:ns2="4c272582-4164-40b3-8c4b-3c1a04c8dc1b" targetNamespace="http://schemas.microsoft.com/office/2006/metadata/properties" ma:root="true" ma:fieldsID="a52ef00aff1c51c1fe963c44ef218267" ns2:_="">
    <xsd:import namespace="4c272582-4164-40b3-8c4b-3c1a04c8d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2582-4164-40b3-8c4b-3c1a04c8d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881FC-2D1A-4DC1-AD7F-A61C036CCEEE}">
  <ds:schemaRefs>
    <ds:schemaRef ds:uri="http://schemas.microsoft.com/sharepoint/v3/contenttype/forms"/>
  </ds:schemaRefs>
</ds:datastoreItem>
</file>

<file path=customXml/itemProps2.xml><?xml version="1.0" encoding="utf-8"?>
<ds:datastoreItem xmlns:ds="http://schemas.openxmlformats.org/officeDocument/2006/customXml" ds:itemID="{F768ED64-D440-4F9F-8E58-C3597CC2B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2582-4164-40b3-8c4b-3c1a04c8d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36150-3BFF-4B5A-96AA-2DAFD11BF5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PE_RAG20.dotm</Template>
  <TotalTime>2</TotalTime>
  <Pages>2</Pages>
  <Words>679</Words>
  <Characters>3653</Characters>
  <Application>Microsoft Office Word</Application>
  <DocSecurity>0</DocSecurity>
  <Lines>30</Lines>
  <Paragraphs>8</Paragraphs>
  <ScaleCrop>false</ScaleCrop>
  <Manager>General Secretariat - Pool</Manager>
  <Company>International Telecommunication Union (ITU)</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Joanne</dc:creator>
  <cp:keywords/>
  <dc:description>PE_RAG10.dotm  For: _x000d_Document date: _x000d_Saved by TRA44246 at 12:32:17 on 12.02.2010</dc:description>
  <cp:lastModifiedBy>Bonnici, Adrienne</cp:lastModifiedBy>
  <cp:revision>4</cp:revision>
  <cp:lastPrinted>1999-10-01T00:03:00Z</cp:lastPrinted>
  <dcterms:created xsi:type="dcterms:W3CDTF">2020-05-26T07:58:00Z</dcterms:created>
  <dcterms:modified xsi:type="dcterms:W3CDTF">2020-05-26T07:59:00Z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0x0101003A20BCD90392CE4983D33C8AE8606CB9</vt:lpwstr>
  </property>
</Properties>
</file>