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90"/>
        <w:tblW w:w="9975" w:type="dxa"/>
        <w:tblLayout w:type="fixed"/>
        <w:tblLook w:val="0000" w:firstRow="0" w:lastRow="0" w:firstColumn="0" w:lastColumn="0" w:noHBand="0" w:noVBand="0"/>
      </w:tblPr>
      <w:tblGrid>
        <w:gridCol w:w="6629"/>
        <w:gridCol w:w="3346"/>
      </w:tblGrid>
      <w:tr w:rsidR="0098640E" w:rsidRPr="00301B0E" w14:paraId="7239C8A9" w14:textId="77777777" w:rsidTr="00FF27A2">
        <w:trPr>
          <w:cantSplit/>
        </w:trPr>
        <w:tc>
          <w:tcPr>
            <w:tcW w:w="6629" w:type="dxa"/>
            <w:vAlign w:val="center"/>
          </w:tcPr>
          <w:p w14:paraId="7F50D79D" w14:textId="77777777" w:rsidR="0098640E" w:rsidRPr="00301B0E" w:rsidRDefault="0098640E" w:rsidP="0098640E">
            <w:pPr>
              <w:shd w:val="solid" w:color="FFFFFF" w:fill="FFFFFF"/>
              <w:tabs>
                <w:tab w:val="left" w:pos="1451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 Bold"/>
                <w:b/>
                <w:bCs/>
                <w:sz w:val="26"/>
                <w:szCs w:val="26"/>
              </w:rPr>
            </w:pPr>
            <w:r w:rsidRPr="00301B0E">
              <w:rPr>
                <w:rFonts w:ascii="Verdana" w:eastAsia="Times New Roman" w:hAnsi="Verdana" w:cs="Times New Roman Bold"/>
                <w:b/>
                <w:sz w:val="26"/>
                <w:szCs w:val="26"/>
              </w:rPr>
              <w:t xml:space="preserve">Comité du Règlement des </w:t>
            </w:r>
            <w:r w:rsidRPr="00301B0E">
              <w:rPr>
                <w:rFonts w:ascii="Verdana" w:eastAsia="Times New Roman" w:hAnsi="Verdana" w:cs="Times New Roman Bold"/>
                <w:b/>
                <w:sz w:val="26"/>
                <w:szCs w:val="26"/>
              </w:rPr>
              <w:br/>
              <w:t>radiocommunications</w:t>
            </w:r>
            <w:r w:rsidRPr="00301B0E">
              <w:rPr>
                <w:rFonts w:ascii="Verdana" w:eastAsia="Times New Roman" w:hAnsi="Verdana" w:cs="Times New Roman Bold"/>
                <w:b/>
                <w:sz w:val="26"/>
                <w:szCs w:val="26"/>
              </w:rPr>
              <w:br/>
            </w:r>
            <w:r w:rsidRPr="00301B0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Genève, 23-27 mars 2020</w:t>
            </w:r>
          </w:p>
        </w:tc>
        <w:tc>
          <w:tcPr>
            <w:tcW w:w="3346" w:type="dxa"/>
          </w:tcPr>
          <w:p w14:paraId="5B6CA66F" w14:textId="77777777" w:rsidR="0098640E" w:rsidRPr="00301B0E" w:rsidRDefault="0098640E" w:rsidP="002C38A2">
            <w:pPr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ditulogo"/>
            <w:bookmarkEnd w:id="0"/>
            <w:r w:rsidRPr="00301B0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150EE4D" wp14:editId="18D2A0B8">
                  <wp:extent cx="843280" cy="843280"/>
                  <wp:effectExtent l="19050" t="0" r="0" b="0"/>
                  <wp:docPr id="1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40E" w:rsidRPr="00301B0E" w14:paraId="0DEC7A1C" w14:textId="77777777" w:rsidTr="00FF27A2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2DD40185" w14:textId="77777777" w:rsidR="0098640E" w:rsidRPr="00301B0E" w:rsidRDefault="0098640E" w:rsidP="0098640E">
            <w:pPr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 Bold"/>
                <w:b/>
              </w:rPr>
            </w:pPr>
          </w:p>
        </w:tc>
        <w:tc>
          <w:tcPr>
            <w:tcW w:w="3346" w:type="dxa"/>
            <w:tcBorders>
              <w:bottom w:val="single" w:sz="12" w:space="0" w:color="auto"/>
            </w:tcBorders>
          </w:tcPr>
          <w:p w14:paraId="394B0430" w14:textId="77777777" w:rsidR="0098640E" w:rsidRPr="00301B0E" w:rsidRDefault="0098640E" w:rsidP="0098640E">
            <w:pPr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8640E" w:rsidRPr="00301B0E" w14:paraId="372E91FF" w14:textId="77777777" w:rsidTr="00FF27A2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4154163" w14:textId="77777777" w:rsidR="0098640E" w:rsidRPr="00301B0E" w:rsidRDefault="0098640E" w:rsidP="0098640E">
            <w:pPr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48" w:line="240" w:lineRule="auto"/>
              <w:textAlignment w:val="baseline"/>
              <w:rPr>
                <w:rFonts w:ascii="Verdana" w:eastAsia="Times New Roman" w:hAnsi="Verdana" w:cs="Times New Roman Bold"/>
                <w:bCs/>
              </w:rPr>
            </w:pP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7E7A5C29" w14:textId="77777777" w:rsidR="0098640E" w:rsidRPr="00301B0E" w:rsidRDefault="0098640E" w:rsidP="0098640E">
            <w:pPr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8640E" w:rsidRPr="00301B0E" w14:paraId="24E6C56A" w14:textId="77777777" w:rsidTr="00FF27A2">
        <w:trPr>
          <w:cantSplit/>
        </w:trPr>
        <w:tc>
          <w:tcPr>
            <w:tcW w:w="6629" w:type="dxa"/>
            <w:vMerge w:val="restart"/>
          </w:tcPr>
          <w:p w14:paraId="10A3BC48" w14:textId="77777777" w:rsidR="0098640E" w:rsidRPr="00301B0E" w:rsidRDefault="0098640E" w:rsidP="0098640E">
            <w:pPr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346" w:type="dxa"/>
          </w:tcPr>
          <w:p w14:paraId="747AC50F" w14:textId="77777777" w:rsidR="0098640E" w:rsidRPr="00301B0E" w:rsidRDefault="0098640E" w:rsidP="0098640E">
            <w:pPr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1B0E">
              <w:rPr>
                <w:rFonts w:ascii="Verdana" w:eastAsia="Times New Roman" w:hAnsi="Verdana" w:cs="Times New Roman"/>
                <w:b/>
                <w:sz w:val="20"/>
                <w:szCs w:val="20"/>
              </w:rPr>
              <w:t>Document RRB20-1/16-F</w:t>
            </w:r>
          </w:p>
        </w:tc>
      </w:tr>
      <w:tr w:rsidR="0098640E" w:rsidRPr="00301B0E" w14:paraId="2EE63257" w14:textId="77777777" w:rsidTr="00FF27A2">
        <w:trPr>
          <w:cantSplit/>
        </w:trPr>
        <w:tc>
          <w:tcPr>
            <w:tcW w:w="6629" w:type="dxa"/>
            <w:vMerge/>
          </w:tcPr>
          <w:p w14:paraId="44303BD0" w14:textId="77777777" w:rsidR="0098640E" w:rsidRPr="00301B0E" w:rsidRDefault="0098640E" w:rsidP="0098640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32"/>
                <w:szCs w:val="20"/>
              </w:rPr>
            </w:pPr>
            <w:bookmarkStart w:id="3" w:name="ddate" w:colFirst="1" w:colLast="1"/>
            <w:bookmarkEnd w:id="2"/>
          </w:p>
        </w:tc>
        <w:tc>
          <w:tcPr>
            <w:tcW w:w="3346" w:type="dxa"/>
          </w:tcPr>
          <w:p w14:paraId="09737F45" w14:textId="77777777" w:rsidR="0098640E" w:rsidRPr="00301B0E" w:rsidRDefault="0098640E" w:rsidP="0098640E">
            <w:pPr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1B0E">
              <w:rPr>
                <w:rFonts w:ascii="Verdana" w:eastAsia="Times New Roman" w:hAnsi="Verdana" w:cs="Times New Roman"/>
                <w:b/>
                <w:sz w:val="20"/>
                <w:szCs w:val="20"/>
              </w:rPr>
              <w:t>25 mars 2020</w:t>
            </w:r>
          </w:p>
        </w:tc>
      </w:tr>
      <w:tr w:rsidR="0098640E" w:rsidRPr="00301B0E" w14:paraId="74E5C44A" w14:textId="77777777" w:rsidTr="00FF27A2">
        <w:trPr>
          <w:cantSplit/>
        </w:trPr>
        <w:tc>
          <w:tcPr>
            <w:tcW w:w="6629" w:type="dxa"/>
            <w:vMerge/>
          </w:tcPr>
          <w:p w14:paraId="5025F6E4" w14:textId="77777777" w:rsidR="0098640E" w:rsidRPr="00301B0E" w:rsidRDefault="0098640E" w:rsidP="0098640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32"/>
                <w:szCs w:val="20"/>
              </w:rPr>
            </w:pPr>
            <w:bookmarkStart w:id="4" w:name="dorlang" w:colFirst="1" w:colLast="1"/>
            <w:bookmarkEnd w:id="3"/>
          </w:p>
        </w:tc>
        <w:tc>
          <w:tcPr>
            <w:tcW w:w="3346" w:type="dxa"/>
          </w:tcPr>
          <w:p w14:paraId="5B7D6703" w14:textId="77777777" w:rsidR="0098640E" w:rsidRPr="00301B0E" w:rsidRDefault="0098640E" w:rsidP="0098640E">
            <w:pPr>
              <w:shd w:val="solid" w:color="FFFFFF" w:fill="FFFFFF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1B0E">
              <w:rPr>
                <w:rFonts w:ascii="Verdana" w:eastAsia="Times New Roman" w:hAnsi="Verdana" w:cs="Times New Roman"/>
                <w:b/>
                <w:sz w:val="20"/>
                <w:szCs w:val="20"/>
              </w:rPr>
              <w:t>Original: anglais</w:t>
            </w:r>
          </w:p>
        </w:tc>
      </w:tr>
      <w:tr w:rsidR="0098640E" w:rsidRPr="00301B0E" w14:paraId="2AF0ECC7" w14:textId="77777777" w:rsidTr="00FF27A2">
        <w:trPr>
          <w:cantSplit/>
        </w:trPr>
        <w:tc>
          <w:tcPr>
            <w:tcW w:w="9975" w:type="dxa"/>
            <w:gridSpan w:val="2"/>
          </w:tcPr>
          <w:p w14:paraId="2DA841CC" w14:textId="77777777" w:rsidR="0098640E" w:rsidRPr="00301B0E" w:rsidRDefault="0098640E" w:rsidP="0098640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bookmarkStart w:id="5" w:name="dsource" w:colFirst="0" w:colLast="0"/>
            <w:bookmarkEnd w:id="4"/>
          </w:p>
        </w:tc>
      </w:tr>
      <w:tr w:rsidR="0098640E" w:rsidRPr="005C765D" w14:paraId="759173C6" w14:textId="77777777" w:rsidTr="00FF27A2">
        <w:trPr>
          <w:cantSplit/>
        </w:trPr>
        <w:tc>
          <w:tcPr>
            <w:tcW w:w="9975" w:type="dxa"/>
            <w:gridSpan w:val="2"/>
          </w:tcPr>
          <w:p w14:paraId="77B85493" w14:textId="77777777" w:rsidR="0098640E" w:rsidRPr="005C765D" w:rsidRDefault="0098640E" w:rsidP="00986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eastAsia="Times New Roman" w:cstheme="minorHAnsi"/>
                <w:caps/>
                <w:sz w:val="28"/>
                <w:szCs w:val="20"/>
              </w:rPr>
            </w:pPr>
            <w:bookmarkStart w:id="6" w:name="drec" w:colFirst="0" w:colLast="0"/>
            <w:bookmarkStart w:id="7" w:name="dtitle1" w:colFirst="0" w:colLast="0"/>
            <w:bookmarkEnd w:id="5"/>
            <w:r w:rsidRPr="005C765D">
              <w:rPr>
                <w:rFonts w:eastAsia="Times New Roman" w:cstheme="minorHAnsi"/>
                <w:caps/>
                <w:sz w:val="28"/>
                <w:szCs w:val="20"/>
              </w:rPr>
              <w:t xml:space="preserve">RÉSUMÉ DES DÉCISIONS </w:t>
            </w:r>
            <w:r w:rsidRPr="005C765D">
              <w:rPr>
                <w:rFonts w:eastAsia="Times New Roman" w:cstheme="minorHAnsi"/>
                <w:caps/>
                <w:sz w:val="28"/>
                <w:szCs w:val="20"/>
              </w:rPr>
              <w:br/>
              <w:t>DE LA 83</w:t>
            </w:r>
            <w:r w:rsidRPr="005C765D">
              <w:rPr>
                <w:rFonts w:eastAsia="Times New Roman" w:cstheme="minorHAnsi"/>
                <w:sz w:val="28"/>
                <w:szCs w:val="20"/>
              </w:rPr>
              <w:t>ème</w:t>
            </w:r>
            <w:r w:rsidRPr="005C765D">
              <w:rPr>
                <w:rFonts w:eastAsia="Times New Roman" w:cstheme="minorHAnsi"/>
                <w:caps/>
                <w:sz w:val="28"/>
                <w:szCs w:val="20"/>
              </w:rPr>
              <w:t xml:space="preserve"> RÉUNION DU COMITÉ </w:t>
            </w:r>
            <w:r w:rsidRPr="005C765D">
              <w:rPr>
                <w:rFonts w:eastAsia="Times New Roman" w:cstheme="minorHAnsi"/>
                <w:caps/>
                <w:sz w:val="28"/>
                <w:szCs w:val="20"/>
              </w:rPr>
              <w:br/>
              <w:t>DU RÈGLEMENT DES RADIOCOMMUNICATIONS</w:t>
            </w:r>
          </w:p>
        </w:tc>
      </w:tr>
      <w:tr w:rsidR="0098640E" w:rsidRPr="005C765D" w14:paraId="4D5CEF4A" w14:textId="77777777" w:rsidTr="00FF27A2">
        <w:trPr>
          <w:cantSplit/>
        </w:trPr>
        <w:tc>
          <w:tcPr>
            <w:tcW w:w="9975" w:type="dxa"/>
            <w:gridSpan w:val="2"/>
          </w:tcPr>
          <w:p w14:paraId="6813742E" w14:textId="77777777" w:rsidR="0098640E" w:rsidRPr="005C765D" w:rsidRDefault="0098640E" w:rsidP="009864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eastAsia="Times New Roman" w:cstheme="minorHAnsi"/>
                <w:caps/>
                <w:sz w:val="24"/>
                <w:szCs w:val="24"/>
              </w:rPr>
            </w:pPr>
            <w:r w:rsidRPr="005C765D">
              <w:rPr>
                <w:rFonts w:eastAsia="Times New Roman" w:cstheme="minorHAnsi"/>
                <w:sz w:val="24"/>
                <w:szCs w:val="24"/>
              </w:rPr>
              <w:t>25 mars 2020 − Téléconférence</w:t>
            </w:r>
          </w:p>
        </w:tc>
      </w:tr>
    </w:tbl>
    <w:bookmarkEnd w:id="6"/>
    <w:bookmarkEnd w:id="7"/>
    <w:p w14:paraId="29F9D7FF" w14:textId="77777777" w:rsidR="0098640E" w:rsidRPr="005C765D" w:rsidRDefault="0098640E" w:rsidP="00E81205">
      <w:pPr>
        <w:tabs>
          <w:tab w:val="left" w:pos="2127"/>
        </w:tabs>
        <w:overflowPunct w:val="0"/>
        <w:autoSpaceDE w:val="0"/>
        <w:autoSpaceDN w:val="0"/>
        <w:adjustRightInd w:val="0"/>
        <w:spacing w:before="36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  <w:u w:val="single"/>
        </w:rPr>
      </w:pPr>
      <w:r w:rsidRPr="005C765D">
        <w:rPr>
          <w:rFonts w:eastAsia="Times New Roman" w:cstheme="minorHAnsi"/>
          <w:sz w:val="24"/>
          <w:szCs w:val="20"/>
          <w:u w:val="single"/>
        </w:rPr>
        <w:t>Présents</w:t>
      </w:r>
      <w:r w:rsidRPr="005C765D">
        <w:rPr>
          <w:rFonts w:eastAsia="Times New Roman" w:cstheme="minorHAnsi"/>
          <w:sz w:val="24"/>
          <w:szCs w:val="20"/>
        </w:rPr>
        <w:t>:</w:t>
      </w:r>
      <w:r w:rsidRPr="005C765D">
        <w:rPr>
          <w:rFonts w:eastAsia="Times New Roman" w:cstheme="minorHAnsi"/>
          <w:sz w:val="24"/>
          <w:szCs w:val="20"/>
        </w:rPr>
        <w:tab/>
      </w:r>
      <w:r w:rsidRPr="005C765D">
        <w:rPr>
          <w:rFonts w:eastAsia="Times New Roman" w:cstheme="minorHAnsi"/>
          <w:sz w:val="24"/>
          <w:szCs w:val="20"/>
          <w:u w:val="single"/>
        </w:rPr>
        <w:t>Membres du RRB</w:t>
      </w:r>
    </w:p>
    <w:p w14:paraId="70E012D3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Mme C. BEAUMIER, Présidente</w:t>
      </w:r>
    </w:p>
    <w:p w14:paraId="5F3F0F0A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M. N. VARLAMOV, Vice-Président</w:t>
      </w:r>
    </w:p>
    <w:p w14:paraId="1130E7E6" w14:textId="0ADD3D30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M. T. ALAMRI, M. E. AZZOUZ, M. L. F. BORJÓN FIGUEROA, Mme S. HASANOVA, M. A. HASHIMOTO, M. Y. HENRI, M. D. Q. HOAN, Mme L. JEANTY, M. S. M. MCHUNU, M. H. TALIB</w:t>
      </w:r>
    </w:p>
    <w:p w14:paraId="1C3D204C" w14:textId="77777777" w:rsidR="0098640E" w:rsidRPr="005C765D" w:rsidRDefault="0098640E" w:rsidP="00E81205">
      <w:pPr>
        <w:tabs>
          <w:tab w:val="left" w:pos="2127"/>
        </w:tabs>
        <w:overflowPunct w:val="0"/>
        <w:autoSpaceDE w:val="0"/>
        <w:autoSpaceDN w:val="0"/>
        <w:adjustRightInd w:val="0"/>
        <w:spacing w:before="120" w:after="12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</w:r>
      <w:r w:rsidRPr="005C765D">
        <w:rPr>
          <w:rFonts w:eastAsia="Times New Roman" w:cstheme="minorHAnsi"/>
          <w:sz w:val="24"/>
          <w:szCs w:val="20"/>
          <w:u w:val="single"/>
        </w:rPr>
        <w:t>Secrétaire exécutif du RRB</w:t>
      </w:r>
      <w:r w:rsidRPr="005C765D">
        <w:rPr>
          <w:rFonts w:eastAsia="Times New Roman" w:cstheme="minorHAnsi"/>
          <w:sz w:val="24"/>
          <w:szCs w:val="20"/>
        </w:rPr>
        <w:br/>
        <w:t>M. M. MANIEWICZ, Directeur du BR</w:t>
      </w:r>
    </w:p>
    <w:p w14:paraId="700CD0DC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12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</w:r>
      <w:r w:rsidRPr="005C765D">
        <w:rPr>
          <w:rFonts w:eastAsia="Times New Roman" w:cstheme="minorHAnsi"/>
          <w:sz w:val="24"/>
          <w:szCs w:val="20"/>
          <w:u w:val="single"/>
        </w:rPr>
        <w:t>Procès-verbalistes</w:t>
      </w:r>
      <w:r w:rsidRPr="005C765D">
        <w:rPr>
          <w:rFonts w:eastAsia="Times New Roman" w:cstheme="minorHAnsi"/>
          <w:sz w:val="24"/>
          <w:szCs w:val="20"/>
        </w:rPr>
        <w:br/>
        <w:t>M. T. ELDRIDGE, Mme S. MUTTI et M. P. METHVEN</w:t>
      </w:r>
    </w:p>
    <w:p w14:paraId="36B56C2D" w14:textId="77777777" w:rsidR="0098640E" w:rsidRPr="005C765D" w:rsidRDefault="0098640E" w:rsidP="00E81205">
      <w:pPr>
        <w:tabs>
          <w:tab w:val="left" w:pos="2127"/>
        </w:tabs>
        <w:overflowPunct w:val="0"/>
        <w:autoSpaceDE w:val="0"/>
        <w:autoSpaceDN w:val="0"/>
        <w:adjustRightInd w:val="0"/>
        <w:spacing w:before="360" w:after="0" w:line="240" w:lineRule="auto"/>
        <w:ind w:left="2127" w:hanging="2127"/>
        <w:textAlignment w:val="baseline"/>
        <w:rPr>
          <w:rFonts w:eastAsia="Times New Roman" w:cstheme="minorHAnsi"/>
          <w:b/>
          <w:bCs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  <w:u w:val="single"/>
        </w:rPr>
        <w:t>Également présents</w:t>
      </w:r>
      <w:r w:rsidRPr="005C765D">
        <w:rPr>
          <w:rFonts w:eastAsia="Times New Roman" w:cstheme="minorHAnsi"/>
          <w:sz w:val="24"/>
          <w:szCs w:val="20"/>
        </w:rPr>
        <w:t>:</w:t>
      </w:r>
      <w:r w:rsidRPr="005C765D">
        <w:rPr>
          <w:rFonts w:eastAsia="Times New Roman" w:cstheme="minorHAnsi"/>
          <w:sz w:val="24"/>
          <w:szCs w:val="20"/>
        </w:rPr>
        <w:tab/>
        <w:t>Mme J. WILSON,</w:t>
      </w:r>
      <w:r w:rsidRPr="005C765D">
        <w:rPr>
          <w:rFonts w:eastAsia="Times New Roman" w:cstheme="minorHAnsi"/>
          <w:bCs/>
          <w:sz w:val="24"/>
          <w:szCs w:val="20"/>
        </w:rPr>
        <w:t xml:space="preserve"> Directrice adjointe du BR et Chef de l'IAP</w:t>
      </w:r>
    </w:p>
    <w:p w14:paraId="6903D5AF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bCs/>
          <w:sz w:val="24"/>
          <w:szCs w:val="20"/>
        </w:rPr>
        <w:tab/>
        <w:t xml:space="preserve">M. A. </w:t>
      </w:r>
      <w:r w:rsidRPr="005C765D">
        <w:rPr>
          <w:rFonts w:eastAsia="Times New Roman" w:cstheme="minorHAnsi"/>
          <w:sz w:val="24"/>
          <w:szCs w:val="20"/>
        </w:rPr>
        <w:t>VALLET, Chef du SSD</w:t>
      </w:r>
    </w:p>
    <w:p w14:paraId="53298486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M. C. C. LOO, Chef du SSD/SPR</w:t>
      </w:r>
    </w:p>
    <w:p w14:paraId="7ACDDC5F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M. M. SAKAMOTO, Chef du SSD/SSC</w:t>
      </w:r>
    </w:p>
    <w:p w14:paraId="468C2498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M. J. WANG, Chef du SSD/SNP</w:t>
      </w:r>
    </w:p>
    <w:p w14:paraId="0964AD45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M. N. VASSILIEV, Chef du TSD</w:t>
      </w:r>
    </w:p>
    <w:p w14:paraId="7657DF91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M. K. BOGENS, Chef du TSD/FMD</w:t>
      </w:r>
    </w:p>
    <w:p w14:paraId="2428C406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M. B. BA, Chef du TSD/TPR</w:t>
      </w:r>
    </w:p>
    <w:p w14:paraId="4AF4E7E1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Mme I. GHAZI, Chef du TSD/BCD</w:t>
      </w:r>
    </w:p>
    <w:p w14:paraId="687BD383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M. D. BOTHA, SGD</w:t>
      </w:r>
    </w:p>
    <w:p w14:paraId="716E26D9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  <w:r w:rsidRPr="005C765D">
        <w:rPr>
          <w:rFonts w:eastAsia="Times New Roman" w:cstheme="minorHAnsi"/>
          <w:sz w:val="24"/>
          <w:szCs w:val="20"/>
        </w:rPr>
        <w:tab/>
        <w:t>Mme K. GOZAL, Assistante administrative</w:t>
      </w:r>
    </w:p>
    <w:p w14:paraId="750532DD" w14:textId="77777777" w:rsidR="0098640E" w:rsidRPr="005C765D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eastAsia="Times New Roman" w:cstheme="minorHAnsi"/>
          <w:sz w:val="24"/>
          <w:szCs w:val="20"/>
        </w:rPr>
      </w:pPr>
    </w:p>
    <w:p w14:paraId="637D3395" w14:textId="77777777" w:rsidR="0098640E" w:rsidRPr="00301B0E" w:rsidRDefault="0098640E" w:rsidP="0098640E">
      <w:pPr>
        <w:tabs>
          <w:tab w:val="left" w:pos="2127"/>
        </w:tabs>
        <w:overflowPunct w:val="0"/>
        <w:autoSpaceDE w:val="0"/>
        <w:autoSpaceDN w:val="0"/>
        <w:adjustRightInd w:val="0"/>
        <w:spacing w:before="40" w:after="0" w:line="240" w:lineRule="auto"/>
        <w:ind w:left="2127" w:hanging="2127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98640E" w:rsidRPr="00301B0E" w:rsidSect="00FF27A2">
          <w:headerReference w:type="default" r:id="rId7"/>
          <w:footerReference w:type="even" r:id="rId8"/>
          <w:footerReference w:type="default" r:id="rId9"/>
          <w:footerReference w:type="first" r:id="rId10"/>
          <w:pgSz w:w="11907" w:h="16834" w:code="9"/>
          <w:pgMar w:top="1418" w:right="1134" w:bottom="1418" w:left="1134" w:header="720" w:footer="720" w:gutter="0"/>
          <w:paperSrc w:first="7" w:other="7"/>
          <w:cols w:space="720"/>
          <w:titlePg/>
        </w:sectPr>
      </w:pPr>
    </w:p>
    <w:tbl>
      <w:tblPr>
        <w:tblStyle w:val="GridTable1Light-Accent12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7935"/>
        <w:gridCol w:w="2554"/>
      </w:tblGrid>
      <w:tr w:rsidR="0098640E" w:rsidRPr="005C765D" w14:paraId="1416F1D5" w14:textId="77777777" w:rsidTr="005C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14:paraId="5530B92A" w14:textId="77777777" w:rsidR="0098640E" w:rsidRPr="005C765D" w:rsidRDefault="0098640E" w:rsidP="00E81205">
            <w:pPr>
              <w:pStyle w:val="Tablehead"/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fr-FR"/>
              </w:rPr>
              <w:lastRenderedPageBreak/>
              <w:br w:type="page"/>
              <w:t>Point</w:t>
            </w:r>
            <w:r w:rsidRPr="005C765D"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fr-FR"/>
              </w:rPr>
              <w:br/>
              <w:t>N°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93C5886" w14:textId="77777777" w:rsidR="0098640E" w:rsidRPr="005C765D" w:rsidRDefault="0098640E" w:rsidP="00E8120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fr-FR"/>
              </w:rPr>
              <w:t>Objet</w:t>
            </w:r>
          </w:p>
        </w:tc>
        <w:tc>
          <w:tcPr>
            <w:tcW w:w="7935" w:type="dxa"/>
            <w:shd w:val="clear" w:color="auto" w:fill="DBE5F1" w:themeFill="accent1" w:themeFillTint="33"/>
            <w:vAlign w:val="center"/>
          </w:tcPr>
          <w:p w14:paraId="2B1CE579" w14:textId="77777777" w:rsidR="0098640E" w:rsidRPr="005C765D" w:rsidRDefault="0098640E" w:rsidP="00E8120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fr-FR"/>
              </w:rPr>
              <w:t>Action/décision et motifs</w:t>
            </w: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14:paraId="0E9C0FCD" w14:textId="77777777" w:rsidR="0098640E" w:rsidRPr="005C765D" w:rsidRDefault="0098640E" w:rsidP="00E8120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fr-FR"/>
              </w:rPr>
              <w:t>Suivi</w:t>
            </w:r>
          </w:p>
        </w:tc>
      </w:tr>
      <w:tr w:rsidR="0098640E" w:rsidRPr="005C765D" w14:paraId="57E344C5" w14:textId="77777777" w:rsidTr="00A973D0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48415C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2835" w:type="dxa"/>
          </w:tcPr>
          <w:p w14:paraId="22003D1E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Ouverture de la réunion</w:t>
            </w:r>
          </w:p>
        </w:tc>
        <w:tc>
          <w:tcPr>
            <w:tcW w:w="7935" w:type="dxa"/>
          </w:tcPr>
          <w:p w14:paraId="7E356171" w14:textId="5E75E5A1" w:rsidR="0098640E" w:rsidRPr="005C765D" w:rsidRDefault="00824E50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8" w:name="lt_pId046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Présidente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Mme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C. BEAUMIER,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F0FD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souhait</w:t>
            </w:r>
            <w:r w:rsidR="00AF0FD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bienvenue aux membres du Comité à la 83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ème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 et a reconn</w:t>
            </w:r>
            <w:r w:rsidR="00AF0FD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48162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</w:t>
            </w:r>
            <w:r w:rsidR="00E81205" w:rsidRPr="005C765D">
              <w:rPr>
                <w:rFonts w:asciiTheme="minorHAnsi" w:eastAsiaTheme="minorHAnsi" w:hAnsiTheme="minorHAnsi" w:cstheme="minorHAnsi"/>
                <w:color w:val="3C4043"/>
                <w:sz w:val="22"/>
                <w:szCs w:val="22"/>
                <w:shd w:val="clear" w:color="auto" w:fill="FFFFFF"/>
                <w:lang w:val="fr-FR" w:eastAsia="en-US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circonstances</w:t>
            </w:r>
            <w:r w:rsidR="0048162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exceptionnelles et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sans précédent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48162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engendrées par l'épidémie de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COVID-19</w:t>
            </w:r>
            <w:r w:rsidR="00AB179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48162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ainsi que ses conséquences pour de nombreux pays et pour les membres du Comité.</w:t>
            </w:r>
            <w:bookmarkEnd w:id="8"/>
          </w:p>
          <w:p w14:paraId="60E81912" w14:textId="3BB82896" w:rsidR="0098640E" w:rsidRPr="005C765D" w:rsidRDefault="00481624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9" w:name="lt_pId047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Directeur du Bureau des radiocommunications,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M. MANIEWICZ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 nom du Secrétaire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général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H. ZHAO,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F0FD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F0FD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lui aussi 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souhait</w:t>
            </w:r>
            <w:r w:rsidR="00AF0FD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la bienvenue aux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membres du Comité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 w:rsidR="00AF0FD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a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form</w:t>
            </w:r>
            <w:r w:rsidR="00AF0FD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é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le vœu que la réunion du Comité soit fructueuse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</w:t>
            </w:r>
            <w:r w:rsidR="00AF0FD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exprim</w:t>
            </w:r>
            <w:r w:rsidR="00AF0FD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 gratitude aux membres du Comité pour leur participation à la réunion en pareille circonstance.</w:t>
            </w:r>
            <w:bookmarkEnd w:id="9"/>
          </w:p>
        </w:tc>
        <w:tc>
          <w:tcPr>
            <w:tcW w:w="2554" w:type="dxa"/>
          </w:tcPr>
          <w:p w14:paraId="4316AC78" w14:textId="77777777" w:rsidR="0098640E" w:rsidRPr="005C765D" w:rsidRDefault="0098640E" w:rsidP="00A973D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–</w:t>
            </w:r>
          </w:p>
        </w:tc>
      </w:tr>
      <w:tr w:rsidR="0098640E" w:rsidRPr="005C765D" w14:paraId="678BB193" w14:textId="77777777" w:rsidTr="00A973D0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D216DA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</w:tc>
        <w:tc>
          <w:tcPr>
            <w:tcW w:w="2835" w:type="dxa"/>
          </w:tcPr>
          <w:p w14:paraId="4AC38881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Adoption de l'ordre du jour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11" w:history="1">
              <w:bookmarkStart w:id="10" w:name="lt_pId051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RRB20-1/OJ/1(Rév.2)</w:t>
              </w:r>
              <w:bookmarkEnd w:id="10"/>
            </w:hyperlink>
          </w:p>
        </w:tc>
        <w:tc>
          <w:tcPr>
            <w:tcW w:w="7935" w:type="dxa"/>
          </w:tcPr>
          <w:p w14:paraId="4A589880" w14:textId="5ACFBC14" w:rsidR="0098640E" w:rsidRPr="005C765D" w:rsidRDefault="00AB1799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11" w:name="lt_pId052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projet d'ordre du jour a été adopté moyennant les modifications indiquées dans le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Document RRB20-1/OJ/1(R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v.2).</w:t>
            </w:r>
            <w:bookmarkEnd w:id="11"/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bookmarkStart w:id="12" w:name="lt_pId053"/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Le Comité a décidé d'inscrire à l'ordre du jour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Document RRB20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noBreakHyphen/>
              <w:t xml:space="preserve">1/DELAYED/1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 titre du point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4.1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information.</w:t>
            </w:r>
            <w:bookmarkEnd w:id="12"/>
          </w:p>
        </w:tc>
        <w:tc>
          <w:tcPr>
            <w:tcW w:w="2554" w:type="dxa"/>
          </w:tcPr>
          <w:p w14:paraId="43DF45F5" w14:textId="77777777" w:rsidR="0098640E" w:rsidRPr="005C765D" w:rsidRDefault="0098640E" w:rsidP="00A973D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–</w:t>
            </w:r>
          </w:p>
        </w:tc>
      </w:tr>
      <w:tr w:rsidR="0098640E" w:rsidRPr="005C765D" w14:paraId="6F74B637" w14:textId="77777777" w:rsidTr="00A973D0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2851FB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2.1</w:t>
            </w:r>
          </w:p>
        </w:tc>
        <w:tc>
          <w:tcPr>
            <w:tcW w:w="2835" w:type="dxa"/>
          </w:tcPr>
          <w:p w14:paraId="26DDF482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Points dont l'examen sera reporté à la 84ème réunion du Comité</w:t>
            </w:r>
          </w:p>
        </w:tc>
        <w:tc>
          <w:tcPr>
            <w:tcW w:w="7935" w:type="dxa"/>
          </w:tcPr>
          <w:p w14:paraId="2BF9EF7A" w14:textId="376041F6" w:rsidR="0098640E" w:rsidRPr="005C765D" w:rsidRDefault="00AB1799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13" w:name="lt_pId057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En raison des circonstances dans lesquelles se tient la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réunion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le Comité 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tous les points </w:t>
            </w:r>
            <w:r w:rsidR="00305CB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305CB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ordre du jour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sans caractère urgent</w:t>
            </w:r>
            <w:r w:rsidR="00305CB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 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réunion du Comité, exception faite des points 4, 5 et 6.1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ordre du jour, qui seront examinés à la réunion actuelle, et</w:t>
            </w:r>
            <w:r w:rsidR="00BA1B5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BA1B5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examiner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paragraphe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9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Document RRB20-1/6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305CB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qui était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inscrit au point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ordre du jour,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 titre du point 4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ordre du jour. Les mesures appropriées à prendre pendant la période intérimaire seront indiquées en regard de chacun des points dont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examen a été repo</w:t>
            </w:r>
            <w:r w:rsidR="00305CB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rté</w:t>
            </w:r>
            <w:bookmarkEnd w:id="13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2554" w:type="dxa"/>
          </w:tcPr>
          <w:p w14:paraId="2E64E367" w14:textId="77777777" w:rsidR="0098640E" w:rsidRPr="005C765D" w:rsidRDefault="0098640E" w:rsidP="00A973D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−</w:t>
            </w:r>
          </w:p>
        </w:tc>
      </w:tr>
      <w:tr w:rsidR="0098640E" w:rsidRPr="005C765D" w14:paraId="413DCE89" w14:textId="77777777" w:rsidTr="00A973D0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6B7F46FA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2835" w:type="dxa"/>
            <w:vMerge w:val="restart"/>
          </w:tcPr>
          <w:p w14:paraId="16A7F621" w14:textId="77777777" w:rsidR="0098640E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 w:themeColor="hyperlink"/>
                <w:szCs w:val="22"/>
                <w:u w:val="single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Rapport du Directeur du BR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bookmarkStart w:id="14" w:name="lt_pId062"/>
            <w:r w:rsidR="00A36275" w:rsidRPr="005C765D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HYPERLINK "https://www.itu.int/md/R20-RRB20.1-C-0006/en" </w:instrText>
            </w:r>
            <w:r w:rsidR="00A36275" w:rsidRPr="005C765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C765D">
              <w:rPr>
                <w:rFonts w:asciiTheme="minorHAnsi" w:hAnsiTheme="minorHAnsi" w:cstheme="minorHAnsi"/>
                <w:color w:val="0000FF" w:themeColor="hyperlink"/>
                <w:sz w:val="22"/>
                <w:szCs w:val="22"/>
                <w:u w:val="single"/>
                <w:lang w:val="fr-FR"/>
              </w:rPr>
              <w:t>RRB20-1/6</w:t>
            </w:r>
            <w:r w:rsidR="00A36275" w:rsidRPr="005C765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br/>
            </w:r>
            <w:hyperlink r:id="rId12" w:history="1"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RRB20-1/6(Add.1)</w:t>
              </w:r>
            </w:hyperlink>
            <w:bookmarkEnd w:id="14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br/>
            </w:r>
            <w:bookmarkStart w:id="15" w:name="lt_pId063"/>
            <w:r w:rsidR="00A36275" w:rsidRPr="005C765D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HYPERLINK "https://www.itu.int/md/R20-RRB20.1-C-0006/en" </w:instrText>
            </w:r>
            <w:r w:rsidR="00A36275" w:rsidRPr="005C765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C765D">
              <w:rPr>
                <w:rFonts w:asciiTheme="minorHAnsi" w:hAnsiTheme="minorHAnsi" w:cstheme="minorHAnsi"/>
                <w:color w:val="0000FF" w:themeColor="hyperlink"/>
                <w:sz w:val="22"/>
                <w:szCs w:val="22"/>
                <w:u w:val="single"/>
                <w:lang w:val="fr-FR"/>
              </w:rPr>
              <w:t>RRB20-1/6(Add.2)</w:t>
            </w:r>
            <w:r w:rsidR="00A36275" w:rsidRPr="005C765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br/>
            </w:r>
            <w:hyperlink r:id="rId13" w:history="1"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RRB20-1/6(Add.3)</w:t>
              </w:r>
            </w:hyperlink>
            <w:bookmarkEnd w:id="15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br/>
            </w:r>
            <w:hyperlink r:id="rId14" w:history="1">
              <w:bookmarkStart w:id="16" w:name="lt_pId064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RRB20-1/6(Add.4)</w:t>
              </w:r>
              <w:bookmarkEnd w:id="16"/>
            </w:hyperlink>
          </w:p>
          <w:p w14:paraId="6313A2F2" w14:textId="77777777" w:rsidR="005C765D" w:rsidRPr="005C765D" w:rsidRDefault="005C765D" w:rsidP="005C7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590D04" w14:textId="77777777" w:rsidR="005C765D" w:rsidRPr="005C765D" w:rsidRDefault="005C765D" w:rsidP="005C7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CA5CD3" w14:textId="77777777" w:rsidR="005C765D" w:rsidRPr="005C765D" w:rsidRDefault="005C765D" w:rsidP="005C7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C0D72A" w14:textId="77777777" w:rsidR="005C765D" w:rsidRDefault="005C765D" w:rsidP="005C7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 w:themeColor="hyperlink"/>
                <w:szCs w:val="22"/>
                <w:u w:val="single"/>
              </w:rPr>
            </w:pPr>
          </w:p>
          <w:p w14:paraId="6741873D" w14:textId="77777777" w:rsidR="005C765D" w:rsidRPr="005C765D" w:rsidRDefault="005C765D" w:rsidP="005C7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5CDD52" w14:textId="77777777" w:rsidR="005C765D" w:rsidRDefault="005C765D" w:rsidP="005C7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 w:themeColor="hyperlink"/>
                <w:szCs w:val="22"/>
                <w:u w:val="single"/>
              </w:rPr>
            </w:pPr>
          </w:p>
          <w:p w14:paraId="0CD2CD59" w14:textId="57751167" w:rsidR="005C765D" w:rsidRPr="005C765D" w:rsidRDefault="005C765D" w:rsidP="005C765D">
            <w:pPr>
              <w:tabs>
                <w:tab w:val="left" w:pos="18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7935" w:type="dxa"/>
          </w:tcPr>
          <w:p w14:paraId="0E1C91CC" w14:textId="53D1634F" w:rsidR="0098640E" w:rsidRPr="005C765D" w:rsidRDefault="00BA1B56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17" w:name="lt_pId065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a exprimé sa reconnaissance au Bureau pour les renseignements 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fournis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le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Document RRB20-1/6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ses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addenda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examen de ce document, exception faite de ce qui suit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bookmarkEnd w:id="17"/>
          </w:p>
        </w:tc>
        <w:tc>
          <w:tcPr>
            <w:tcW w:w="2554" w:type="dxa"/>
          </w:tcPr>
          <w:p w14:paraId="7911F701" w14:textId="77777777" w:rsidR="0098640E" w:rsidRPr="005C765D" w:rsidRDefault="0098640E" w:rsidP="00A973D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−</w:t>
            </w:r>
          </w:p>
        </w:tc>
      </w:tr>
      <w:tr w:rsidR="0098640E" w:rsidRPr="005C765D" w14:paraId="08079940" w14:textId="77777777" w:rsidTr="00A973D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7B292A45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vMerge/>
          </w:tcPr>
          <w:p w14:paraId="7547845C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935" w:type="dxa"/>
          </w:tcPr>
          <w:p w14:paraId="53ADC1D2" w14:textId="22DBA598" w:rsidR="0098640E" w:rsidRPr="005C765D" w:rsidRDefault="0098640E" w:rsidP="00E81205">
            <w:pPr>
              <w:pStyle w:val="Tabletext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a)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bookmarkStart w:id="18" w:name="lt_pId067"/>
            <w:r w:rsidR="00BA1B5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Comité a décidé 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BA1B5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examiner le paragraphe 9 du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Document RRB20-1/6 </w:t>
            </w:r>
            <w:r w:rsidR="00BA1B5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 titre du point 4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BA1B5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ordre du jour.</w:t>
            </w:r>
            <w:bookmarkEnd w:id="18"/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bookmarkStart w:id="19" w:name="lt_pId068"/>
            <w:r w:rsidR="00BA1B5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BA1B5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tous les autres paragraphes de ce document et de ses addenda </w:t>
            </w:r>
            <w:r w:rsidR="00BA1B56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a</w:t>
            </w:r>
            <w:r w:rsidR="00BA1B5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été repoussé à la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BA1B5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 du Comité.</w:t>
            </w:r>
            <w:bookmarkEnd w:id="19"/>
          </w:p>
        </w:tc>
        <w:tc>
          <w:tcPr>
            <w:tcW w:w="2554" w:type="dxa"/>
          </w:tcPr>
          <w:p w14:paraId="4BF16DA1" w14:textId="77777777" w:rsidR="0098640E" w:rsidRPr="005C765D" w:rsidRDefault="0098640E" w:rsidP="00A973D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−</w:t>
            </w:r>
          </w:p>
        </w:tc>
      </w:tr>
      <w:tr w:rsidR="0098640E" w:rsidRPr="005C765D" w14:paraId="4C357C42" w14:textId="77777777" w:rsidTr="00E812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8EE4F9" w14:textId="77777777" w:rsidR="0098640E" w:rsidRPr="005C765D" w:rsidRDefault="0098640E" w:rsidP="00A973D0">
            <w:pPr>
              <w:pStyle w:val="Tabletext"/>
              <w:keepNext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4</w:t>
            </w:r>
          </w:p>
        </w:tc>
        <w:tc>
          <w:tcPr>
            <w:tcW w:w="13324" w:type="dxa"/>
            <w:gridSpan w:val="3"/>
          </w:tcPr>
          <w:p w14:paraId="52F2EB30" w14:textId="77777777" w:rsidR="0098640E" w:rsidRPr="005C765D" w:rsidRDefault="0098640E" w:rsidP="00A973D0">
            <w:pPr>
              <w:pStyle w:val="Tabletext"/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Questions relatives à la mise en œuvre de la Résolution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 [COM5/3] (CMR-19)</w:t>
            </w:r>
          </w:p>
        </w:tc>
      </w:tr>
      <w:tr w:rsidR="0098640E" w:rsidRPr="005C765D" w14:paraId="1DCC1CF9" w14:textId="77777777" w:rsidTr="00552293">
        <w:trPr>
          <w:trHeight w:val="732"/>
        </w:trPr>
        <w:tc>
          <w:tcPr>
            <w:tcW w:w="846" w:type="dxa"/>
          </w:tcPr>
          <w:p w14:paraId="3AECD86D" w14:textId="77777777" w:rsidR="0098640E" w:rsidRPr="005C765D" w:rsidRDefault="0098640E" w:rsidP="00A973D0">
            <w:pPr>
              <w:pStyle w:val="Tabletext"/>
              <w:keepNext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4.1</w:t>
            </w:r>
          </w:p>
        </w:tc>
        <w:tc>
          <w:tcPr>
            <w:tcW w:w="2835" w:type="dxa"/>
          </w:tcPr>
          <w:p w14:paraId="2B37AF61" w14:textId="1909321F" w:rsidR="0098640E" w:rsidRPr="005C765D" w:rsidRDefault="0098640E" w:rsidP="00A973D0">
            <w:pPr>
              <w:pStyle w:val="Tabletext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Communication soumise par certaines Administrations de la Région 1 concernant les difficultés rencontrées dans la mise en œuvre de la Résolution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 [COM</w:t>
            </w:r>
            <w:r w:rsidR="0091643B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5/3]</w:t>
            </w:r>
            <w:r w:rsidR="0091643B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(CMR-19)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bookmarkStart w:id="20" w:name="lt_pId074"/>
            <w:r w:rsidR="00A36275" w:rsidRPr="005C765D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HYPERLINK "https://www.itu.int/md/R20-RRB20.1-C-0011/en" </w:instrText>
            </w:r>
            <w:r w:rsidR="00A36275" w:rsidRPr="005C765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C765D">
              <w:rPr>
                <w:rFonts w:asciiTheme="minorHAnsi" w:hAnsiTheme="minorHAnsi" w:cstheme="minorHAnsi"/>
                <w:color w:val="0000FF" w:themeColor="hyperlink"/>
                <w:sz w:val="22"/>
                <w:szCs w:val="22"/>
                <w:u w:val="single"/>
                <w:lang w:val="fr-FR"/>
              </w:rPr>
              <w:t>RRB20-1/11(Rév.1)</w:t>
            </w:r>
            <w:r w:rsidR="00A36275" w:rsidRPr="005C765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C765D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 xml:space="preserve">, </w:t>
            </w:r>
            <w:hyperlink r:id="rId15" w:history="1"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RRB20-1/DELAYED/1</w:t>
              </w:r>
            </w:hyperlink>
            <w:bookmarkEnd w:id="20"/>
          </w:p>
        </w:tc>
        <w:tc>
          <w:tcPr>
            <w:tcW w:w="7935" w:type="dxa"/>
            <w:vMerge w:val="restart"/>
          </w:tcPr>
          <w:p w14:paraId="124FF7A7" w14:textId="50C7592F" w:rsidR="0098640E" w:rsidRPr="005C765D" w:rsidRDefault="00BA1B56" w:rsidP="00A973D0">
            <w:pPr>
              <w:pStyle w:val="Tabletext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21" w:name="lt_pId075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Comité</w:t>
            </w:r>
            <w:r w:rsidR="005975B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étudié de manière détaillée le paragraphe 9 du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Document RRB20-1/6, </w:t>
            </w:r>
            <w:r w:rsidR="005975B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Documents RRB20-1/11(R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v.1) </w:t>
            </w:r>
            <w:r w:rsidR="005975B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RRB20-1/12</w:t>
            </w:r>
            <w:r w:rsidR="005975B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le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Document RRB20</w:t>
            </w:r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noBreakHyphen/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1/DELAYED/1 </w:t>
            </w:r>
            <w:r w:rsidR="005975B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titre 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975B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information. Il a pris note avec satisfaction des précisions additionnelles fournies par le Bureau et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975B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assistance offerte aux administrations pour la préparation de leurs fiches de notification.</w:t>
            </w:r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975B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975B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975B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noté en particulier 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 qui suit</w:t>
            </w:r>
            <w:bookmarkEnd w:id="21"/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</w:p>
          <w:p w14:paraId="20DC8C39" w14:textId="68D71102" w:rsidR="0098640E" w:rsidRPr="005C765D" w:rsidRDefault="0098640E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22" w:name="lt_pId077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Lorsqu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elle a adopté la 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 (</w:t>
            </w:r>
            <w:r w:rsidR="00FF27A2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CMR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-19)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intention de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CMR-19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était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autoriser les administrations dont des assignations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 SRS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avaient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subi une dégradation de récupérer les ressources du Plan pour le SRS</w:t>
            </w:r>
            <w:bookmarkEnd w:id="22"/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47FC3648" w14:textId="6B445E14" w:rsidR="0098640E" w:rsidRPr="005C765D" w:rsidRDefault="0098640E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23" w:name="lt_pId078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Bureau examinera les </w:t>
            </w:r>
            <w:r w:rsidR="00FF27A2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soumissions pour publica</w:t>
            </w:r>
            <w:bookmarkStart w:id="24" w:name="_GoBack"/>
            <w:bookmarkEnd w:id="24"/>
            <w:r w:rsidR="00FF27A2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tion dans la Partie B reçues après la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CMR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-19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mais avant le 22 mai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2020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pendant le processus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visant à vérifier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elles sont </w:t>
            </w:r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complètes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E9493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 mettra en évidence les mesures additionnelles qui pourraient être prises par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E9493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 notificatrice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E9493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pour éviter une dégradation des niveaux de la MPE des soumissions présentées au titre de la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</w:t>
            </w:r>
            <w:r w:rsidR="0091643B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(</w:t>
            </w:r>
            <w:r w:rsidR="00FF27A2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CMR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-19)</w:t>
            </w:r>
            <w:bookmarkEnd w:id="23"/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31BB3E40" w14:textId="22D989FB" w:rsidR="0098640E" w:rsidRPr="005C765D" w:rsidRDefault="0091643B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25" w:name="lt_pId079"/>
            <w:r w:rsidRPr="005C765D">
              <w:rPr>
                <w:rFonts w:asciiTheme="minorHAnsi" w:hAnsiTheme="minorHAnsi" w:cstheme="minorHAnsi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 ne connaîtra les répercussions 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auront en définitive les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B51530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soumissions pour publication dans la Partie B</w:t>
            </w:r>
            <w:r w:rsidR="00D739A1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sur les soumissions au titre de la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</w:t>
            </w:r>
            <w:r w:rsidR="0098640E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(</w:t>
            </w:r>
            <w:r w:rsidR="00FF27A2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CMR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noBreakHyphen/>
            </w:r>
            <w:r w:rsidR="0098640E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19)</w:t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après le 21 mai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2020, lorsque toutes les soumissions au titre de la 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559 (CMR-19) auront été reçues.</w:t>
            </w:r>
            <w:bookmarkEnd w:id="25"/>
          </w:p>
          <w:p w14:paraId="774FEBC6" w14:textId="7E375DEC" w:rsidR="0098640E" w:rsidRPr="005C765D" w:rsidRDefault="0098640E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26" w:name="lt_pId080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Conformément au point 10 du </w:t>
            </w:r>
            <w:r w:rsidR="00D739A1" w:rsidRPr="005C765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décide</w:t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Décision 482 du Conseil (modifiée en</w:t>
            </w:r>
            <w:r w:rsidR="00E07B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2019),</w:t>
            </w:r>
            <w:r w:rsidR="00A32F6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aucun </w:t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droit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supplémentaire</w:t>
            </w:r>
            <w:r w:rsidR="00A32F6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ne sera perçu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739A1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 titre du recouvrement des coûts</w:t>
            </w:r>
            <w:r w:rsidR="00A32F6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par suite de nouvelles soumissions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32F6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présentées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32F6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un délai de 15 jours à compter de la date de réception des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32F6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fiches de notification.</w:t>
            </w:r>
            <w:bookmarkEnd w:id="26"/>
          </w:p>
          <w:p w14:paraId="5014F28E" w14:textId="77F38A4C" w:rsidR="0098640E" w:rsidRPr="005C765D" w:rsidRDefault="00BA1B56" w:rsidP="00A973D0">
            <w:pPr>
              <w:pStyle w:val="Tabletext"/>
              <w:keepNext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27" w:name="lt_pId081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Comité</w:t>
            </w:r>
            <w:r w:rsidR="00A32F6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également confirmé ce qui suit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bookmarkEnd w:id="27"/>
          </w:p>
          <w:p w14:paraId="4EAA1384" w14:textId="351216E4" w:rsidR="0098640E" w:rsidRPr="005C765D" w:rsidRDefault="0098640E" w:rsidP="0048205D">
            <w:pPr>
              <w:pStyle w:val="Tabletext"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28" w:name="lt_pId082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</w:t>
            </w:r>
            <w:r w:rsidR="00A32F6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administration notificatrice p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ourra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32F69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retirer et soumettre à nouveau une fiche de notification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pour autant 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seule soumission complète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pour la liaison descendante et une pour la liaison de connexion)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remplissant les conditions requises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soit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soumise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avant le 21 mai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2020</w:t>
            </w:r>
            <w:bookmarkEnd w:id="28"/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6DBB984D" w14:textId="4BAD3D71" w:rsidR="0098640E" w:rsidRPr="005C765D" w:rsidRDefault="0098640E" w:rsidP="0048205D">
            <w:pPr>
              <w:pStyle w:val="Tabletext"/>
              <w:keepNext/>
              <w:keepLines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29" w:name="lt_pId083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 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est pas possible de modifier les caractéristiques des fiches de notification déjà inscrites dans la Liste tout en conservant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date de protection initiale, dans la mesure où 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une telle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décision sortirait du cadre du mandat du Comité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 faudrait à cette fin une décision de la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CMR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-23).</w:t>
            </w:r>
            <w:bookmarkEnd w:id="29"/>
          </w:p>
          <w:p w14:paraId="50CEAAA6" w14:textId="6220E347" w:rsidR="0098640E" w:rsidRPr="005C765D" w:rsidRDefault="00AE3215" w:rsidP="00A973D0">
            <w:pPr>
              <w:pStyle w:val="Tabletext"/>
              <w:keepNext/>
              <w:spacing w:before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30" w:name="lt_pId084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outre, le Comité a exhorté les administrations dont des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soumissions pour publication dans la Partie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ont été reçues avant le 22 mai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2020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 faire tout ce qui est en leur pouvoir pour prendre en considération les soumissions au titre du point 1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5C765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décide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 (</w:t>
            </w:r>
            <w:r w:rsidR="00FF27A2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CMR</w:t>
            </w:r>
            <w:r w:rsidR="0098640E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-19)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pour tenir compte des résultats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examen du Bureau lors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élaboration de leurs soumissions pour publication dans la Partie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</w:t>
            </w:r>
            <w:bookmarkEnd w:id="30"/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237572B4" w14:textId="60F73D53" w:rsidR="0098640E" w:rsidRPr="005C765D" w:rsidRDefault="00AE3215" w:rsidP="00A973D0">
            <w:pPr>
              <w:pStyle w:val="Tabletext"/>
              <w:keepNext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31" w:name="lt_pId085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Pour ce qui est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utilisation des points de mesure, le Comité a noté que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bookmarkEnd w:id="31"/>
          </w:p>
          <w:p w14:paraId="6BBE3968" w14:textId="7EE85717" w:rsidR="0098640E" w:rsidRPr="005C765D" w:rsidRDefault="0098640E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32" w:name="lt_pId086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Administration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Maurice a invoqué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article 44 de la 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onstitution dans sa demande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 soient acceptés les points de mesure situés en mer pour sa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soumission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 titre du point 1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="00AE3215" w:rsidRPr="005C765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décide</w:t>
            </w:r>
            <w:r w:rsidR="00AE321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E3215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</w:t>
            </w:r>
            <w:r w:rsidR="00E81205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(</w:t>
            </w:r>
            <w:r w:rsidR="00FF27A2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CMR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-19)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735E2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compte tenu de la situation géographique de certains pays</w:t>
            </w:r>
            <w:bookmarkEnd w:id="32"/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7BAD38B3" w14:textId="3C46EE2A" w:rsidR="0098640E" w:rsidRPr="005C765D" w:rsidRDefault="0098640E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33" w:name="lt_pId087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="00735E2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 point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c) </w:t>
            </w:r>
            <w:r w:rsidR="00735E2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§ 2</w:t>
            </w:r>
            <w:r w:rsidR="00735E2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Pièce jointe à la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 (</w:t>
            </w:r>
            <w:r w:rsidR="00FF27A2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CMR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-19)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35E2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exige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35E2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expressément que les points de mesure soient situés sur le territoire national et le point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d) </w:t>
            </w:r>
            <w:r w:rsidR="00735E2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dispose 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735E2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 faisceau elliptique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minimal</w:t>
            </w:r>
            <w:r w:rsidR="00735E2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doit être déterminé à partir des points de mesure soumis au titre du point c)</w:t>
            </w:r>
            <w:bookmarkEnd w:id="33"/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3F6516D9" w14:textId="6831410B" w:rsidR="0098640E" w:rsidRPr="005C765D" w:rsidRDefault="0098640E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34" w:name="lt_pId088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 existe un risque de contradiction dans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application des points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c) 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d) 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§ 2 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Pièce jointe à la 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 (</w:t>
            </w:r>
            <w:r w:rsidR="00FF27A2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CMR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-19)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pour les territoires comprenant des îles</w:t>
            </w:r>
            <w:bookmarkEnd w:id="34"/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242A6B5C" w14:textId="45102015" w:rsidR="0098640E" w:rsidRPr="005C765D" w:rsidRDefault="0098640E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35" w:name="lt_pId089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ans le cas de certains pays, les points de mesure doivent être situés en mer, afin que le faisceau elliptique du satellite 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créé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 partir de ce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points de mesure comprenne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ensemble de leur 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territoire</w:t>
            </w:r>
            <w:bookmarkEnd w:id="35"/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0A656AD0" w14:textId="6ABF607C" w:rsidR="0098640E" w:rsidRPr="005C765D" w:rsidRDefault="00F46C9C" w:rsidP="00A973D0">
            <w:pPr>
              <w:pStyle w:val="Tabletext"/>
              <w:keepNext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conséquence, le Comité a décidé de charger le Bureau:</w:t>
            </w:r>
          </w:p>
          <w:p w14:paraId="6FBF5E7D" w14:textId="7A4880DB" w:rsidR="0098640E" w:rsidRPr="005C765D" w:rsidRDefault="0098640E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36" w:name="lt_pId091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rappeler aux administrations notificatrices, à la suite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examen des soumissions pour publication dans la Partie B pour 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assurer 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elles sont complètes,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elles doivent tenir compte des soumissions au titre de la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</w:t>
            </w:r>
            <w:r w:rsidR="0091643B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(</w:t>
            </w:r>
            <w:r w:rsidR="00FF27A2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CMR</w:t>
            </w:r>
            <w:r w:rsidR="0091643B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noBreakHyphen/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19)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ainsi que des résultats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analyse du Bureau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prenant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</w:t>
            </w:r>
            <w:r w:rsidR="00F23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 xml:space="preserve">mesures visant à éviter que les niveaux de la MPE subissent une nouvelle </w:t>
            </w:r>
            <w:r w:rsidR="0091643B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dégradation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bookmarkEnd w:id="36"/>
          </w:p>
          <w:p w14:paraId="1B98D2B4" w14:textId="4A844266" w:rsidR="0098640E" w:rsidRPr="005C765D" w:rsidRDefault="0098640E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37" w:name="lt_pId092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procéder à une analyse de la situation sur la base de toutes les soumissions reçues le 21 mai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2020 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de rendre compte des résultats à la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 du Comité,</w:t>
            </w:r>
            <w:bookmarkEnd w:id="37"/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examen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complémentaire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</w:p>
          <w:p w14:paraId="50D80F71" w14:textId="5AAE4506" w:rsidR="0098640E" w:rsidRPr="005C765D" w:rsidRDefault="0091643B" w:rsidP="00A973D0">
            <w:pPr>
              <w:pStyle w:val="Tabletext"/>
              <w:keepNext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38" w:name="lt_pId093"/>
            <w:r w:rsidRPr="005C765D">
              <w:rPr>
                <w:rFonts w:asciiTheme="minorHAnsi" w:hAnsiTheme="minorHAnsi" w:cstheme="minorHAnsi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accepter à titre provisoire les points de mesure situé</w:t>
            </w:r>
            <w:r w:rsidR="00756EF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dehors du territoire national 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F46C9C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 pays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336F1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les soumissions pour publication dans la Partie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336F1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au titre de la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 (</w:t>
            </w:r>
            <w:r w:rsidR="00FF27A2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CMR</w:t>
            </w:r>
            <w:r w:rsidR="0098640E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-19)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336F1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qui ont été reçues avant le 21 mai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2020</w:t>
            </w:r>
            <w:r w:rsidR="00336F1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 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agit des mêmes points de mesure que ceux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figur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nt dans les assignations du Plan des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Appendices </w:t>
            </w:r>
            <w:r w:rsidR="0098640E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30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30A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 si un faisceau elliptique minimal ne peut pas être créé sur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ensemble du territoire de l'administration à l'origine de la soumission exclusivement à partir des points de mesure situés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sur son territoire national, sachant que la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CMR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-2000 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déjà approuvé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A11B7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utilisation de ces points</w:t>
            </w:r>
            <w:bookmarkEnd w:id="38"/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4" w:type="dxa"/>
            <w:vMerge w:val="restart"/>
          </w:tcPr>
          <w:p w14:paraId="0BD549E8" w14:textId="77777777" w:rsidR="0098640E" w:rsidRPr="005C765D" w:rsidRDefault="0098640E" w:rsidP="00A973D0">
            <w:pPr>
              <w:pStyle w:val="Tabletext"/>
              <w:keepNext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Le Secrétaire exécutif communiquera ces décisions aux administrations concernées.</w:t>
            </w:r>
          </w:p>
          <w:p w14:paraId="3E034072" w14:textId="2E8E80B7" w:rsidR="0098640E" w:rsidRPr="005C765D" w:rsidRDefault="003C04C0" w:rsidP="00A973D0">
            <w:pPr>
              <w:pStyle w:val="Tabletext"/>
              <w:keepNext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39" w:name="lt_pId095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Bureau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r w:rsidR="0055229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rappellera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aux administrations notificatrices, à la suite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examen des soumissions pour publication dans la Partie B pour 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assurer 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elles sont complètes,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elles doivent tenir compte des soumissions au titre de la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 (CMR-19)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ainsi que des résultats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analyse du Bureau</w:t>
            </w:r>
            <w:r w:rsidR="007C0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en prenant des mesures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visant à éviter que les niveaux de la MPE subissent une nouvelle </w:t>
            </w:r>
            <w:r w:rsidR="0055229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dégradation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bookmarkEnd w:id="39"/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bookmarkStart w:id="40" w:name="lt_pId097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procédera à une analyse de la situation sur la base de toutes les soumissions reçues le 21 mai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2020 et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rendra compte des résultats à la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 du Comité,</w:t>
            </w:r>
            <w:r w:rsidR="007C0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</w:t>
            </w:r>
            <w:r w:rsidR="007C0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examen complémentaire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bookmarkEnd w:id="40"/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bookmarkStart w:id="41" w:name="lt_pId098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acceptera à titre provisoire les points de mesure situés en dehors du territoire national 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 pays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les soumissions pour publication dans la Partie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au titre de la Résolution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</w:t>
            </w:r>
            <w:r w:rsidR="00552293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(CMR</w:t>
            </w:r>
            <w:r w:rsidR="00552293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noBreakHyphen/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19)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qui ont été reçues avant le 21 mai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2020, 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 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agit des mêmes points de mesure que ceux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figur</w:t>
            </w:r>
            <w:r w:rsidR="007C0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nt dans les assignations du Plan des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Appendices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30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30A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si un faisceau elliptique minimal ne peut pas être créé sur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ensemble du territoire de l'administration à l'origine de la soumission exclusivement à partir des points de mesure situés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son territoire national.</w:t>
            </w:r>
            <w:bookmarkEnd w:id="41"/>
          </w:p>
        </w:tc>
      </w:tr>
      <w:tr w:rsidR="0098640E" w:rsidRPr="005C765D" w14:paraId="03CDAB03" w14:textId="77777777" w:rsidTr="00E8120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8041D7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4.2</w:t>
            </w:r>
          </w:p>
        </w:tc>
        <w:tc>
          <w:tcPr>
            <w:tcW w:w="2835" w:type="dxa"/>
          </w:tcPr>
          <w:p w14:paraId="656AB696" w14:textId="43636170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Communication soumise par l'Administration de Maurice concernant la mise en œuvre de la Résolution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559 [COM</w:t>
            </w:r>
            <w:r w:rsidR="0091643B"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5/3] (CMR-19)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16" w:history="1">
              <w:bookmarkStart w:id="42" w:name="lt_pId101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RRB20-1/12</w:t>
              </w:r>
              <w:bookmarkEnd w:id="42"/>
            </w:hyperlink>
          </w:p>
        </w:tc>
        <w:tc>
          <w:tcPr>
            <w:tcW w:w="7935" w:type="dxa"/>
            <w:vMerge/>
          </w:tcPr>
          <w:p w14:paraId="49EB7E65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54" w:type="dxa"/>
            <w:vMerge/>
          </w:tcPr>
          <w:p w14:paraId="6A5CC3BA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8640E" w:rsidRPr="005C765D" w14:paraId="07614DA3" w14:textId="77777777" w:rsidTr="00E81205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264FE9" w14:textId="77777777" w:rsidR="0098640E" w:rsidRPr="005C765D" w:rsidRDefault="0098640E" w:rsidP="00A973D0">
            <w:pPr>
              <w:pStyle w:val="Tabletext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5</w:t>
            </w:r>
          </w:p>
        </w:tc>
        <w:tc>
          <w:tcPr>
            <w:tcW w:w="13324" w:type="dxa"/>
            <w:gridSpan w:val="3"/>
          </w:tcPr>
          <w:p w14:paraId="4CD44B80" w14:textId="77777777" w:rsidR="0098640E" w:rsidRPr="005C765D" w:rsidRDefault="0098640E" w:rsidP="00A973D0">
            <w:pPr>
              <w:pStyle w:val="Table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Demandes relatives à des prorogations du délai réglementaire applicable à la mise en service ou à la remise en service des assignations de fréquence des réseaux à satellite</w:t>
            </w:r>
          </w:p>
        </w:tc>
      </w:tr>
      <w:tr w:rsidR="0098640E" w:rsidRPr="005C765D" w14:paraId="384580E3" w14:textId="77777777" w:rsidTr="00AB4C34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EC1B6A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5.1</w:t>
            </w:r>
          </w:p>
        </w:tc>
        <w:tc>
          <w:tcPr>
            <w:tcW w:w="2835" w:type="dxa"/>
          </w:tcPr>
          <w:p w14:paraId="0EE48A00" w14:textId="2411EAD5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Communication soumise par l'Administration chinoise concernant une demande de prorogation des délais réglementaires relatifs à la mise en service des assignations de fréquence des réseaux à satellite CHINASAT-D-115.5E, CHINASAT-D-115.5E_1 et CHINASAT-30B-115.5E à 115°E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17" w:history="1">
              <w:bookmarkStart w:id="43" w:name="lt_pId106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RRB20-1/14</w:t>
              </w:r>
              <w:bookmarkEnd w:id="43"/>
            </w:hyperlink>
          </w:p>
        </w:tc>
        <w:tc>
          <w:tcPr>
            <w:tcW w:w="7935" w:type="dxa"/>
          </w:tcPr>
          <w:p w14:paraId="708EE954" w14:textId="588BAE22" w:rsidR="0098640E" w:rsidRPr="005C765D" w:rsidRDefault="00BA1B56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44" w:name="lt_pId107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examiné la demande de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dministration 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chinoise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Document RRB20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noBreakHyphen/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1/14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bookmarkEnd w:id="44"/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bookmarkStart w:id="45" w:name="lt_pId108"/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Compte tenu des renseignements fournis, le Comité a également 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considéré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bookmarkEnd w:id="45"/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359A38B9" w14:textId="10406086" w:rsidR="0098640E" w:rsidRPr="005C765D" w:rsidRDefault="0098640E" w:rsidP="00552293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bookmarkStart w:id="46" w:name="lt_pId110"/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qu'il aurait aimé </w:t>
            </w:r>
            <w:r w:rsidR="0055229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disposer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informations plus détaillées sur les bandes de fréquences qui 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ont été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utilisées à bord du satellite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CHINASAT-18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bookmarkEnd w:id="46"/>
          </w:p>
          <w:p w14:paraId="787ED8C3" w14:textId="130B2170" w:rsidR="0098640E" w:rsidRPr="005C765D" w:rsidRDefault="0098640E" w:rsidP="00552293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bookmarkStart w:id="47" w:name="lt_pId112"/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 la situation présentée dans la communication soumise remplissait toutes les conditions constitutives de la force majeure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bookmarkEnd w:id="47"/>
          </w:p>
          <w:p w14:paraId="354E9C96" w14:textId="01A4317C" w:rsidR="0098640E" w:rsidRPr="005C765D" w:rsidRDefault="0098640E" w:rsidP="00552293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bookmarkStart w:id="48" w:name="lt_pId114"/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 avait déployé des efforts considérables pour respecter le délai réglementaire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;</w:t>
            </w:r>
            <w:bookmarkEnd w:id="48"/>
          </w:p>
          <w:p w14:paraId="23DA0820" w14:textId="53A19B04" w:rsidR="0098640E" w:rsidRPr="005C765D" w:rsidRDefault="0098640E" w:rsidP="00552293">
            <w:pPr>
              <w:pStyle w:val="Tabletex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bookmarkStart w:id="49" w:name="lt_pId116"/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 le délai réglementaire applicable au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réseau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satellite CHINASAT-30B-115.5E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était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déjà arrivé à expiration le 19 janvier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2020;</w:t>
            </w:r>
            <w:bookmarkEnd w:id="49"/>
          </w:p>
          <w:p w14:paraId="7E768119" w14:textId="3CA5CB4A" w:rsidR="0098640E" w:rsidRPr="005C765D" w:rsidRDefault="0098640E" w:rsidP="00552293">
            <w:pPr>
              <w:pStyle w:val="Table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•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bookmarkStart w:id="50" w:name="lt_pId118"/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 </w:t>
            </w:r>
            <w:r w:rsidR="00D51DE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demande visait à obtenir une prorogation définie et limitée</w:t>
            </w:r>
            <w:bookmarkEnd w:id="50"/>
            <w:r w:rsidR="00552293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2343953E" w14:textId="10C3AB15" w:rsidR="0098640E" w:rsidRPr="005C765D" w:rsidRDefault="00D51DEE" w:rsidP="00A973D0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51" w:name="lt_pId119"/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lastRenderedPageBreak/>
              <w:t>En conséquence, le Comité a décidé d'accéder à la demande en prorogeant jusqu'au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31</w:t>
            </w:r>
            <w:r w:rsidR="00AB4C34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décembre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2023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le délai réglementaire applicable à la mise en service des assignations de fréquence du réseau à satellite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CHINASAT-D-115.5E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la bande de fréquences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24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65-25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25 GHz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,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du réseau à satellite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CHINASAT-D-115.5E_1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la bande de fréquences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21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4-22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0 GHz et </w:t>
            </w:r>
            <w:r w:rsidR="0004153E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du réseau à satellite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CHINASAT-30B-115.5E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les bandes de fréquences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12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75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noBreakHyphen/>
              <w:t>13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25 GHz, 10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7-10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95 GHz et 11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2-11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45 GHz à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115</w:t>
            </w:r>
            <w:r w:rsidR="00AB4C34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5°</w:t>
            </w:r>
            <w:r w:rsidR="00E3177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</w:t>
            </w:r>
            <w:r w:rsidR="0004153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 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et a chargé le Bureau de continuer de tenir compte des assignations de fréquence </w:t>
            </w:r>
            <w:r w:rsidR="0004153E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de ces trois réseaux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à satellite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.</w:t>
            </w:r>
            <w:bookmarkEnd w:id="51"/>
          </w:p>
        </w:tc>
        <w:tc>
          <w:tcPr>
            <w:tcW w:w="2554" w:type="dxa"/>
          </w:tcPr>
          <w:p w14:paraId="72C13A6C" w14:textId="39B36F2E" w:rsidR="0098640E" w:rsidRPr="005C765D" w:rsidRDefault="0098640E" w:rsidP="00AB4C3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 xml:space="preserve">Le Secrétaire exécutif communiquera ces décisions </w:t>
            </w:r>
            <w:r w:rsidR="003C04C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</w:t>
            </w:r>
            <w:r w:rsidR="003C04C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concernée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4D0447DB" w14:textId="3908241D" w:rsidR="0098640E" w:rsidRPr="005C765D" w:rsidRDefault="003C04C0" w:rsidP="00AB4C34">
            <w:pPr>
              <w:pStyle w:val="Table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52" w:name="lt_pId121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Bureau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continuera de tenir compte des assignations de fréquence des trois réseaux à satellite</w:t>
            </w:r>
            <w:bookmarkEnd w:id="52"/>
          </w:p>
        </w:tc>
      </w:tr>
      <w:tr w:rsidR="0098640E" w:rsidRPr="005C765D" w14:paraId="5FD617FA" w14:textId="77777777" w:rsidTr="00E8120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6E669F" w14:textId="77777777" w:rsidR="0098640E" w:rsidRPr="005C765D" w:rsidRDefault="0098640E" w:rsidP="00A973D0">
            <w:pPr>
              <w:pStyle w:val="Tabletext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</w:tc>
        <w:tc>
          <w:tcPr>
            <w:tcW w:w="13324" w:type="dxa"/>
            <w:gridSpan w:val="3"/>
          </w:tcPr>
          <w:p w14:paraId="6F63B9A6" w14:textId="77777777" w:rsidR="0098640E" w:rsidRPr="005C765D" w:rsidRDefault="0098640E" w:rsidP="00A973D0">
            <w:pPr>
              <w:pStyle w:val="Table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Règles de procédure</w:t>
            </w:r>
          </w:p>
        </w:tc>
      </w:tr>
      <w:tr w:rsidR="0098640E" w:rsidRPr="005C765D" w14:paraId="38A071E1" w14:textId="77777777" w:rsidTr="00AB4C3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62C9A2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6.1</w:t>
            </w:r>
          </w:p>
        </w:tc>
        <w:tc>
          <w:tcPr>
            <w:tcW w:w="2835" w:type="dxa"/>
          </w:tcPr>
          <w:p w14:paraId="6FDE1055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Liste des Règles de procédure </w:t>
            </w:r>
            <w:bookmarkStart w:id="53" w:name="lt_pId126"/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proposées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18" w:history="1"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CR/456</w:t>
              </w:r>
            </w:hyperlink>
            <w:r w:rsidRPr="005C765D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;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br/>
            </w:r>
            <w:hyperlink r:id="rId19" w:history="1"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RRB20-1/15</w:t>
              </w:r>
            </w:hyperlink>
            <w:bookmarkEnd w:id="53"/>
          </w:p>
        </w:tc>
        <w:tc>
          <w:tcPr>
            <w:tcW w:w="7935" w:type="dxa"/>
          </w:tcPr>
          <w:p w14:paraId="35258DD5" w14:textId="2E7D74C3" w:rsidR="0098640E" w:rsidRPr="005C765D" w:rsidRDefault="00BA1B56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54" w:name="lt_pId127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</w:t>
            </w:r>
            <w:r w:rsidR="003C04C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examiné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3C04C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avant-projet de liste de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3C04C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Règles de procédure proposées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3C04C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Document RRB20-1/15</w:t>
            </w:r>
            <w:r w:rsidR="003C04C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3C04C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 suite des décisions de la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CMR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-19 </w:t>
            </w:r>
            <w:r w:rsidR="003C04C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qui pourraient nécessiter une révision des Règles de procédure et des décisions de la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27A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CMR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-19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3C04C0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consignées au procès-verbal des séances plénières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,</w:t>
            </w:r>
            <w:r w:rsidR="00AB4C34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283948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telles que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2C3106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présentées dans la Lettre</w:t>
            </w:r>
            <w:r w:rsidR="00AB4C34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="002C3106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>circulaire</w:t>
            </w:r>
            <w:r w:rsidR="00E81205" w:rsidRPr="005C76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CR/456</w:t>
            </w:r>
            <w:r w:rsidR="002C3106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qui pourraient également avoir des incidences sur les Règles de procédure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bookmarkEnd w:id="54"/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bookmarkStart w:id="55" w:name="lt_pId128"/>
            <w:r w:rsidR="00DE466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Compte tenu de la durée très réduite de la réunion actuelle, le Comité a décidé 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DE466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approuver le projet de liste de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DE466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Règles de procédure proposées par correspondance et a chargé le Bureau 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DE466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élaborer 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DE466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éventuels projets de Règles de procédure pertinentes conformément au calendrier indiqué dans la liste et de les communiqu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er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E466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aux administrations pour observations et examen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E466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lors de réunions futures appropriées du Comité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bookmarkEnd w:id="55"/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bookmarkStart w:id="56" w:name="lt_pId129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Comité</w:t>
            </w:r>
            <w:r w:rsidR="00DE466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également chargé le Bureau de mettre en ligne la liste actualisée sur le site web du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RRB</w:t>
            </w:r>
            <w:bookmarkEnd w:id="56"/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2554" w:type="dxa"/>
          </w:tcPr>
          <w:p w14:paraId="7CBEEF14" w14:textId="32CFFCA8" w:rsidR="0098640E" w:rsidRPr="005C765D" w:rsidRDefault="0004153E" w:rsidP="00AB4C3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57" w:name="lt_pId130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Comité approuvera le projet de liste de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Règles de procédure proposées par correspondance.</w:t>
            </w:r>
            <w:bookmarkEnd w:id="57"/>
          </w:p>
          <w:p w14:paraId="43E6D624" w14:textId="77B4219F" w:rsidR="00DE4662" w:rsidRPr="005C765D" w:rsidRDefault="0004153E" w:rsidP="00130227">
            <w:pPr>
              <w:pStyle w:val="Table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58" w:name="lt_pId131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="0098640E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Bureau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élaborera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éventuels projets de Règles de procédure pertinentes conformément au calendrier indiqué dans la liste et les communiquera aux administrations pour observations et examen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DE4662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lors de réunions futures appropriées du Comité.</w:t>
            </w:r>
          </w:p>
          <w:p w14:paraId="0A74A9BD" w14:textId="2826E9B2" w:rsidR="0098640E" w:rsidRPr="005C765D" w:rsidRDefault="00DE4662" w:rsidP="00130227">
            <w:pPr>
              <w:pStyle w:val="Table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59" w:name="lt_pId132"/>
            <w:bookmarkEnd w:id="58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Secrétaire exécutif publiera la liste des Règles de procédure proposées sur le site web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bookmarkEnd w:id="59"/>
          </w:p>
        </w:tc>
      </w:tr>
      <w:tr w:rsidR="0098640E" w:rsidRPr="005C765D" w14:paraId="2F90C7E1" w14:textId="77777777" w:rsidTr="00130227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3DA3BE" w14:textId="77777777" w:rsidR="0098640E" w:rsidRPr="005C765D" w:rsidRDefault="0098640E" w:rsidP="00A973D0">
            <w:pPr>
              <w:pStyle w:val="Tabletext"/>
              <w:keepNext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6.2</w:t>
            </w:r>
          </w:p>
        </w:tc>
        <w:tc>
          <w:tcPr>
            <w:tcW w:w="2835" w:type="dxa"/>
          </w:tcPr>
          <w:p w14:paraId="1DBFBC84" w14:textId="77777777" w:rsidR="0098640E" w:rsidRPr="005C765D" w:rsidRDefault="0098640E" w:rsidP="00A973D0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Projets de Règles de procédure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20" w:history="1"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CCRR/64</w:t>
              </w:r>
            </w:hyperlink>
          </w:p>
        </w:tc>
        <w:tc>
          <w:tcPr>
            <w:tcW w:w="7935" w:type="dxa"/>
            <w:vMerge w:val="restart"/>
          </w:tcPr>
          <w:p w14:paraId="5FAFDD9B" w14:textId="4DB30DC6" w:rsidR="0098640E" w:rsidRPr="005C765D" w:rsidRDefault="00BA1B56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60" w:name="lt_pId136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ce point à sa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 et a également noté 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aucune autre observation sur ce projet de Règle de procédure ne serait autorisée, étant donné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 la date limite de soumission de ces observations est arrivée à expiration.</w:t>
            </w:r>
            <w:bookmarkEnd w:id="60"/>
          </w:p>
        </w:tc>
        <w:tc>
          <w:tcPr>
            <w:tcW w:w="2554" w:type="dxa"/>
            <w:vMerge w:val="restart"/>
          </w:tcPr>
          <w:p w14:paraId="78D57259" w14:textId="77777777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−</w:t>
            </w:r>
          </w:p>
        </w:tc>
      </w:tr>
      <w:tr w:rsidR="0098640E" w:rsidRPr="005C765D" w14:paraId="17A7440A" w14:textId="77777777" w:rsidTr="00E81205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50CCD7" w14:textId="77777777" w:rsidR="0098640E" w:rsidRPr="005C765D" w:rsidRDefault="0098640E" w:rsidP="00A973D0">
            <w:pPr>
              <w:pStyle w:val="Tabletext"/>
              <w:keepNext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6.3</w:t>
            </w:r>
          </w:p>
        </w:tc>
        <w:tc>
          <w:tcPr>
            <w:tcW w:w="2835" w:type="dxa"/>
          </w:tcPr>
          <w:p w14:paraId="16CF4699" w14:textId="77777777" w:rsidR="0098640E" w:rsidRPr="005C765D" w:rsidRDefault="0098640E" w:rsidP="00A973D0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Observations soumises par des administrations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21" w:history="1">
              <w:bookmarkStart w:id="61" w:name="lt_pId140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RRB20-1/7</w:t>
              </w:r>
              <w:bookmarkEnd w:id="61"/>
            </w:hyperlink>
          </w:p>
        </w:tc>
        <w:tc>
          <w:tcPr>
            <w:tcW w:w="7935" w:type="dxa"/>
            <w:vMerge/>
          </w:tcPr>
          <w:p w14:paraId="28D4240A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554" w:type="dxa"/>
            <w:vMerge/>
          </w:tcPr>
          <w:p w14:paraId="6D775FE8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8640E" w:rsidRPr="005C765D" w14:paraId="3241047A" w14:textId="77777777" w:rsidTr="0013022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9F7BF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</w:t>
            </w:r>
          </w:p>
        </w:tc>
        <w:tc>
          <w:tcPr>
            <w:tcW w:w="2835" w:type="dxa"/>
          </w:tcPr>
          <w:p w14:paraId="58D21222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Communication soumise par l'Administration de la République populaire démocratique de Corée concernant les brouillages préjudiciables causés aux stations de radiodiffusion télévisuelle analogique de cette Administration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22" w:history="1">
              <w:bookmarkStart w:id="62" w:name="lt_pId143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RRB20-1/13</w:t>
              </w:r>
              <w:bookmarkEnd w:id="62"/>
            </w:hyperlink>
          </w:p>
        </w:tc>
        <w:tc>
          <w:tcPr>
            <w:tcW w:w="7935" w:type="dxa"/>
          </w:tcPr>
          <w:p w14:paraId="0E0E8197" w14:textId="62D572A6" w:rsidR="0098640E" w:rsidRPr="005C765D" w:rsidRDefault="00BA1B56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63" w:name="lt_pId144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ce point à sa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</w:t>
            </w:r>
            <w:bookmarkEnd w:id="63"/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4" w:type="dxa"/>
          </w:tcPr>
          <w:p w14:paraId="5D8E2C29" w14:textId="5E8B1912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Secrétaire exécutif communiquera ce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tte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décision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concernée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  <w:tr w:rsidR="0098640E" w:rsidRPr="005C765D" w14:paraId="3B09BBA2" w14:textId="77777777" w:rsidTr="00E81205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557F29" w14:textId="77777777" w:rsidR="0098640E" w:rsidRPr="005C765D" w:rsidRDefault="0098640E" w:rsidP="00A973D0">
            <w:pPr>
              <w:pStyle w:val="Tabletext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</w:tc>
        <w:tc>
          <w:tcPr>
            <w:tcW w:w="13324" w:type="dxa"/>
            <w:gridSpan w:val="3"/>
          </w:tcPr>
          <w:p w14:paraId="01FBFC46" w14:textId="77777777" w:rsidR="0098640E" w:rsidRPr="005C765D" w:rsidRDefault="0098640E" w:rsidP="00A973D0">
            <w:pPr>
              <w:pStyle w:val="Table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Demandes de suppression d'assignations de fréquence de réseaux à satellite</w:t>
            </w:r>
          </w:p>
        </w:tc>
      </w:tr>
      <w:tr w:rsidR="0098640E" w:rsidRPr="005C765D" w14:paraId="0DCA5EAB" w14:textId="77777777" w:rsidTr="0013022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700427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8.1</w:t>
            </w:r>
          </w:p>
        </w:tc>
        <w:tc>
          <w:tcPr>
            <w:tcW w:w="2835" w:type="dxa"/>
          </w:tcPr>
          <w:p w14:paraId="075C35E5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Demande invitant le Comité du Règlement des radiocommunications à décider de supprimer les assignations de fréquence du réseau à satellite ATS-5 conformément au numéro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13.6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du Règlement des radiocommunications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23" w:history="1">
              <w:bookmarkStart w:id="64" w:name="lt_pId150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RRB20-1/1</w:t>
              </w:r>
              <w:bookmarkEnd w:id="64"/>
            </w:hyperlink>
          </w:p>
        </w:tc>
        <w:tc>
          <w:tcPr>
            <w:tcW w:w="7935" w:type="dxa"/>
          </w:tcPr>
          <w:p w14:paraId="778C510E" w14:textId="67FADA1F" w:rsidR="0098640E" w:rsidRPr="005C765D" w:rsidRDefault="00BA1B56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65" w:name="lt_pId151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ce point à sa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réunion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bookmarkEnd w:id="65"/>
          </w:p>
        </w:tc>
        <w:tc>
          <w:tcPr>
            <w:tcW w:w="2554" w:type="dxa"/>
          </w:tcPr>
          <w:p w14:paraId="5D0E6F22" w14:textId="083563B7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Secrétaire exécutif communiquera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cette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décision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concernée.</w:t>
            </w:r>
          </w:p>
        </w:tc>
      </w:tr>
      <w:tr w:rsidR="0098640E" w:rsidRPr="005C765D" w14:paraId="4C8CDB8F" w14:textId="77777777" w:rsidTr="0013022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9E8E81" w14:textId="77777777" w:rsidR="0098640E" w:rsidRPr="005C765D" w:rsidRDefault="0098640E" w:rsidP="00A973D0">
            <w:pPr>
              <w:pStyle w:val="Tabletext"/>
              <w:keepNext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8.2</w:t>
            </w:r>
          </w:p>
        </w:tc>
        <w:tc>
          <w:tcPr>
            <w:tcW w:w="2835" w:type="dxa"/>
          </w:tcPr>
          <w:p w14:paraId="08CDB02D" w14:textId="77777777" w:rsidR="0098640E" w:rsidRPr="005C765D" w:rsidRDefault="0098640E" w:rsidP="00A973D0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Demande invitant le Comité du Règlement des radiocommunications à décider de supprimer les assignations de fréquence du réseau à satellite HA-1 conformément au numéro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13.6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du Règlement des radiocommunications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24" w:history="1">
              <w:bookmarkStart w:id="66" w:name="lt_pId155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RRB20-1/2</w:t>
              </w:r>
              <w:bookmarkEnd w:id="66"/>
            </w:hyperlink>
          </w:p>
        </w:tc>
        <w:tc>
          <w:tcPr>
            <w:tcW w:w="7935" w:type="dxa"/>
          </w:tcPr>
          <w:p w14:paraId="55EC627F" w14:textId="2826B23E" w:rsidR="0098640E" w:rsidRPr="005C765D" w:rsidRDefault="00BA1B56" w:rsidP="00A973D0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ce point à sa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réunion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2554" w:type="dxa"/>
          </w:tcPr>
          <w:p w14:paraId="688B8C28" w14:textId="2160AD6D" w:rsidR="0098640E" w:rsidRPr="005C765D" w:rsidRDefault="0098640E" w:rsidP="00A973D0">
            <w:pPr>
              <w:pStyle w:val="Tabletex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Secrétaire exécutif communiquera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cette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décision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concernée.</w:t>
            </w:r>
          </w:p>
        </w:tc>
      </w:tr>
      <w:tr w:rsidR="0098640E" w:rsidRPr="005C765D" w14:paraId="30916506" w14:textId="77777777" w:rsidTr="0013022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CFCE8C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8.3</w:t>
            </w:r>
          </w:p>
        </w:tc>
        <w:tc>
          <w:tcPr>
            <w:tcW w:w="2835" w:type="dxa"/>
          </w:tcPr>
          <w:p w14:paraId="0933A349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Demande invitant le Comité du Règlement des radiocommunications à décider de supprimer les assignations de fréquence du réseau à satellite KOMPSAT-1 conformément au numéro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13.6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du Règlement des radiocommunications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25" w:history="1">
              <w:bookmarkStart w:id="67" w:name="lt_pId160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RRB20-1/3</w:t>
              </w:r>
              <w:bookmarkEnd w:id="67"/>
            </w:hyperlink>
          </w:p>
        </w:tc>
        <w:tc>
          <w:tcPr>
            <w:tcW w:w="7935" w:type="dxa"/>
          </w:tcPr>
          <w:p w14:paraId="1D0BD381" w14:textId="70B74957" w:rsidR="0098640E" w:rsidRPr="005C765D" w:rsidRDefault="00BA1B56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ce point à sa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réunion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2554" w:type="dxa"/>
          </w:tcPr>
          <w:p w14:paraId="69BDC73D" w14:textId="178DFAEA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Secrétaire exécutif communiquera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cette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décision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concernée.</w:t>
            </w:r>
          </w:p>
        </w:tc>
      </w:tr>
      <w:tr w:rsidR="0098640E" w:rsidRPr="005C765D" w14:paraId="68DE4903" w14:textId="77777777" w:rsidTr="0013022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DD664E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8.4</w:t>
            </w:r>
          </w:p>
        </w:tc>
        <w:tc>
          <w:tcPr>
            <w:tcW w:w="2835" w:type="dxa"/>
          </w:tcPr>
          <w:p w14:paraId="4CAA90FB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Demande invitant le Comité du Règlement des radiocommunications à décider de supprimer les assignations de fréquence du réseau à satellite OPTOS conformément au numéro </w:t>
            </w: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13.6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du Règlement des radiocommunications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26" w:history="1">
              <w:bookmarkStart w:id="68" w:name="lt_pId165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RRB20-1/4</w:t>
              </w:r>
              <w:bookmarkEnd w:id="68"/>
            </w:hyperlink>
          </w:p>
        </w:tc>
        <w:tc>
          <w:tcPr>
            <w:tcW w:w="7935" w:type="dxa"/>
          </w:tcPr>
          <w:p w14:paraId="4688D46F" w14:textId="6D0C51A2" w:rsidR="0098640E" w:rsidRPr="005C765D" w:rsidRDefault="00BA1B56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ce point à sa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réunion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2554" w:type="dxa"/>
          </w:tcPr>
          <w:p w14:paraId="0A4A8BB5" w14:textId="230FCC1E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Secrétaire exécutif communiquera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cette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décision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concernée.</w:t>
            </w:r>
          </w:p>
        </w:tc>
      </w:tr>
      <w:tr w:rsidR="0098640E" w:rsidRPr="005C765D" w14:paraId="07B965D1" w14:textId="77777777" w:rsidTr="00E81205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A3E303" w14:textId="77777777" w:rsidR="0098640E" w:rsidRPr="005C765D" w:rsidRDefault="0098640E" w:rsidP="00A973D0">
            <w:pPr>
              <w:pStyle w:val="Tabletext"/>
              <w:keepNext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9</w:t>
            </w:r>
          </w:p>
        </w:tc>
        <w:tc>
          <w:tcPr>
            <w:tcW w:w="13324" w:type="dxa"/>
            <w:gridSpan w:val="3"/>
          </w:tcPr>
          <w:p w14:paraId="5448CBA5" w14:textId="77777777" w:rsidR="0098640E" w:rsidRPr="005C765D" w:rsidRDefault="0098640E" w:rsidP="00A973D0">
            <w:pPr>
              <w:pStyle w:val="Tabletext"/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Statut des réseaux à satellite USASAT-NGSO-4 et USABSS-36</w:t>
            </w:r>
          </w:p>
        </w:tc>
      </w:tr>
      <w:tr w:rsidR="0098640E" w:rsidRPr="005C765D" w14:paraId="03F99537" w14:textId="77777777" w:rsidTr="0013022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83B37A" w14:textId="77777777" w:rsidR="0098640E" w:rsidRPr="005C765D" w:rsidRDefault="0098640E" w:rsidP="00A973D0">
            <w:pPr>
              <w:pStyle w:val="Tabletext"/>
              <w:keepNext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9.1</w:t>
            </w:r>
          </w:p>
        </w:tc>
        <w:tc>
          <w:tcPr>
            <w:tcW w:w="2835" w:type="dxa"/>
          </w:tcPr>
          <w:p w14:paraId="4D894422" w14:textId="77777777" w:rsidR="0098640E" w:rsidRPr="005C765D" w:rsidRDefault="0098640E" w:rsidP="00A973D0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Communication soumise par l'Administration des États-Unis concernant le statut des assignations de fréquence du réseau à satellite USASAT-NGSO-4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27" w:history="1">
              <w:bookmarkStart w:id="69" w:name="lt_pId172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RRB20-1/8</w:t>
              </w:r>
              <w:bookmarkEnd w:id="69"/>
            </w:hyperlink>
          </w:p>
        </w:tc>
        <w:tc>
          <w:tcPr>
            <w:tcW w:w="7935" w:type="dxa"/>
          </w:tcPr>
          <w:p w14:paraId="2607AD16" w14:textId="64EE91D8" w:rsidR="0098640E" w:rsidRPr="005C765D" w:rsidRDefault="00BA1B56" w:rsidP="00A973D0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70" w:name="lt_pId173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ce point à sa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réunion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a chargé le Bureau de continuer de tenir compte des assignations de fréquence du réseau à satellite USASAT-NGSO-4 jusqu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à la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réunion.</w:t>
            </w:r>
            <w:bookmarkEnd w:id="70"/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4" w:type="dxa"/>
          </w:tcPr>
          <w:p w14:paraId="0F87EB94" w14:textId="4A139A8D" w:rsidR="0098640E" w:rsidRPr="005C765D" w:rsidRDefault="0098640E" w:rsidP="00A973D0">
            <w:pPr>
              <w:pStyle w:val="Tabletex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Secrétaire exécutif communiquera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</w:t>
            </w:r>
            <w:r w:rsidR="007C0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décisions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concernée.</w:t>
            </w:r>
          </w:p>
          <w:p w14:paraId="6C654449" w14:textId="066BDA4C" w:rsidR="0098640E" w:rsidRPr="005C765D" w:rsidRDefault="001F45F0" w:rsidP="00A973D0">
            <w:pPr>
              <w:pStyle w:val="Tabletext"/>
              <w:keepNext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71" w:name="lt_pId175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Bureau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continuera de tenir compte des assignations de fréquence du réseau à satellite USASAT-NGSO-4 jusqu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à la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réunion.</w:t>
            </w:r>
            <w:bookmarkEnd w:id="71"/>
          </w:p>
        </w:tc>
      </w:tr>
      <w:tr w:rsidR="0098640E" w:rsidRPr="005C765D" w14:paraId="5F600E56" w14:textId="77777777" w:rsidTr="0013022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DE19A7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9.2</w:t>
            </w:r>
          </w:p>
        </w:tc>
        <w:tc>
          <w:tcPr>
            <w:tcW w:w="2835" w:type="dxa"/>
          </w:tcPr>
          <w:p w14:paraId="1B8AD7C3" w14:textId="32C983F0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Communication soumise par l'Administration des États</w:t>
            </w:r>
            <w:r w:rsidR="00F5643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noBreakHyphen/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Unis concernant le statut des assignations de fréquence du réseau à satellite USABSS-36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28" w:history="1">
              <w:bookmarkStart w:id="72" w:name="lt_pId178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RRB20-1/9</w:t>
              </w:r>
              <w:bookmarkEnd w:id="72"/>
            </w:hyperlink>
          </w:p>
        </w:tc>
        <w:tc>
          <w:tcPr>
            <w:tcW w:w="7935" w:type="dxa"/>
          </w:tcPr>
          <w:p w14:paraId="3884213E" w14:textId="0A0A0D20" w:rsidR="0098640E" w:rsidRPr="005C765D" w:rsidRDefault="00BA1B56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73" w:name="lt_pId179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Comité 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ce point à sa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réunion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a chargé le Bureau de continuer de tenir compte des assignations de fréquence du réseau à satellite 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USABSS-36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jusqu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à la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réunion.</w:t>
            </w:r>
            <w:bookmarkEnd w:id="73"/>
          </w:p>
        </w:tc>
        <w:tc>
          <w:tcPr>
            <w:tcW w:w="2554" w:type="dxa"/>
          </w:tcPr>
          <w:p w14:paraId="3FFC135A" w14:textId="2EA9285B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Secrétaire exécutif communiquera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</w:t>
            </w:r>
            <w:r w:rsidR="007C0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décisions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concernée.</w:t>
            </w:r>
          </w:p>
          <w:p w14:paraId="447F36A4" w14:textId="72A23E84" w:rsidR="0098640E" w:rsidRPr="005C765D" w:rsidRDefault="001F45F0" w:rsidP="00130227">
            <w:pPr>
              <w:pStyle w:val="Table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74" w:name="lt_pId181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Bureau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continuera de tenir compte des assignations de fréquence du réseau à satellite USABSS-36 jusqu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à la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réunion.</w:t>
            </w:r>
            <w:bookmarkEnd w:id="74"/>
          </w:p>
        </w:tc>
      </w:tr>
      <w:tr w:rsidR="0098640E" w:rsidRPr="005C765D" w14:paraId="28E3E6F0" w14:textId="77777777" w:rsidTr="0013022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12F481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</w:t>
            </w:r>
          </w:p>
        </w:tc>
        <w:tc>
          <w:tcPr>
            <w:tcW w:w="2835" w:type="dxa"/>
          </w:tcPr>
          <w:p w14:paraId="093AA4A0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Communication soumise par l'Administration de la Bolivie concernant l'inscription du réseau à satellite BOLSAT BSS dans le Fichier de référence international des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fréquences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hyperlink r:id="rId29" w:history="1">
              <w:bookmarkStart w:id="75" w:name="lt_pId184"/>
              <w:r w:rsidRPr="005C765D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fr-FR"/>
                </w:rPr>
                <w:t>RRB20-1/10</w:t>
              </w:r>
              <w:bookmarkEnd w:id="75"/>
            </w:hyperlink>
          </w:p>
        </w:tc>
        <w:tc>
          <w:tcPr>
            <w:tcW w:w="7935" w:type="dxa"/>
          </w:tcPr>
          <w:p w14:paraId="29CA449A" w14:textId="3DAEB2D3" w:rsidR="0098640E" w:rsidRPr="005C765D" w:rsidRDefault="00BA1B56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76" w:name="lt_pId185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Le Comité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décidé de reporter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examen de ce point à sa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réunion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a chargé le Bureau de 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poursuivre le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traitement du réseau à satellite BOLSAT BSS jusqu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à la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="001F45F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réunion.</w:t>
            </w:r>
            <w:bookmarkEnd w:id="76"/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4" w:type="dxa"/>
          </w:tcPr>
          <w:p w14:paraId="4FB69470" w14:textId="520259EC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Secrétaire exécutif communiquera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</w:t>
            </w:r>
            <w:r w:rsidR="007C0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973D0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décisions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l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administration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515FD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concernée.</w:t>
            </w:r>
          </w:p>
          <w:p w14:paraId="2A6968BD" w14:textId="508E8C4F" w:rsidR="0098640E" w:rsidRPr="005C765D" w:rsidRDefault="001F45F0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bookmarkStart w:id="77" w:name="lt_pId187"/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Bureau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poursuivr</w:t>
            </w:r>
            <w:r w:rsidR="007C02F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283948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traitement du réseau à 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satellite BOLSAT BSS jusqu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'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à la </w:t>
            </w:r>
            <w:r w:rsidR="00E81205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84ème</w:t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réunion</w:t>
            </w:r>
            <w:bookmarkEnd w:id="77"/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  <w:tr w:rsidR="0098640E" w:rsidRPr="005C765D" w14:paraId="77EA2539" w14:textId="77777777" w:rsidTr="0013022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1F5B94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11</w:t>
            </w:r>
          </w:p>
        </w:tc>
        <w:tc>
          <w:tcPr>
            <w:tcW w:w="2835" w:type="dxa"/>
          </w:tcPr>
          <w:p w14:paraId="3009272A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Confirmation de la date de la prochaine réunion de 2020 et dates indicatives des réunions futures</w:t>
            </w:r>
          </w:p>
        </w:tc>
        <w:tc>
          <w:tcPr>
            <w:tcW w:w="7935" w:type="dxa"/>
          </w:tcPr>
          <w:p w14:paraId="6A304D66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Comité a confirmé qu'il tiendrait sa 84ème réunion du 6 au 15 juillet 2020 dans la Salle L.</w:t>
            </w:r>
          </w:p>
          <w:p w14:paraId="5A162569" w14:textId="77777777" w:rsidR="0098640E" w:rsidRPr="005C765D" w:rsidRDefault="0098640E" w:rsidP="00130227">
            <w:pPr>
              <w:pStyle w:val="Table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Bureau a également confirmé provisoirement qu'il tiendrait ses prochaines réunions de 2020 et 2021 aux dates suivantes:</w:t>
            </w:r>
          </w:p>
          <w:p w14:paraId="1EA60171" w14:textId="2B6AD835" w:rsidR="0098640E" w:rsidRPr="005C765D" w:rsidRDefault="0098640E" w:rsidP="001302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enter" w:pos="17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85ème réunion</w:t>
            </w:r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19-27 octobre 2020</w:t>
            </w:r>
          </w:p>
          <w:p w14:paraId="61920CC9" w14:textId="0EDC1052" w:rsidR="0098640E" w:rsidRPr="005C765D" w:rsidRDefault="0098640E" w:rsidP="001302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enter" w:pos="17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86ème réunion</w:t>
            </w:r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22-26 mars 2021</w:t>
            </w:r>
          </w:p>
          <w:p w14:paraId="3B0178D3" w14:textId="2D5772CE" w:rsidR="0098640E" w:rsidRPr="005C765D" w:rsidRDefault="0098640E" w:rsidP="001302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enter" w:pos="17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87ème réunion</w:t>
            </w:r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12-16 juillet 2021</w:t>
            </w:r>
          </w:p>
          <w:p w14:paraId="42850F84" w14:textId="3F40A06E" w:rsidR="0098640E" w:rsidRPr="005C765D" w:rsidRDefault="0098640E" w:rsidP="001302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enter" w:pos="17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88ème réunion</w:t>
            </w:r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130227"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1er-5 novembre 2021</w:t>
            </w:r>
          </w:p>
        </w:tc>
        <w:tc>
          <w:tcPr>
            <w:tcW w:w="2554" w:type="dxa"/>
          </w:tcPr>
          <w:p w14:paraId="05B12521" w14:textId="77777777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−</w:t>
            </w:r>
          </w:p>
        </w:tc>
      </w:tr>
      <w:tr w:rsidR="0098640E" w:rsidRPr="005C765D" w14:paraId="6DB85BD5" w14:textId="77777777" w:rsidTr="0013022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A2EB6C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12</w:t>
            </w:r>
          </w:p>
        </w:tc>
        <w:tc>
          <w:tcPr>
            <w:tcW w:w="2835" w:type="dxa"/>
          </w:tcPr>
          <w:p w14:paraId="412E87D8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Divers</w:t>
            </w:r>
          </w:p>
        </w:tc>
        <w:tc>
          <w:tcPr>
            <w:tcW w:w="7935" w:type="dxa"/>
          </w:tcPr>
          <w:p w14:paraId="311E3BD1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−</w:t>
            </w:r>
          </w:p>
        </w:tc>
        <w:tc>
          <w:tcPr>
            <w:tcW w:w="2554" w:type="dxa"/>
          </w:tcPr>
          <w:p w14:paraId="6FE98C4D" w14:textId="77777777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−</w:t>
            </w:r>
          </w:p>
        </w:tc>
      </w:tr>
      <w:tr w:rsidR="0098640E" w:rsidRPr="005C765D" w14:paraId="3E7EAF26" w14:textId="77777777" w:rsidTr="0013022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A7EFF1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13</w:t>
            </w:r>
          </w:p>
        </w:tc>
        <w:tc>
          <w:tcPr>
            <w:tcW w:w="2835" w:type="dxa"/>
          </w:tcPr>
          <w:p w14:paraId="49ACCA3D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Approbation du résumé des décisions</w:t>
            </w:r>
          </w:p>
        </w:tc>
        <w:tc>
          <w:tcPr>
            <w:tcW w:w="7935" w:type="dxa"/>
          </w:tcPr>
          <w:p w14:paraId="04D77043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Comité a approuvé le résumé des décisions figurant dans le Document RRB20-1/16.</w:t>
            </w:r>
          </w:p>
        </w:tc>
        <w:tc>
          <w:tcPr>
            <w:tcW w:w="2554" w:type="dxa"/>
          </w:tcPr>
          <w:p w14:paraId="57FA759B" w14:textId="77777777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−</w:t>
            </w:r>
          </w:p>
        </w:tc>
      </w:tr>
      <w:tr w:rsidR="0098640E" w:rsidRPr="005C765D" w14:paraId="5684A1B8" w14:textId="77777777" w:rsidTr="0013022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12179A" w14:textId="77777777" w:rsidR="0098640E" w:rsidRPr="005C765D" w:rsidRDefault="0098640E" w:rsidP="00E8120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14</w:t>
            </w:r>
          </w:p>
        </w:tc>
        <w:tc>
          <w:tcPr>
            <w:tcW w:w="2835" w:type="dxa"/>
          </w:tcPr>
          <w:p w14:paraId="5A203DC5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Clôture de la réunion</w:t>
            </w:r>
          </w:p>
        </w:tc>
        <w:tc>
          <w:tcPr>
            <w:tcW w:w="7935" w:type="dxa"/>
          </w:tcPr>
          <w:p w14:paraId="21EE8BB4" w14:textId="77777777" w:rsidR="0098640E" w:rsidRPr="005C765D" w:rsidRDefault="0098640E" w:rsidP="00E8120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réunion a été déclarée close à 16 h 15 le 25 mars 2020.</w:t>
            </w:r>
          </w:p>
        </w:tc>
        <w:tc>
          <w:tcPr>
            <w:tcW w:w="2554" w:type="dxa"/>
          </w:tcPr>
          <w:p w14:paraId="577249C3" w14:textId="77777777" w:rsidR="0098640E" w:rsidRPr="005C765D" w:rsidRDefault="0098640E" w:rsidP="00130227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765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–</w:t>
            </w:r>
          </w:p>
        </w:tc>
      </w:tr>
    </w:tbl>
    <w:p w14:paraId="719887D6" w14:textId="77777777" w:rsidR="0098640E" w:rsidRPr="00301B0E" w:rsidRDefault="0098640E" w:rsidP="0013022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1B0E"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sectPr w:rsidR="0098640E" w:rsidRPr="00301B0E" w:rsidSect="00FF27A2">
      <w:footerReference w:type="default" r:id="rId30"/>
      <w:pgSz w:w="16834" w:h="11907" w:orient="landscape" w:code="9"/>
      <w:pgMar w:top="1134" w:right="1418" w:bottom="1134" w:left="141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7FED" w14:textId="77777777" w:rsidR="00E81205" w:rsidRDefault="00E81205" w:rsidP="00A36275">
      <w:pPr>
        <w:spacing w:after="0" w:line="240" w:lineRule="auto"/>
      </w:pPr>
      <w:r>
        <w:separator/>
      </w:r>
    </w:p>
  </w:endnote>
  <w:endnote w:type="continuationSeparator" w:id="0">
    <w:p w14:paraId="2C6C0DF7" w14:textId="77777777" w:rsidR="00E81205" w:rsidRDefault="00E81205" w:rsidP="00A3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2906" w14:textId="1EE960D2" w:rsidR="00E81205" w:rsidRDefault="007F2944">
    <w:pPr>
      <w:pStyle w:val="Footer"/>
      <w:rPr>
        <w:lang w:val="en-US"/>
      </w:rPr>
    </w:pPr>
    <w:fldSimple w:instr=" FILENAME \p \* MERGEFORMAT ">
      <w:r w:rsidR="00C76481" w:rsidRPr="00C76481">
        <w:rPr>
          <w:lang w:val="en-US"/>
        </w:rPr>
        <w:t>M</w:t>
      </w:r>
      <w:r w:rsidR="00C76481">
        <w:t>:\RRB\RRB20\RRB20-1\Summary\016F.docx</w:t>
      </w:r>
    </w:fldSimple>
    <w:r w:rsidR="00E81205">
      <w:rPr>
        <w:lang w:val="en-US"/>
      </w:rPr>
      <w:tab/>
    </w:r>
    <w:r w:rsidR="00E81205">
      <w:fldChar w:fldCharType="begin"/>
    </w:r>
    <w:r w:rsidR="00E81205">
      <w:instrText xml:space="preserve"> savedate \@ dd.MM.yy </w:instrText>
    </w:r>
    <w:r w:rsidR="00E81205">
      <w:fldChar w:fldCharType="separate"/>
    </w:r>
    <w:r w:rsidR="00C76481">
      <w:t>31.03.20</w:t>
    </w:r>
    <w:r w:rsidR="00E81205">
      <w:fldChar w:fldCharType="end"/>
    </w:r>
    <w:r w:rsidR="00E81205">
      <w:rPr>
        <w:lang w:val="en-US"/>
      </w:rPr>
      <w:tab/>
    </w:r>
    <w:r w:rsidR="00E81205">
      <w:fldChar w:fldCharType="begin"/>
    </w:r>
    <w:r w:rsidR="00E81205">
      <w:instrText xml:space="preserve"> printdate \@ dd.MM.yy </w:instrText>
    </w:r>
    <w:r w:rsidR="00E81205">
      <w:fldChar w:fldCharType="separate"/>
    </w:r>
    <w:r w:rsidR="00C76481">
      <w:t>31.03.20</w:t>
    </w:r>
    <w:r w:rsidR="00E8120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5C18" w14:textId="3BB3D8DB" w:rsidR="00E81205" w:rsidRDefault="00E81205" w:rsidP="00FF27A2">
    <w:pPr>
      <w:pStyle w:val="Footer"/>
      <w:jc w:val="both"/>
      <w:rPr>
        <w:lang w:val="en-US"/>
      </w:rPr>
    </w:pPr>
    <w:r>
      <w:fldChar w:fldCharType="begin"/>
    </w:r>
    <w:r w:rsidRPr="00F647C3">
      <w:rPr>
        <w:lang w:val="en-GB"/>
      </w:rPr>
      <w:instrText xml:space="preserve"> FILENAME \p  \* MERGEFORMAT </w:instrText>
    </w:r>
    <w:r>
      <w:fldChar w:fldCharType="separate"/>
    </w:r>
    <w:r w:rsidR="00C76481" w:rsidRPr="00C76481">
      <w:rPr>
        <w:lang w:val="en-US"/>
      </w:rPr>
      <w:t>M:\RRB\RRB20\RRB20-1\Summary\016F.docx</w:t>
    </w:r>
    <w:r>
      <w:rPr>
        <w:lang w:val="en-US"/>
      </w:rPr>
      <w:fldChar w:fldCharType="end"/>
    </w:r>
    <w:r w:rsidRPr="00D207A1">
      <w:rPr>
        <w:lang w:val="en-US"/>
      </w:rPr>
      <w:t xml:space="preserve"> (</w:t>
    </w:r>
    <w:r>
      <w:rPr>
        <w:lang w:val="en-US"/>
      </w:rPr>
      <w:t>469952</w:t>
    </w:r>
    <w:r w:rsidRPr="00D207A1">
      <w:rPr>
        <w:lang w:val="en-US"/>
      </w:rPr>
      <w:t>)</w:t>
    </w: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548D" w14:textId="39A6F3E4" w:rsidR="00E81205" w:rsidRDefault="00E81205" w:rsidP="00FF27A2">
    <w:pPr>
      <w:pStyle w:val="Footer"/>
      <w:jc w:val="both"/>
      <w:rPr>
        <w:lang w:val="en-US"/>
      </w:rPr>
    </w:pPr>
    <w:r w:rsidRPr="00D207A1">
      <w:rPr>
        <w:lang w:val="en-US"/>
      </w:rPr>
      <w:t>(</w:t>
    </w:r>
    <w:r>
      <w:rPr>
        <w:lang w:val="en-US"/>
      </w:rPr>
      <w:t>469952</w:t>
    </w:r>
    <w:r w:rsidRPr="00D207A1">
      <w:rPr>
        <w:lang w:val="en-US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F387" w14:textId="120A7696" w:rsidR="00E81205" w:rsidRDefault="00E81205" w:rsidP="00FF27A2">
    <w:pPr>
      <w:pStyle w:val="Footer"/>
      <w:jc w:val="both"/>
      <w:rPr>
        <w:lang w:val="en-US"/>
      </w:rPr>
    </w:pPr>
    <w:r w:rsidRPr="00D207A1">
      <w:rPr>
        <w:lang w:val="en-US"/>
      </w:rPr>
      <w:t>(</w:t>
    </w:r>
    <w:r>
      <w:rPr>
        <w:lang w:val="en-US"/>
      </w:rPr>
      <w:t>469952</w:t>
    </w:r>
    <w:r w:rsidRPr="00D207A1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74C8" w14:textId="77777777" w:rsidR="00E81205" w:rsidRDefault="00E81205" w:rsidP="00A36275">
      <w:pPr>
        <w:spacing w:after="0" w:line="240" w:lineRule="auto"/>
      </w:pPr>
      <w:r>
        <w:separator/>
      </w:r>
    </w:p>
  </w:footnote>
  <w:footnote w:type="continuationSeparator" w:id="0">
    <w:p w14:paraId="03787E58" w14:textId="77777777" w:rsidR="00E81205" w:rsidRDefault="00E81205" w:rsidP="00A3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86A4" w14:textId="77777777" w:rsidR="00E81205" w:rsidRDefault="00E8120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910131B" w14:textId="77777777" w:rsidR="00E81205" w:rsidRDefault="00E81205">
    <w:pPr>
      <w:pStyle w:val="Header"/>
      <w:rPr>
        <w:rStyle w:val="PageNumber"/>
      </w:rPr>
    </w:pPr>
    <w:r>
      <w:rPr>
        <w:rStyle w:val="PageNumber"/>
      </w:rPr>
      <w:t>RRB20-1/16-F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ED058E-452D-4296-AF8A-7FF45D55C37A}"/>
    <w:docVar w:name="dgnword-eventsink" w:val="103244488"/>
  </w:docVars>
  <w:rsids>
    <w:rsidRoot w:val="0098640E"/>
    <w:rsid w:val="0004153E"/>
    <w:rsid w:val="00130227"/>
    <w:rsid w:val="001F45F0"/>
    <w:rsid w:val="00283948"/>
    <w:rsid w:val="002C3106"/>
    <w:rsid w:val="002C38A2"/>
    <w:rsid w:val="00301B0E"/>
    <w:rsid w:val="00305CB9"/>
    <w:rsid w:val="00336F16"/>
    <w:rsid w:val="00357655"/>
    <w:rsid w:val="003C04C0"/>
    <w:rsid w:val="003E23CD"/>
    <w:rsid w:val="00481624"/>
    <w:rsid w:val="0048205D"/>
    <w:rsid w:val="005515FD"/>
    <w:rsid w:val="00552293"/>
    <w:rsid w:val="005975B3"/>
    <w:rsid w:val="005C765D"/>
    <w:rsid w:val="005D610F"/>
    <w:rsid w:val="006F6ED5"/>
    <w:rsid w:val="00735E20"/>
    <w:rsid w:val="00756EF3"/>
    <w:rsid w:val="007C02F8"/>
    <w:rsid w:val="007F2944"/>
    <w:rsid w:val="00824E50"/>
    <w:rsid w:val="0091643B"/>
    <w:rsid w:val="0098640E"/>
    <w:rsid w:val="00A11B78"/>
    <w:rsid w:val="00A32F69"/>
    <w:rsid w:val="00A36275"/>
    <w:rsid w:val="00A973D0"/>
    <w:rsid w:val="00AA05EA"/>
    <w:rsid w:val="00AB1799"/>
    <w:rsid w:val="00AB4C34"/>
    <w:rsid w:val="00AE3215"/>
    <w:rsid w:val="00AF0FD5"/>
    <w:rsid w:val="00B51530"/>
    <w:rsid w:val="00BA1B56"/>
    <w:rsid w:val="00C76481"/>
    <w:rsid w:val="00D16FEA"/>
    <w:rsid w:val="00D51DEE"/>
    <w:rsid w:val="00D739A1"/>
    <w:rsid w:val="00DE4662"/>
    <w:rsid w:val="00E07BF8"/>
    <w:rsid w:val="00E31775"/>
    <w:rsid w:val="00E81205"/>
    <w:rsid w:val="00E9493C"/>
    <w:rsid w:val="00F232F8"/>
    <w:rsid w:val="00F46C9C"/>
    <w:rsid w:val="00F56438"/>
    <w:rsid w:val="00F647C3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2373"/>
  <w15:docId w15:val="{6E6D6F30-0799-4B40-A4E2-CD4AEAFA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_head"/>
    <w:basedOn w:val="Normal"/>
    <w:next w:val="Tabletext"/>
    <w:rsid w:val="0098640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text">
    <w:name w:val="Table_text"/>
    <w:basedOn w:val="Normal"/>
    <w:link w:val="TabletextChar"/>
    <w:rsid w:val="009864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98640E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aps/>
      <w:noProof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640E"/>
    <w:rPr>
      <w:rFonts w:ascii="Times New Roman" w:eastAsia="Times New Roman" w:hAnsi="Times New Roman" w:cs="Times New Roman"/>
      <w:caps/>
      <w:noProof/>
      <w:sz w:val="16"/>
      <w:szCs w:val="20"/>
    </w:rPr>
  </w:style>
  <w:style w:type="paragraph" w:styleId="Header">
    <w:name w:val="header"/>
    <w:basedOn w:val="Normal"/>
    <w:link w:val="HeaderChar"/>
    <w:uiPriority w:val="99"/>
    <w:rsid w:val="0098640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640E"/>
    <w:rPr>
      <w:rFonts w:ascii="Times New Roman" w:eastAsia="Times New Roman" w:hAnsi="Times New Roman" w:cs="Times New Roman"/>
      <w:sz w:val="18"/>
      <w:szCs w:val="20"/>
    </w:rPr>
  </w:style>
  <w:style w:type="paragraph" w:customStyle="1" w:styleId="Source">
    <w:name w:val="Source"/>
    <w:basedOn w:val="Normal"/>
    <w:next w:val="Normal"/>
    <w:rsid w:val="009864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1">
    <w:name w:val="Title 1"/>
    <w:basedOn w:val="Source"/>
    <w:next w:val="Normal"/>
    <w:rsid w:val="0098640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character" w:styleId="PageNumber">
    <w:name w:val="page number"/>
    <w:basedOn w:val="DefaultParagraphFont"/>
    <w:uiPriority w:val="99"/>
    <w:rsid w:val="0098640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8640E"/>
    <w:rPr>
      <w:rFonts w:cs="Times New Roman"/>
      <w:color w:val="0000FF" w:themeColor="hyperlink"/>
      <w:u w:val="single"/>
    </w:rPr>
  </w:style>
  <w:style w:type="table" w:customStyle="1" w:styleId="GridTable1Light-Accent12">
    <w:name w:val="Grid Table 1 Light - Accent 12"/>
    <w:basedOn w:val="TableNormal"/>
    <w:uiPriority w:val="46"/>
    <w:rsid w:val="0098640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TabletextChar">
    <w:name w:val="Table_text Char"/>
    <w:basedOn w:val="DefaultParagraphFont"/>
    <w:link w:val="Tabletext"/>
    <w:locked/>
    <w:rsid w:val="0098640E"/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Normal"/>
    <w:qFormat/>
    <w:rsid w:val="00986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tu.int/md/R20-RRB20.1-C-0006/en" TargetMode="External"/><Relationship Id="rId18" Type="http://schemas.openxmlformats.org/officeDocument/2006/relationships/hyperlink" Target="https://www.itu.int/md/R00-CR-CIR-0456/en" TargetMode="External"/><Relationship Id="rId26" Type="http://schemas.openxmlformats.org/officeDocument/2006/relationships/hyperlink" Target="https://www.itu.int/md/R20-RRB20.1-C-0004/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tu.int/md/R20-RRB20.1-C-0007/en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itu.int/md/R20-RRB20.1-C-0006/en" TargetMode="External"/><Relationship Id="rId17" Type="http://schemas.openxmlformats.org/officeDocument/2006/relationships/hyperlink" Target="https://www.itu.int/md/R20-RRB20.1-C-0014/en" TargetMode="External"/><Relationship Id="rId25" Type="http://schemas.openxmlformats.org/officeDocument/2006/relationships/hyperlink" Target="https://www.itu.int/md/R20-RRB20.1-C-0003/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tu.int/md/R20-RRB20.1-C-0012/en" TargetMode="External"/><Relationship Id="rId20" Type="http://schemas.openxmlformats.org/officeDocument/2006/relationships/hyperlink" Target="https://www.itu.int/md/R00-CCRR-CIR-0064/en" TargetMode="External"/><Relationship Id="rId29" Type="http://schemas.openxmlformats.org/officeDocument/2006/relationships/hyperlink" Target="https://www.itu.int/md/R20-RRB20.1-C-0010/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R20-RRB20.1-OJ-0001/en" TargetMode="External"/><Relationship Id="rId24" Type="http://schemas.openxmlformats.org/officeDocument/2006/relationships/hyperlink" Target="https://www.itu.int/md/R20-RRB20.1-C-0002/en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itu.int/md/R20-RRB20.1-SP-0001/en" TargetMode="External"/><Relationship Id="rId23" Type="http://schemas.openxmlformats.org/officeDocument/2006/relationships/hyperlink" Target="https://www.itu.int/md/R20-RRB20.1-C-0001/en" TargetMode="External"/><Relationship Id="rId28" Type="http://schemas.openxmlformats.org/officeDocument/2006/relationships/hyperlink" Target="https://www.itu.int/md/R20-RRB20.1-C-0009/en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itu.int/md/R20-RRB20.1-C-0015/en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itu.int/md/R20-RRB20.1-C-0006/en" TargetMode="External"/><Relationship Id="rId22" Type="http://schemas.openxmlformats.org/officeDocument/2006/relationships/hyperlink" Target="https://www.itu.int/md/R20-RRB20.1-C-0013/en" TargetMode="External"/><Relationship Id="rId27" Type="http://schemas.openxmlformats.org/officeDocument/2006/relationships/hyperlink" Target="https://www.itu.int/md/R20-RRB20.1-C-0008/en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2903</Words>
  <Characters>16549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Marie&amp;Cie</dc:creator>
  <cp:lastModifiedBy>Gozal, Karine</cp:lastModifiedBy>
  <cp:revision>3</cp:revision>
  <cp:lastPrinted>2020-03-31T12:18:00Z</cp:lastPrinted>
  <dcterms:created xsi:type="dcterms:W3CDTF">2020-03-31T12:18:00Z</dcterms:created>
  <dcterms:modified xsi:type="dcterms:W3CDTF">2020-03-31T12:19:00Z</dcterms:modified>
</cp:coreProperties>
</file>