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02B894FF" w14:textId="77777777" w:rsidTr="00752552">
        <w:trPr>
          <w:cantSplit/>
          <w:trHeight w:val="20"/>
        </w:trPr>
        <w:tc>
          <w:tcPr>
            <w:tcW w:w="1589" w:type="dxa"/>
            <w:vAlign w:val="center"/>
          </w:tcPr>
          <w:p w14:paraId="47FBAA1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F10F375" wp14:editId="2858B02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CB8D9D2"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A89203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9A67A8E" w14:textId="77777777" w:rsidR="00752552" w:rsidRPr="000D1EE4" w:rsidRDefault="00752552" w:rsidP="00752552">
            <w:pPr>
              <w:jc w:val="right"/>
              <w:rPr>
                <w:rtl/>
                <w:lang w:bidi="ar-EG"/>
              </w:rPr>
            </w:pPr>
            <w:bookmarkStart w:id="0" w:name="ditulogo"/>
            <w:bookmarkEnd w:id="0"/>
            <w:r>
              <w:rPr>
                <w:noProof/>
              </w:rPr>
              <w:drawing>
                <wp:inline distT="0" distB="0" distL="0" distR="0" wp14:anchorId="6D6AFADF" wp14:editId="3C271F0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09E8089" w14:textId="77777777" w:rsidTr="00752552">
        <w:trPr>
          <w:cantSplit/>
          <w:trHeight w:val="20"/>
        </w:trPr>
        <w:tc>
          <w:tcPr>
            <w:tcW w:w="6696" w:type="dxa"/>
            <w:gridSpan w:val="2"/>
            <w:tcBorders>
              <w:bottom w:val="single" w:sz="12" w:space="0" w:color="auto"/>
            </w:tcBorders>
          </w:tcPr>
          <w:p w14:paraId="7E38B467" w14:textId="77777777" w:rsidR="000D1EE4" w:rsidRPr="000D1EE4" w:rsidRDefault="000D1EE4" w:rsidP="000D1EE4">
            <w:pPr>
              <w:rPr>
                <w:rtl/>
                <w:lang w:bidi="ar-EG"/>
              </w:rPr>
            </w:pPr>
          </w:p>
        </w:tc>
        <w:tc>
          <w:tcPr>
            <w:tcW w:w="2970" w:type="dxa"/>
            <w:gridSpan w:val="2"/>
            <w:tcBorders>
              <w:bottom w:val="single" w:sz="12" w:space="0" w:color="auto"/>
            </w:tcBorders>
          </w:tcPr>
          <w:p w14:paraId="606DD558" w14:textId="77777777" w:rsidR="000D1EE4" w:rsidRPr="000D1EE4" w:rsidRDefault="000D1EE4" w:rsidP="000D1EE4">
            <w:pPr>
              <w:rPr>
                <w:lang w:val="en-GB" w:bidi="ar-EG"/>
              </w:rPr>
            </w:pPr>
          </w:p>
        </w:tc>
      </w:tr>
      <w:tr w:rsidR="000D1EE4" w:rsidRPr="000D1EE4" w14:paraId="45C6E472" w14:textId="77777777" w:rsidTr="00752552">
        <w:trPr>
          <w:cantSplit/>
          <w:trHeight w:val="20"/>
        </w:trPr>
        <w:tc>
          <w:tcPr>
            <w:tcW w:w="6696" w:type="dxa"/>
            <w:gridSpan w:val="2"/>
            <w:tcBorders>
              <w:top w:val="single" w:sz="12" w:space="0" w:color="auto"/>
            </w:tcBorders>
          </w:tcPr>
          <w:p w14:paraId="0BB5F35F" w14:textId="77777777" w:rsidR="000D1EE4" w:rsidRPr="000D1EE4" w:rsidRDefault="000D1EE4" w:rsidP="00B55840">
            <w:pPr>
              <w:spacing w:before="0" w:line="240" w:lineRule="exact"/>
              <w:rPr>
                <w:b/>
                <w:bCs/>
                <w:rtl/>
                <w:lang w:bidi="ar-EG"/>
              </w:rPr>
            </w:pPr>
          </w:p>
        </w:tc>
        <w:tc>
          <w:tcPr>
            <w:tcW w:w="2970" w:type="dxa"/>
            <w:gridSpan w:val="2"/>
            <w:tcBorders>
              <w:top w:val="single" w:sz="12" w:space="0" w:color="auto"/>
            </w:tcBorders>
          </w:tcPr>
          <w:p w14:paraId="5E4630B1" w14:textId="77777777" w:rsidR="000D1EE4" w:rsidRPr="000D1EE4" w:rsidRDefault="000D1EE4" w:rsidP="00B55840">
            <w:pPr>
              <w:spacing w:before="0" w:line="240" w:lineRule="exact"/>
              <w:rPr>
                <w:b/>
                <w:bCs/>
                <w:lang w:bidi="ar-EG"/>
              </w:rPr>
            </w:pPr>
          </w:p>
        </w:tc>
      </w:tr>
      <w:tr w:rsidR="000D1EE4" w:rsidRPr="000D1EE4" w14:paraId="41205341" w14:textId="77777777" w:rsidTr="00752552">
        <w:trPr>
          <w:cantSplit/>
        </w:trPr>
        <w:tc>
          <w:tcPr>
            <w:tcW w:w="6696" w:type="dxa"/>
            <w:gridSpan w:val="2"/>
          </w:tcPr>
          <w:p w14:paraId="7A36C3B3" w14:textId="77777777" w:rsidR="000D1EE4" w:rsidRPr="00A72DD6" w:rsidRDefault="00E50850" w:rsidP="000D1EE4">
            <w:pPr>
              <w:spacing w:before="60" w:after="60" w:line="260" w:lineRule="exact"/>
              <w:rPr>
                <w:b/>
                <w:bCs/>
                <w:rtl/>
                <w:lang w:bidi="ar-EG"/>
              </w:rPr>
            </w:pPr>
            <w:r w:rsidRPr="00A72DD6">
              <w:rPr>
                <w:b/>
                <w:bCs/>
                <w:rtl/>
                <w:lang w:bidi="ar-EG"/>
              </w:rPr>
              <w:t>الجلسة العامة</w:t>
            </w:r>
          </w:p>
        </w:tc>
        <w:tc>
          <w:tcPr>
            <w:tcW w:w="2970" w:type="dxa"/>
            <w:gridSpan w:val="2"/>
          </w:tcPr>
          <w:p w14:paraId="21FEA583" w14:textId="77777777" w:rsidR="000D1EE4" w:rsidRPr="00A72DD6" w:rsidRDefault="00E50850" w:rsidP="00A72DD6">
            <w:pPr>
              <w:spacing w:before="60" w:after="60" w:line="260" w:lineRule="exact"/>
              <w:jc w:val="left"/>
              <w:rPr>
                <w:b/>
                <w:bCs/>
                <w:rtl/>
                <w:lang w:bidi="ar-EG"/>
              </w:rPr>
            </w:pPr>
            <w:r w:rsidRPr="00A72DD6">
              <w:rPr>
                <w:rFonts w:eastAsia="SimSun"/>
                <w:b/>
                <w:bCs/>
                <w:rtl/>
                <w:lang w:bidi="ar-EG"/>
              </w:rPr>
              <w:t>الإضافة 2</w:t>
            </w:r>
            <w:r w:rsidRPr="00A72DD6">
              <w:rPr>
                <w:rFonts w:eastAsia="SimSun"/>
                <w:b/>
                <w:bCs/>
                <w:rtl/>
                <w:lang w:bidi="ar-EG"/>
              </w:rPr>
              <w:br/>
              <w:t xml:space="preserve">للوثيقة </w:t>
            </w:r>
            <w:r w:rsidRPr="00A72DD6">
              <w:rPr>
                <w:rFonts w:eastAsia="SimSun"/>
                <w:b/>
                <w:bCs/>
              </w:rPr>
              <w:t>44(Add.</w:t>
            </w:r>
            <w:proofErr w:type="gramStart"/>
            <w:r w:rsidRPr="00A72DD6">
              <w:rPr>
                <w:rFonts w:eastAsia="SimSun"/>
                <w:b/>
                <w:bCs/>
              </w:rPr>
              <w:t>22)-</w:t>
            </w:r>
            <w:proofErr w:type="gramEnd"/>
            <w:r w:rsidRPr="00A72DD6">
              <w:rPr>
                <w:rFonts w:eastAsia="SimSun"/>
                <w:b/>
                <w:bCs/>
              </w:rPr>
              <w:t>A</w:t>
            </w:r>
          </w:p>
        </w:tc>
      </w:tr>
      <w:tr w:rsidR="000D1EE4" w:rsidRPr="000D1EE4" w14:paraId="2306059F" w14:textId="77777777" w:rsidTr="00752552">
        <w:trPr>
          <w:cantSplit/>
        </w:trPr>
        <w:tc>
          <w:tcPr>
            <w:tcW w:w="6696" w:type="dxa"/>
            <w:gridSpan w:val="2"/>
          </w:tcPr>
          <w:p w14:paraId="1026B517" w14:textId="77777777" w:rsidR="000D1EE4" w:rsidRPr="00A72DD6" w:rsidRDefault="000D1EE4" w:rsidP="000D1EE4">
            <w:pPr>
              <w:spacing w:before="60" w:after="60" w:line="260" w:lineRule="exact"/>
              <w:rPr>
                <w:b/>
                <w:bCs/>
                <w:rtl/>
                <w:lang w:bidi="ar-EG"/>
              </w:rPr>
            </w:pPr>
          </w:p>
        </w:tc>
        <w:tc>
          <w:tcPr>
            <w:tcW w:w="2970" w:type="dxa"/>
            <w:gridSpan w:val="2"/>
          </w:tcPr>
          <w:p w14:paraId="37FDE9FB" w14:textId="77777777" w:rsidR="000D1EE4" w:rsidRPr="00A72DD6" w:rsidRDefault="00E50850" w:rsidP="000D1EE4">
            <w:pPr>
              <w:spacing w:before="60" w:after="60" w:line="260" w:lineRule="exact"/>
              <w:rPr>
                <w:b/>
                <w:bCs/>
                <w:rtl/>
                <w:lang w:bidi="ar-EG"/>
              </w:rPr>
            </w:pPr>
            <w:r w:rsidRPr="00A72DD6">
              <w:rPr>
                <w:rFonts w:eastAsia="SimSun"/>
                <w:b/>
                <w:bCs/>
              </w:rPr>
              <w:t>13</w:t>
            </w:r>
            <w:r w:rsidRPr="00A72DD6">
              <w:rPr>
                <w:rFonts w:eastAsia="SimSun"/>
                <w:b/>
                <w:bCs/>
                <w:rtl/>
              </w:rPr>
              <w:t xml:space="preserve"> أكتوبر </w:t>
            </w:r>
            <w:r w:rsidRPr="00A72DD6">
              <w:rPr>
                <w:rFonts w:eastAsia="SimSun"/>
                <w:b/>
                <w:bCs/>
              </w:rPr>
              <w:t>2023</w:t>
            </w:r>
          </w:p>
        </w:tc>
      </w:tr>
      <w:tr w:rsidR="000D1EE4" w:rsidRPr="000D1EE4" w14:paraId="5200CB17" w14:textId="77777777" w:rsidTr="00752552">
        <w:trPr>
          <w:cantSplit/>
        </w:trPr>
        <w:tc>
          <w:tcPr>
            <w:tcW w:w="6696" w:type="dxa"/>
            <w:gridSpan w:val="2"/>
          </w:tcPr>
          <w:p w14:paraId="39126A85" w14:textId="77777777" w:rsidR="000D1EE4" w:rsidRPr="00A72DD6" w:rsidRDefault="000D1EE4" w:rsidP="000D1EE4">
            <w:pPr>
              <w:spacing w:before="60" w:after="60" w:line="260" w:lineRule="exact"/>
              <w:rPr>
                <w:b/>
                <w:bCs/>
                <w:rtl/>
                <w:lang w:bidi="ar-EG"/>
              </w:rPr>
            </w:pPr>
          </w:p>
        </w:tc>
        <w:tc>
          <w:tcPr>
            <w:tcW w:w="2970" w:type="dxa"/>
            <w:gridSpan w:val="2"/>
          </w:tcPr>
          <w:p w14:paraId="128D4E48" w14:textId="77777777" w:rsidR="000D1EE4" w:rsidRPr="00A72DD6" w:rsidRDefault="00E50850" w:rsidP="000D1EE4">
            <w:pPr>
              <w:spacing w:before="60" w:after="60" w:line="260" w:lineRule="exact"/>
              <w:rPr>
                <w:b/>
                <w:bCs/>
                <w:lang w:bidi="ar-EG"/>
              </w:rPr>
            </w:pPr>
            <w:r w:rsidRPr="00A72DD6">
              <w:rPr>
                <w:b/>
                <w:bCs/>
                <w:rtl/>
                <w:lang w:bidi="ar-EG"/>
              </w:rPr>
              <w:t>الأصل: بالإنكليزية</w:t>
            </w:r>
          </w:p>
        </w:tc>
      </w:tr>
      <w:tr w:rsidR="000D1EE4" w:rsidRPr="000D1EE4" w14:paraId="493C2989" w14:textId="77777777" w:rsidTr="00752552">
        <w:trPr>
          <w:cantSplit/>
        </w:trPr>
        <w:tc>
          <w:tcPr>
            <w:tcW w:w="9666" w:type="dxa"/>
            <w:gridSpan w:val="4"/>
          </w:tcPr>
          <w:p w14:paraId="037C0E45" w14:textId="77777777" w:rsidR="000D1EE4" w:rsidRPr="000D1EE4" w:rsidRDefault="000D1EE4" w:rsidP="000D1EE4">
            <w:pPr>
              <w:rPr>
                <w:b/>
                <w:bCs/>
                <w:lang w:bidi="ar-EG"/>
              </w:rPr>
            </w:pPr>
          </w:p>
        </w:tc>
      </w:tr>
      <w:tr w:rsidR="000D1EE4" w:rsidRPr="000D1EE4" w14:paraId="69C75BE3" w14:textId="77777777" w:rsidTr="00752552">
        <w:trPr>
          <w:cantSplit/>
        </w:trPr>
        <w:tc>
          <w:tcPr>
            <w:tcW w:w="9666" w:type="dxa"/>
            <w:gridSpan w:val="4"/>
          </w:tcPr>
          <w:p w14:paraId="241236A7" w14:textId="2FB6ABC5"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15C7C176" w14:textId="77777777" w:rsidTr="00752552">
        <w:trPr>
          <w:cantSplit/>
        </w:trPr>
        <w:tc>
          <w:tcPr>
            <w:tcW w:w="9666" w:type="dxa"/>
            <w:gridSpan w:val="4"/>
          </w:tcPr>
          <w:p w14:paraId="201D0EA6" w14:textId="77777777" w:rsidR="000D1EE4" w:rsidRPr="000D1EE4" w:rsidRDefault="00A72DD6" w:rsidP="000D1EE4">
            <w:pPr>
              <w:pStyle w:val="Title1"/>
              <w:rPr>
                <w:rtl/>
              </w:rPr>
            </w:pPr>
            <w:r>
              <w:rPr>
                <w:rFonts w:hint="cs"/>
                <w:rtl/>
              </w:rPr>
              <w:t>مقترحات بشأن أعمال المؤتمر</w:t>
            </w:r>
          </w:p>
        </w:tc>
      </w:tr>
      <w:tr w:rsidR="000D1EE4" w:rsidRPr="000D1EE4" w14:paraId="0B14385C" w14:textId="77777777" w:rsidTr="00752552">
        <w:trPr>
          <w:cantSplit/>
        </w:trPr>
        <w:tc>
          <w:tcPr>
            <w:tcW w:w="9666" w:type="dxa"/>
            <w:gridSpan w:val="4"/>
          </w:tcPr>
          <w:p w14:paraId="2B558676" w14:textId="77777777" w:rsidR="000D1EE4" w:rsidRPr="000D1EE4" w:rsidRDefault="000D1EE4" w:rsidP="000D1EE4">
            <w:pPr>
              <w:pStyle w:val="Title2"/>
              <w:rPr>
                <w:rtl/>
              </w:rPr>
            </w:pPr>
          </w:p>
        </w:tc>
      </w:tr>
      <w:tr w:rsidR="00E50850" w:rsidRPr="000D1EE4" w14:paraId="492F3B95" w14:textId="77777777" w:rsidTr="00752552">
        <w:trPr>
          <w:cantSplit/>
        </w:trPr>
        <w:tc>
          <w:tcPr>
            <w:tcW w:w="9666" w:type="dxa"/>
            <w:gridSpan w:val="4"/>
          </w:tcPr>
          <w:p w14:paraId="21C2CC95" w14:textId="7DAA4A5E" w:rsidR="00E50850" w:rsidRPr="00A72DD6" w:rsidRDefault="00E50850" w:rsidP="00E50850">
            <w:pPr>
              <w:pStyle w:val="Agendaitem"/>
              <w:rPr>
                <w:rtl/>
                <w:lang w:val="en-US" w:bidi="ar-SA"/>
              </w:rPr>
            </w:pPr>
            <w:r>
              <w:rPr>
                <w:rtl/>
              </w:rPr>
              <w:t>‎‎‎‎‎‎بند جدول الأعمال</w:t>
            </w:r>
            <w:r w:rsidR="00A72DD6">
              <w:rPr>
                <w:rFonts w:hint="cs"/>
                <w:rtl/>
              </w:rPr>
              <w:t xml:space="preserve"> </w:t>
            </w:r>
            <w:r w:rsidR="00D74B4E">
              <w:t>7(B)</w:t>
            </w:r>
          </w:p>
        </w:tc>
      </w:tr>
    </w:tbl>
    <w:p w14:paraId="340D9999" w14:textId="24C1F0BE" w:rsidR="003B3E91" w:rsidRPr="00EF1E29" w:rsidRDefault="003B3E91" w:rsidP="000B0C28">
      <w:pPr>
        <w:pStyle w:val="Normalaftertitle"/>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وفقاً للقرار</w:t>
      </w:r>
      <w:r w:rsidR="0089626C">
        <w:rPr>
          <w:rFonts w:hint="cs"/>
          <w:rtl/>
        </w:rPr>
        <w:t> </w:t>
      </w:r>
      <w:r w:rsidRPr="00A01660">
        <w:rPr>
          <w:b/>
          <w:bCs/>
        </w:rPr>
        <w:t>86 (Rev.WRC</w:t>
      </w:r>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08CA4D97" w14:textId="77777777" w:rsidR="003B3E91" w:rsidRPr="000B0C28" w:rsidRDefault="003B3E91" w:rsidP="0046084B">
      <w:pPr>
        <w:rPr>
          <w:spacing w:val="-2"/>
          <w:rtl/>
          <w:lang w:bidi="ar-EG"/>
        </w:rPr>
      </w:pPr>
      <w:r w:rsidRPr="000B0C28">
        <w:rPr>
          <w:spacing w:val="-2"/>
          <w:lang w:bidi="ar-EG"/>
        </w:rPr>
        <w:t>7(B)</w:t>
      </w:r>
      <w:r w:rsidRPr="000B0C28">
        <w:rPr>
          <w:spacing w:val="-2"/>
          <w:rtl/>
          <w:lang w:bidi="ar-EG"/>
        </w:rPr>
        <w:tab/>
      </w:r>
      <w:r w:rsidRPr="000B0C28">
        <w:rPr>
          <w:rFonts w:hint="cs"/>
          <w:spacing w:val="-2"/>
          <w:rtl/>
          <w:lang w:bidi="ar-EG"/>
        </w:rPr>
        <w:t xml:space="preserve">الموضوع </w:t>
      </w:r>
      <w:r w:rsidRPr="000B0C28">
        <w:rPr>
          <w:spacing w:val="-2"/>
          <w:lang w:bidi="ar-EG"/>
        </w:rPr>
        <w:t>B</w:t>
      </w:r>
      <w:r w:rsidRPr="000B0C28">
        <w:rPr>
          <w:rFonts w:hint="cs"/>
          <w:spacing w:val="-2"/>
          <w:rtl/>
          <w:lang w:bidi="ar-EG"/>
        </w:rPr>
        <w:t xml:space="preserve"> - إجراء المتعلق بما بعد المراحل فيما يخص وضع الأنظمة غير المستقرة بالنسبة إلى الأرض في الخدمة</w:t>
      </w:r>
      <w:r w:rsidRPr="000B0C28">
        <w:rPr>
          <w:spacing w:val="-2"/>
          <w:lang w:bidi="ar-EG"/>
        </w:rPr>
        <w:t xml:space="preserve"> </w:t>
      </w:r>
    </w:p>
    <w:p w14:paraId="540F4683" w14:textId="1F30A30B" w:rsidR="003B3E91" w:rsidRPr="00DF5253" w:rsidRDefault="00204D26" w:rsidP="00204D26">
      <w:pPr>
        <w:pStyle w:val="Headingb"/>
        <w:rPr>
          <w:lang w:bidi="ar-SA"/>
        </w:rPr>
      </w:pPr>
      <w:r w:rsidRPr="002C2DAD">
        <w:rPr>
          <w:rFonts w:hint="cs"/>
          <w:rtl/>
          <w:lang w:bidi="ar-SA"/>
        </w:rPr>
        <w:t>خلفية</w:t>
      </w:r>
    </w:p>
    <w:p w14:paraId="6910F351" w14:textId="67BA455B" w:rsidR="00417E14" w:rsidRDefault="002E6B9D" w:rsidP="00D74B4E">
      <w:pPr>
        <w:rPr>
          <w:rtl/>
        </w:rPr>
      </w:pPr>
      <w:r>
        <w:rPr>
          <w:rFonts w:hint="cs"/>
          <w:rtl/>
          <w:lang w:bidi="ar-SY"/>
        </w:rPr>
        <w:t xml:space="preserve">وافق </w:t>
      </w:r>
      <w:r w:rsidRPr="002E6B9D">
        <w:rPr>
          <w:rtl/>
          <w:lang w:bidi="ar-SY"/>
        </w:rPr>
        <w:t>المؤتمر العالمي للاتصالات الراديوية</w:t>
      </w:r>
      <w:r>
        <w:rPr>
          <w:rFonts w:hint="cs"/>
          <w:rtl/>
          <w:lang w:bidi="ar-SY"/>
        </w:rPr>
        <w:t xml:space="preserve"> لعام 2019 </w:t>
      </w:r>
      <w:r>
        <w:rPr>
          <w:lang w:val="fr-FR" w:bidi="ar-SY"/>
        </w:rPr>
        <w:t>(WRC-19)</w:t>
      </w:r>
      <w:r>
        <w:rPr>
          <w:rFonts w:hint="cs"/>
          <w:rtl/>
          <w:lang w:bidi="ar-EG"/>
        </w:rPr>
        <w:t xml:space="preserve"> على</w:t>
      </w:r>
      <w:r w:rsidR="00D74B4E" w:rsidRPr="00D74B4E">
        <w:rPr>
          <w:rtl/>
          <w:lang w:bidi="ar-SY"/>
        </w:rPr>
        <w:t xml:space="preserve"> </w:t>
      </w:r>
      <w:r w:rsidR="00D74B4E" w:rsidRPr="00D74B4E">
        <w:rPr>
          <w:rtl/>
        </w:rPr>
        <w:t xml:space="preserve">القرار </w:t>
      </w:r>
      <w:r w:rsidR="00D74B4E" w:rsidRPr="00D74B4E">
        <w:rPr>
          <w:b/>
          <w:bCs/>
        </w:rPr>
        <w:t>35 (WRC</w:t>
      </w:r>
      <w:r w:rsidR="00D74B4E" w:rsidRPr="00D74B4E">
        <w:rPr>
          <w:b/>
          <w:bCs/>
        </w:rPr>
        <w:noBreakHyphen/>
        <w:t>19)</w:t>
      </w:r>
      <w:r w:rsidR="00D74B4E" w:rsidRPr="00D74B4E">
        <w:rPr>
          <w:rFonts w:hint="cs"/>
          <w:rtl/>
        </w:rPr>
        <w:t>،</w:t>
      </w:r>
      <w:r w:rsidR="00D74B4E" w:rsidRPr="00D74B4E">
        <w:rPr>
          <w:rtl/>
        </w:rPr>
        <w:t xml:space="preserve"> </w:t>
      </w:r>
      <w:bookmarkStart w:id="1" w:name="_Toc36038288"/>
      <w:bookmarkStart w:id="2" w:name="_Toc40075681"/>
      <w:r w:rsidR="00D74B4E" w:rsidRPr="00D74B4E">
        <w:rPr>
          <w:rtl/>
        </w:rPr>
        <w:t>"نهج قائم على مراحل لتنفيذ تخصيصات التردد للمحطات الفضائية في نظام ساتلي غير مستقر بالنسبة إلى الأرض في نطاقات تردد وخدمات محددة</w:t>
      </w:r>
      <w:bookmarkEnd w:id="1"/>
      <w:bookmarkEnd w:id="2"/>
      <w:r w:rsidR="00D74B4E" w:rsidRPr="00D74B4E">
        <w:rPr>
          <w:rtl/>
        </w:rPr>
        <w:t>"</w:t>
      </w:r>
    </w:p>
    <w:p w14:paraId="6310F3F8" w14:textId="33136949" w:rsidR="00A37286" w:rsidRDefault="00944A85" w:rsidP="00C72F14">
      <w:pPr>
        <w:rPr>
          <w:rtl/>
        </w:rPr>
      </w:pPr>
      <w:r w:rsidRPr="00944A85">
        <w:rPr>
          <w:rtl/>
        </w:rPr>
        <w:t xml:space="preserve">ويتعلق أحد الجوانب التي </w:t>
      </w:r>
      <w:proofErr w:type="gramStart"/>
      <w:r w:rsidRPr="00944A85">
        <w:rPr>
          <w:rFonts w:hint="cs"/>
          <w:rtl/>
        </w:rPr>
        <w:t>أُثيرت</w:t>
      </w:r>
      <w:proofErr w:type="gramEnd"/>
      <w:r w:rsidRPr="00944A85">
        <w:rPr>
          <w:rtl/>
        </w:rPr>
        <w:t xml:space="preserve"> ولكن لم يتم تناولها بالمعنى التنظيمي في القرار، بالحالة التي يكون فيها نظام غير مستقر بالنسبة إلى الأرض قد أكمل عملية المراحل وتعرض لاحقاً لتخفيض متوسط أو طويل الأجل لعدد السواتل المنتشرة.</w:t>
      </w:r>
      <w:r w:rsidR="00C65F30">
        <w:rPr>
          <w:rFonts w:hint="cs"/>
          <w:rtl/>
        </w:rPr>
        <w:t xml:space="preserve"> </w:t>
      </w:r>
      <w:r w:rsidR="00C72F14">
        <w:rPr>
          <w:rFonts w:hint="cs"/>
          <w:rtl/>
        </w:rPr>
        <w:t xml:space="preserve">وفي هذا السياق، </w:t>
      </w:r>
      <w:r w:rsidR="00A37286" w:rsidRPr="00A37286">
        <w:rPr>
          <w:rtl/>
        </w:rPr>
        <w:t xml:space="preserve">يتناول الموضوع </w:t>
      </w:r>
      <w:r w:rsidR="00A37286" w:rsidRPr="00A37286">
        <w:t>B</w:t>
      </w:r>
      <w:r w:rsidR="00A37286" w:rsidRPr="00A37286">
        <w:rPr>
          <w:rtl/>
        </w:rPr>
        <w:t xml:space="preserve"> الخاص بالبند </w:t>
      </w:r>
      <w:r w:rsidR="00A37286" w:rsidRPr="00A37286">
        <w:t>7</w:t>
      </w:r>
      <w:r w:rsidR="00A37286" w:rsidRPr="00A37286">
        <w:rPr>
          <w:rtl/>
        </w:rPr>
        <w:t xml:space="preserve"> من جدول أعمال المؤتمر </w:t>
      </w:r>
      <w:r w:rsidR="00A37286" w:rsidRPr="00A37286">
        <w:t>WRC-23</w:t>
      </w:r>
      <w:r w:rsidR="00A37286" w:rsidRPr="00A37286">
        <w:rPr>
          <w:rtl/>
        </w:rPr>
        <w:t xml:space="preserve"> إمكانية اعتماد إجراء </w:t>
      </w:r>
      <w:r w:rsidR="00C72F14" w:rsidRPr="00C72F14">
        <w:rPr>
          <w:rtl/>
        </w:rPr>
        <w:t>يجب أن تتبعه الإدارات ومكتب الاتصالات الراديوية (</w:t>
      </w:r>
      <w:r w:rsidR="00C72F14" w:rsidRPr="00C72F14">
        <w:t>BR</w:t>
      </w:r>
      <w:r w:rsidR="00C72F14" w:rsidRPr="00C72F14">
        <w:rPr>
          <w:rtl/>
        </w:rPr>
        <w:t xml:space="preserve">) لتطبيقه </w:t>
      </w:r>
      <w:r w:rsidR="00A37286" w:rsidRPr="00A37286">
        <w:rPr>
          <w:rtl/>
        </w:rPr>
        <w:t xml:space="preserve">في الحالات التي يكون فيها نظام ما غير مستقر بالنسبة إلى الأرض يخضع للإجراء المحدد في القرار </w:t>
      </w:r>
      <w:r w:rsidR="00A37286" w:rsidRPr="00A37286">
        <w:rPr>
          <w:b/>
          <w:bCs/>
          <w:rtl/>
        </w:rPr>
        <w:t>(</w:t>
      </w:r>
      <w:r w:rsidR="00A37286" w:rsidRPr="00A37286">
        <w:rPr>
          <w:b/>
          <w:bCs/>
        </w:rPr>
        <w:t>WRC-19</w:t>
      </w:r>
      <w:r w:rsidR="00A37286" w:rsidRPr="00A37286">
        <w:rPr>
          <w:b/>
          <w:bCs/>
          <w:rtl/>
        </w:rPr>
        <w:t>) 35</w:t>
      </w:r>
      <w:r w:rsidR="00A37286" w:rsidRPr="00A37286">
        <w:rPr>
          <w:rtl/>
        </w:rPr>
        <w:t xml:space="preserve"> قد أكمل إجراء المراحل، ولكنه يواجه بعد ذلك تخفيضاً متواصلاً في عدد المحطات الفضائية المنتشرة والقادرة على إرسال/استقبال الترددات المخصصة.</w:t>
      </w:r>
    </w:p>
    <w:p w14:paraId="680BFEE9" w14:textId="3762C078" w:rsidR="007545ED" w:rsidRDefault="002C7D78" w:rsidP="007545ED">
      <w:pPr>
        <w:rPr>
          <w:rtl/>
        </w:rPr>
      </w:pPr>
      <w:r>
        <w:rPr>
          <w:rFonts w:hint="cs"/>
          <w:rtl/>
        </w:rPr>
        <w:t>و</w:t>
      </w:r>
      <w:r w:rsidRPr="002C7D78">
        <w:rPr>
          <w:rtl/>
        </w:rPr>
        <w:t xml:space="preserve">أدرج المؤتمر </w:t>
      </w:r>
      <w:r w:rsidRPr="002C7D78">
        <w:t>WRC-19</w:t>
      </w:r>
      <w:r w:rsidRPr="002C7D78">
        <w:rPr>
          <w:rtl/>
        </w:rPr>
        <w:t xml:space="preserve"> الفقرة </w:t>
      </w:r>
      <w:r w:rsidR="00A94570" w:rsidRPr="00A94570">
        <w:rPr>
          <w:rtl/>
        </w:rPr>
        <w:t>19 من "</w:t>
      </w:r>
      <w:r w:rsidR="00A94570" w:rsidRPr="00A94570">
        <w:rPr>
          <w:i/>
          <w:iCs/>
          <w:rtl/>
        </w:rPr>
        <w:t>يقرر</w:t>
      </w:r>
      <w:r w:rsidR="00A94570" w:rsidRPr="00A94570">
        <w:rPr>
          <w:rtl/>
        </w:rPr>
        <w:t>" في القرار </w:t>
      </w:r>
      <w:r w:rsidR="00A94570" w:rsidRPr="00A94570">
        <w:rPr>
          <w:b/>
          <w:bCs/>
          <w:rtl/>
        </w:rPr>
        <w:t>(</w:t>
      </w:r>
      <w:r w:rsidR="00A94570" w:rsidRPr="00A94570">
        <w:rPr>
          <w:b/>
          <w:bCs/>
        </w:rPr>
        <w:t>WRC-19</w:t>
      </w:r>
      <w:r w:rsidR="00A94570" w:rsidRPr="00A94570">
        <w:rPr>
          <w:b/>
          <w:bCs/>
          <w:rtl/>
        </w:rPr>
        <w:t>)</w:t>
      </w:r>
      <w:r w:rsidR="00A94570" w:rsidRPr="00A94570">
        <w:t> </w:t>
      </w:r>
      <w:r w:rsidR="00A94570" w:rsidRPr="00A94570">
        <w:rPr>
          <w:b/>
          <w:bCs/>
          <w:rtl/>
        </w:rPr>
        <w:t>35</w:t>
      </w:r>
      <w:r w:rsidR="00A94570" w:rsidRPr="00A94570">
        <w:rPr>
          <w:rtl/>
        </w:rPr>
        <w:t xml:space="preserve"> </w:t>
      </w:r>
      <w:r>
        <w:rPr>
          <w:rFonts w:hint="cs"/>
          <w:rtl/>
        </w:rPr>
        <w:t xml:space="preserve">التي </w:t>
      </w:r>
      <w:r w:rsidR="00A94570" w:rsidRPr="00A94570">
        <w:rPr>
          <w:rtl/>
        </w:rPr>
        <w:t xml:space="preserve">تطلب من الإدارة المبلغة إبلاغ مكتب الاتصالات الراديوية "لأغراض العلم فقط" بالتاريخ الذي تم فيه لأول مرة </w:t>
      </w:r>
      <w:r w:rsidR="00A94570" w:rsidRPr="00A94570">
        <w:rPr>
          <w:rFonts w:hint="cs"/>
          <w:rtl/>
        </w:rPr>
        <w:t>"</w:t>
      </w:r>
      <w:r w:rsidR="00A94570" w:rsidRPr="00A94570">
        <w:rPr>
          <w:rtl/>
        </w:rPr>
        <w:t>تجاوز</w:t>
      </w:r>
      <w:r w:rsidR="00A94570" w:rsidRPr="00A94570">
        <w:rPr>
          <w:rFonts w:hint="cs"/>
          <w:rtl/>
        </w:rPr>
        <w:t>"</w:t>
      </w:r>
      <w:r w:rsidR="00A94570" w:rsidRPr="00A94570">
        <w:rPr>
          <w:rtl/>
        </w:rPr>
        <w:t xml:space="preserve"> </w:t>
      </w:r>
      <w:r>
        <w:rPr>
          <w:rFonts w:hint="cs"/>
          <w:rtl/>
        </w:rPr>
        <w:t>عتبة التخفيض</w:t>
      </w:r>
      <w:r w:rsidR="00A94570" w:rsidRPr="00A94570">
        <w:rPr>
          <w:rtl/>
        </w:rPr>
        <w:t xml:space="preserve"> (</w:t>
      </w:r>
      <w:r w:rsidR="00A94570" w:rsidRPr="00A94570">
        <w:t>%95</w:t>
      </w:r>
      <w:r w:rsidR="00A94570" w:rsidRPr="00A94570">
        <w:rPr>
          <w:rtl/>
        </w:rPr>
        <w:t xml:space="preserve"> </w:t>
      </w:r>
      <w:r w:rsidRPr="002C7D78">
        <w:rPr>
          <w:rtl/>
        </w:rPr>
        <w:t>من عدد المحطات الفضائية المبلغ عنها في النظام،</w:t>
      </w:r>
      <w:r>
        <w:rPr>
          <w:rFonts w:hint="cs"/>
          <w:rtl/>
        </w:rPr>
        <w:t xml:space="preserve"> </w:t>
      </w:r>
      <w:r w:rsidR="00A94570" w:rsidRPr="00A94570">
        <w:rPr>
          <w:rtl/>
        </w:rPr>
        <w:t>مقرباً نزولاً نحو العدد الصحيح الأدنى، ناقص واحد).</w:t>
      </w:r>
      <w:r w:rsidR="007545ED">
        <w:rPr>
          <w:rFonts w:hint="cs"/>
          <w:rtl/>
        </w:rPr>
        <w:t xml:space="preserve"> </w:t>
      </w:r>
      <w:r w:rsidR="007545ED">
        <w:rPr>
          <w:rtl/>
        </w:rPr>
        <w:t>(</w:t>
      </w:r>
      <w:r w:rsidR="00A93A62">
        <w:rPr>
          <w:rFonts w:hint="cs"/>
          <w:rtl/>
        </w:rPr>
        <w:t>(إن</w:t>
      </w:r>
      <w:r w:rsidR="007545ED">
        <w:rPr>
          <w:rtl/>
        </w:rPr>
        <w:t xml:space="preserve"> الإبلاغ </w:t>
      </w:r>
      <w:r w:rsidR="00A93A62">
        <w:rPr>
          <w:rFonts w:hint="cs"/>
          <w:rtl/>
        </w:rPr>
        <w:t xml:space="preserve">أمر ضروري </w:t>
      </w:r>
      <w:r w:rsidR="007545ED">
        <w:rPr>
          <w:rtl/>
        </w:rPr>
        <w:t>إذا ظل العدد أقل من العتبة لمدة ستة أشهر متواصلة.) وعلاوة</w:t>
      </w:r>
      <w:r w:rsidR="00A93A62">
        <w:rPr>
          <w:rFonts w:hint="cs"/>
          <w:rtl/>
        </w:rPr>
        <w:t>ً</w:t>
      </w:r>
      <w:r w:rsidR="007545ED">
        <w:rPr>
          <w:rtl/>
        </w:rPr>
        <w:t xml:space="preserve"> على ذلك، إذا كان </w:t>
      </w:r>
      <w:r w:rsidR="00A93A62">
        <w:rPr>
          <w:rFonts w:hint="cs"/>
          <w:rtl/>
        </w:rPr>
        <w:t>الأمر</w:t>
      </w:r>
      <w:r w:rsidR="007545ED">
        <w:rPr>
          <w:rtl/>
        </w:rPr>
        <w:t xml:space="preserve"> مناسباً وقابلاً للتطبيق، </w:t>
      </w:r>
      <w:r w:rsidR="00C82AB3" w:rsidRPr="00C82AB3">
        <w:rPr>
          <w:rtl/>
        </w:rPr>
        <w:t xml:space="preserve">تنص الفقرة </w:t>
      </w:r>
      <w:r w:rsidR="00D00FB5" w:rsidRPr="00C82AB3">
        <w:rPr>
          <w:rFonts w:hint="cs"/>
          <w:rtl/>
        </w:rPr>
        <w:t xml:space="preserve">ذاتها </w:t>
      </w:r>
      <w:r w:rsidR="00D00FB5">
        <w:rPr>
          <w:rFonts w:hint="cs"/>
          <w:rtl/>
        </w:rPr>
        <w:t>من</w:t>
      </w:r>
      <w:r w:rsidR="00C82AB3">
        <w:rPr>
          <w:rFonts w:hint="cs"/>
          <w:rtl/>
        </w:rPr>
        <w:t xml:space="preserve"> </w:t>
      </w:r>
      <w:r w:rsidR="00A93A62" w:rsidRPr="00A94570">
        <w:rPr>
          <w:rtl/>
        </w:rPr>
        <w:t>"</w:t>
      </w:r>
      <w:r w:rsidR="00A93A62" w:rsidRPr="00A94570">
        <w:rPr>
          <w:i/>
          <w:iCs/>
          <w:rtl/>
        </w:rPr>
        <w:t>يقرر</w:t>
      </w:r>
      <w:r w:rsidR="00A93A62" w:rsidRPr="00A94570">
        <w:rPr>
          <w:rtl/>
        </w:rPr>
        <w:t xml:space="preserve">" </w:t>
      </w:r>
      <w:r w:rsidR="007545ED">
        <w:rPr>
          <w:rtl/>
        </w:rPr>
        <w:t xml:space="preserve">على أنه ينبغي للإدارة المبلغة أيضاً أن تبلغ مكتب الاتصالات الراديوية </w:t>
      </w:r>
      <w:r w:rsidR="00D00FB5">
        <w:rPr>
          <w:rFonts w:hint="cs"/>
          <w:rtl/>
        </w:rPr>
        <w:t>ب</w:t>
      </w:r>
      <w:r w:rsidR="00D00FB5" w:rsidRPr="00D00FB5">
        <w:rPr>
          <w:rtl/>
        </w:rPr>
        <w:t>تاريخ استئناف نشر العدد الإجمالي للسواتل</w:t>
      </w:r>
      <w:r w:rsidR="007545ED">
        <w:rPr>
          <w:rtl/>
        </w:rPr>
        <w:t xml:space="preserve">. </w:t>
      </w:r>
      <w:r w:rsidR="00D00FB5">
        <w:rPr>
          <w:rFonts w:hint="cs"/>
          <w:rtl/>
        </w:rPr>
        <w:t>وينشر</w:t>
      </w:r>
      <w:r w:rsidR="007545ED">
        <w:rPr>
          <w:rtl/>
        </w:rPr>
        <w:t xml:space="preserve"> مكتب الاتصالات الراديوية جميع المعلومات التي يتلقاها بموجب </w:t>
      </w:r>
      <w:r w:rsidR="00D00FB5" w:rsidRPr="002C7D78">
        <w:rPr>
          <w:rtl/>
        </w:rPr>
        <w:t xml:space="preserve">الفقرة </w:t>
      </w:r>
      <w:r w:rsidR="00D00FB5" w:rsidRPr="00A94570">
        <w:rPr>
          <w:rtl/>
        </w:rPr>
        <w:t>19 من "</w:t>
      </w:r>
      <w:r w:rsidR="00D00FB5" w:rsidRPr="00A94570">
        <w:rPr>
          <w:i/>
          <w:iCs/>
          <w:rtl/>
        </w:rPr>
        <w:t>يقرر</w:t>
      </w:r>
      <w:r w:rsidR="00D00FB5" w:rsidRPr="00A94570">
        <w:rPr>
          <w:rtl/>
        </w:rPr>
        <w:t xml:space="preserve">" </w:t>
      </w:r>
      <w:r w:rsidR="007545ED">
        <w:rPr>
          <w:rtl/>
        </w:rPr>
        <w:t xml:space="preserve">على موقعه </w:t>
      </w:r>
      <w:r w:rsidR="007238B2">
        <w:rPr>
          <w:rFonts w:hint="cs"/>
          <w:rtl/>
        </w:rPr>
        <w:t>الإلكتروني</w:t>
      </w:r>
      <w:r w:rsidR="007545ED">
        <w:rPr>
          <w:rtl/>
        </w:rPr>
        <w:t>.</w:t>
      </w:r>
    </w:p>
    <w:p w14:paraId="2F3F2768" w14:textId="04665966" w:rsidR="007545ED" w:rsidRDefault="00EC47A6" w:rsidP="008350B4">
      <w:pPr>
        <w:rPr>
          <w:rtl/>
        </w:rPr>
      </w:pPr>
      <w:r>
        <w:rPr>
          <w:rFonts w:hint="cs"/>
          <w:rtl/>
        </w:rPr>
        <w:lastRenderedPageBreak/>
        <w:t>و</w:t>
      </w:r>
      <w:r w:rsidRPr="008350B4">
        <w:rPr>
          <w:rFonts w:hint="cs"/>
          <w:rtl/>
        </w:rPr>
        <w:t>لم</w:t>
      </w:r>
      <w:r w:rsidR="008350B4">
        <w:rPr>
          <w:rtl/>
        </w:rPr>
        <w:t xml:space="preserve"> يتلق المكتب</w:t>
      </w:r>
      <w:r w:rsidR="008350B4">
        <w:rPr>
          <w:rFonts w:hint="cs"/>
          <w:rtl/>
        </w:rPr>
        <w:t xml:space="preserve">، حتى </w:t>
      </w:r>
      <w:r w:rsidR="007545ED">
        <w:rPr>
          <w:rtl/>
        </w:rPr>
        <w:t>30 سبتمبر 2022،</w:t>
      </w:r>
      <w:r w:rsidR="008350B4" w:rsidRPr="008350B4">
        <w:rPr>
          <w:rtl/>
        </w:rPr>
        <w:t xml:space="preserve"> </w:t>
      </w:r>
      <w:r w:rsidR="008350B4">
        <w:rPr>
          <w:rtl/>
        </w:rPr>
        <w:t>أي معلومات خاصة</w:t>
      </w:r>
      <w:r w:rsidR="007545ED">
        <w:rPr>
          <w:rtl/>
        </w:rPr>
        <w:t xml:space="preserve"> </w:t>
      </w:r>
      <w:r w:rsidR="008350B4">
        <w:rPr>
          <w:rFonts w:hint="cs"/>
          <w:rtl/>
        </w:rPr>
        <w:t>ب</w:t>
      </w:r>
      <w:r w:rsidR="008350B4" w:rsidRPr="002C7D78">
        <w:rPr>
          <w:rtl/>
        </w:rPr>
        <w:t xml:space="preserve">الفقرة </w:t>
      </w:r>
      <w:r w:rsidR="008350B4" w:rsidRPr="00A94570">
        <w:rPr>
          <w:rtl/>
        </w:rPr>
        <w:t>19 من "</w:t>
      </w:r>
      <w:r w:rsidR="008350B4" w:rsidRPr="00A94570">
        <w:rPr>
          <w:i/>
          <w:iCs/>
          <w:rtl/>
        </w:rPr>
        <w:t>يقرر</w:t>
      </w:r>
      <w:r w:rsidR="008350B4" w:rsidRPr="00A94570">
        <w:rPr>
          <w:rtl/>
        </w:rPr>
        <w:t>" في القرار </w:t>
      </w:r>
      <w:r w:rsidR="008350B4" w:rsidRPr="00A94570">
        <w:rPr>
          <w:b/>
          <w:bCs/>
          <w:rtl/>
        </w:rPr>
        <w:t>(</w:t>
      </w:r>
      <w:r w:rsidR="008350B4" w:rsidRPr="00A94570">
        <w:rPr>
          <w:b/>
          <w:bCs/>
        </w:rPr>
        <w:t>WRC-19</w:t>
      </w:r>
      <w:r w:rsidR="008350B4" w:rsidRPr="00A94570">
        <w:rPr>
          <w:b/>
          <w:bCs/>
          <w:rtl/>
        </w:rPr>
        <w:t>)</w:t>
      </w:r>
      <w:r w:rsidR="008350B4" w:rsidRPr="00A94570">
        <w:t> </w:t>
      </w:r>
      <w:r w:rsidR="008350B4" w:rsidRPr="00A94570">
        <w:rPr>
          <w:rFonts w:hint="cs"/>
          <w:b/>
          <w:bCs/>
          <w:rtl/>
        </w:rPr>
        <w:t>35</w:t>
      </w:r>
      <w:r w:rsidR="008350B4" w:rsidRPr="00A94570">
        <w:rPr>
          <w:rFonts w:hint="cs"/>
          <w:rtl/>
        </w:rPr>
        <w:t>،</w:t>
      </w:r>
      <w:r w:rsidR="007545ED">
        <w:rPr>
          <w:rtl/>
        </w:rPr>
        <w:t xml:space="preserve"> وبالتالي لم </w:t>
      </w:r>
      <w:r w:rsidR="008350B4">
        <w:rPr>
          <w:rFonts w:hint="cs"/>
          <w:rtl/>
        </w:rPr>
        <w:t>يقم بعملية النشر</w:t>
      </w:r>
      <w:r w:rsidR="007545ED">
        <w:rPr>
          <w:rtl/>
        </w:rPr>
        <w:t xml:space="preserve">. </w:t>
      </w:r>
      <w:r w:rsidR="008350B4">
        <w:rPr>
          <w:rFonts w:hint="cs"/>
          <w:rtl/>
        </w:rPr>
        <w:t>وتذكر الإضافة</w:t>
      </w:r>
      <w:r w:rsidR="007545ED">
        <w:rPr>
          <w:rtl/>
        </w:rPr>
        <w:t xml:space="preserve"> 2 لتقرير المدير </w:t>
      </w:r>
      <w:r w:rsidR="008350B4">
        <w:rPr>
          <w:rFonts w:hint="cs"/>
          <w:rtl/>
        </w:rPr>
        <w:t xml:space="preserve">المقدم </w:t>
      </w:r>
      <w:r w:rsidR="007545ED">
        <w:rPr>
          <w:rtl/>
        </w:rPr>
        <w:t xml:space="preserve">إلى </w:t>
      </w:r>
      <w:r w:rsidR="008350B4">
        <w:rPr>
          <w:rFonts w:hint="cs"/>
          <w:rtl/>
        </w:rPr>
        <w:t>الدورة الحادي</w:t>
      </w:r>
      <w:r w:rsidR="008350B4">
        <w:rPr>
          <w:rFonts w:hint="eastAsia"/>
          <w:rtl/>
        </w:rPr>
        <w:t>ة</w:t>
      </w:r>
      <w:r w:rsidR="007545ED">
        <w:rPr>
          <w:rtl/>
        </w:rPr>
        <w:t xml:space="preserve"> والتسعين</w:t>
      </w:r>
      <w:r w:rsidR="008350B4">
        <w:rPr>
          <w:rFonts w:hint="cs"/>
          <w:rtl/>
        </w:rPr>
        <w:t xml:space="preserve"> ل</w:t>
      </w:r>
      <w:r w:rsidR="008350B4">
        <w:rPr>
          <w:rtl/>
        </w:rPr>
        <w:t>لجنة لوائح الراديو</w:t>
      </w:r>
      <w:r w:rsidR="007545ED">
        <w:rPr>
          <w:rtl/>
        </w:rPr>
        <w:t xml:space="preserve"> </w:t>
      </w:r>
      <w:r w:rsidR="008350B4">
        <w:rPr>
          <w:rFonts w:hint="cs"/>
          <w:rtl/>
          <w:lang w:bidi="ar-EG"/>
        </w:rPr>
        <w:t>(</w:t>
      </w:r>
      <w:hyperlink r:id="rId15" w:history="1">
        <w:r w:rsidR="008350B4" w:rsidRPr="00A94570">
          <w:rPr>
            <w:rStyle w:val="Hyperlink"/>
            <w:rFonts w:ascii="Dubai" w:hAnsi="Dubai" w:cs="Dubai" w:hint="cs"/>
            <w:rtl/>
            <w:lang w:bidi="ar-EG"/>
          </w:rPr>
          <w:t xml:space="preserve">الوثيقة </w:t>
        </w:r>
        <w:r w:rsidR="008350B4" w:rsidRPr="00A94570">
          <w:rPr>
            <w:rStyle w:val="Hyperlink"/>
            <w:rFonts w:ascii="Dubai" w:hAnsi="Dubai" w:cs="Dubai"/>
            <w:lang w:bidi="ar-EG"/>
          </w:rPr>
          <w:t>RRB22</w:t>
        </w:r>
        <w:r w:rsidR="00B55840">
          <w:rPr>
            <w:rStyle w:val="Hyperlink"/>
            <w:rFonts w:ascii="Dubai" w:hAnsi="Dubai" w:cs="Dubai"/>
            <w:lang w:bidi="ar-EG"/>
          </w:rPr>
          <w:noBreakHyphen/>
        </w:r>
        <w:r w:rsidR="008350B4" w:rsidRPr="00A94570">
          <w:rPr>
            <w:rStyle w:val="Hyperlink"/>
            <w:rFonts w:ascii="Dubai" w:hAnsi="Dubai" w:cs="Dubai"/>
            <w:lang w:bidi="ar-EG"/>
          </w:rPr>
          <w:t>3/5Add2</w:t>
        </w:r>
      </w:hyperlink>
      <w:r w:rsidR="008350B4">
        <w:rPr>
          <w:rFonts w:hint="cs"/>
          <w:rtl/>
          <w:lang w:bidi="ar-EG"/>
        </w:rPr>
        <w:t xml:space="preserve">) </w:t>
      </w:r>
      <w:r w:rsidR="007545ED">
        <w:rPr>
          <w:rtl/>
        </w:rPr>
        <w:t xml:space="preserve">الأنظمة غير المستقرة بالنسبة إلى الأرض </w:t>
      </w:r>
      <w:r w:rsidR="008350B4">
        <w:rPr>
          <w:rFonts w:hint="cs"/>
          <w:rtl/>
        </w:rPr>
        <w:t xml:space="preserve">التي يبلغ عددها </w:t>
      </w:r>
      <w:r w:rsidR="007545ED">
        <w:rPr>
          <w:rtl/>
        </w:rPr>
        <w:t>واحد</w:t>
      </w:r>
      <w:r w:rsidR="008350B4">
        <w:rPr>
          <w:rFonts w:hint="cs"/>
          <w:rtl/>
        </w:rPr>
        <w:t>اً</w:t>
      </w:r>
      <w:r w:rsidR="007545ED">
        <w:rPr>
          <w:rtl/>
        </w:rPr>
        <w:t xml:space="preserve"> </w:t>
      </w:r>
      <w:r w:rsidR="008350B4">
        <w:rPr>
          <w:rFonts w:hint="cs"/>
          <w:rtl/>
        </w:rPr>
        <w:t>وع</w:t>
      </w:r>
      <w:r w:rsidR="000000D2">
        <w:rPr>
          <w:rFonts w:hint="cs"/>
          <w:rtl/>
        </w:rPr>
        <w:t>ش</w:t>
      </w:r>
      <w:r w:rsidR="008350B4">
        <w:rPr>
          <w:rFonts w:hint="cs"/>
          <w:rtl/>
        </w:rPr>
        <w:t>ر</w:t>
      </w:r>
      <w:r w:rsidR="000000D2">
        <w:rPr>
          <w:rFonts w:hint="cs"/>
          <w:rtl/>
        </w:rPr>
        <w:t>ي</w:t>
      </w:r>
      <w:r w:rsidR="008350B4">
        <w:rPr>
          <w:rFonts w:hint="cs"/>
          <w:rtl/>
        </w:rPr>
        <w:t>ن نظاماً، و</w:t>
      </w:r>
      <w:r w:rsidR="007545ED">
        <w:rPr>
          <w:rtl/>
        </w:rPr>
        <w:t xml:space="preserve">التي ينطبق </w:t>
      </w:r>
      <w:r w:rsidR="008350B4">
        <w:rPr>
          <w:rFonts w:hint="cs"/>
          <w:rtl/>
        </w:rPr>
        <w:t xml:space="preserve">عليها </w:t>
      </w:r>
      <w:r w:rsidR="008350B4" w:rsidRPr="00A94570">
        <w:rPr>
          <w:rtl/>
        </w:rPr>
        <w:t>القرار </w:t>
      </w:r>
      <w:r w:rsidR="008350B4" w:rsidRPr="00A94570">
        <w:rPr>
          <w:b/>
          <w:bCs/>
          <w:rtl/>
        </w:rPr>
        <w:t>(</w:t>
      </w:r>
      <w:r w:rsidR="008350B4" w:rsidRPr="00A94570">
        <w:rPr>
          <w:b/>
          <w:bCs/>
        </w:rPr>
        <w:t>WRC-19</w:t>
      </w:r>
      <w:r w:rsidR="008350B4" w:rsidRPr="00A94570">
        <w:rPr>
          <w:b/>
          <w:bCs/>
          <w:rtl/>
        </w:rPr>
        <w:t>)</w:t>
      </w:r>
      <w:r w:rsidR="008350B4" w:rsidRPr="00A94570">
        <w:t> </w:t>
      </w:r>
      <w:r w:rsidR="008350B4" w:rsidRPr="00A94570">
        <w:rPr>
          <w:rFonts w:hint="cs"/>
          <w:b/>
          <w:bCs/>
          <w:rtl/>
        </w:rPr>
        <w:t>35</w:t>
      </w:r>
      <w:r w:rsidR="008350B4">
        <w:rPr>
          <w:rFonts w:hint="cs"/>
          <w:rtl/>
        </w:rPr>
        <w:t>.</w:t>
      </w:r>
      <w:r w:rsidR="007545ED">
        <w:rPr>
          <w:rtl/>
        </w:rPr>
        <w:t xml:space="preserve"> ومن بين هذه الأنظمة، تم نشر أربعة أنظمة بالكامل (</w:t>
      </w:r>
      <w:r w:rsidR="008350B4">
        <w:rPr>
          <w:rFonts w:hint="cs"/>
          <w:rtl/>
        </w:rPr>
        <w:t>المرحلة</w:t>
      </w:r>
      <w:r w:rsidR="007545ED">
        <w:rPr>
          <w:rtl/>
        </w:rPr>
        <w:t xml:space="preserve"> "</w:t>
      </w:r>
      <w:r w:rsidR="007545ED">
        <w:t>M3</w:t>
      </w:r>
      <w:r w:rsidR="007545ED">
        <w:rPr>
          <w:rtl/>
        </w:rPr>
        <w:t>"</w:t>
      </w:r>
      <w:r w:rsidR="008350B4">
        <w:rPr>
          <w:rFonts w:hint="cs"/>
          <w:rtl/>
        </w:rPr>
        <w:t>مستكملة</w:t>
      </w:r>
      <w:r w:rsidR="007545ED">
        <w:rPr>
          <w:rtl/>
        </w:rPr>
        <w:t xml:space="preserve">)، مع تواريخ </w:t>
      </w:r>
      <w:r w:rsidR="008350B4">
        <w:rPr>
          <w:rFonts w:hint="cs"/>
          <w:rtl/>
        </w:rPr>
        <w:t>الوضع في الخدمة</w:t>
      </w:r>
      <w:r w:rsidR="007545ED">
        <w:rPr>
          <w:rtl/>
        </w:rPr>
        <w:t xml:space="preserve"> في 1994 و1997 و2010 و2018. وبالتالي، لا يوجد سوى أربعة أنظمة </w:t>
      </w:r>
      <w:r w:rsidR="008350B4">
        <w:rPr>
          <w:rFonts w:hint="cs"/>
          <w:rtl/>
        </w:rPr>
        <w:t>ت</w:t>
      </w:r>
      <w:r w:rsidR="007545ED">
        <w:rPr>
          <w:rtl/>
        </w:rPr>
        <w:t>نطبق عليها</w:t>
      </w:r>
      <w:r w:rsidR="008350B4">
        <w:rPr>
          <w:rFonts w:hint="cs"/>
          <w:rtl/>
        </w:rPr>
        <w:t xml:space="preserve"> </w:t>
      </w:r>
      <w:r w:rsidR="008350B4" w:rsidRPr="002C7D78">
        <w:rPr>
          <w:rtl/>
        </w:rPr>
        <w:t xml:space="preserve">الفقرة </w:t>
      </w:r>
      <w:r w:rsidR="008350B4" w:rsidRPr="00A94570">
        <w:rPr>
          <w:rtl/>
        </w:rPr>
        <w:t>19 من "</w:t>
      </w:r>
      <w:r w:rsidR="008350B4" w:rsidRPr="00A94570">
        <w:rPr>
          <w:i/>
          <w:iCs/>
          <w:rtl/>
        </w:rPr>
        <w:t>يقرر</w:t>
      </w:r>
      <w:r w:rsidR="008350B4" w:rsidRPr="00A94570">
        <w:rPr>
          <w:rtl/>
        </w:rPr>
        <w:t>" في</w:t>
      </w:r>
      <w:r w:rsidR="007545ED">
        <w:rPr>
          <w:rtl/>
        </w:rPr>
        <w:t xml:space="preserve"> </w:t>
      </w:r>
      <w:r w:rsidR="008350B4" w:rsidRPr="00A94570">
        <w:rPr>
          <w:rtl/>
        </w:rPr>
        <w:t>القرار </w:t>
      </w:r>
      <w:r w:rsidR="008350B4" w:rsidRPr="00A94570">
        <w:rPr>
          <w:b/>
          <w:bCs/>
          <w:rtl/>
        </w:rPr>
        <w:t>(</w:t>
      </w:r>
      <w:r w:rsidR="008350B4" w:rsidRPr="00A94570">
        <w:rPr>
          <w:b/>
          <w:bCs/>
        </w:rPr>
        <w:t>WRC-19</w:t>
      </w:r>
      <w:r w:rsidR="008350B4" w:rsidRPr="00A94570">
        <w:rPr>
          <w:b/>
          <w:bCs/>
          <w:rtl/>
        </w:rPr>
        <w:t>)</w:t>
      </w:r>
      <w:r w:rsidR="008350B4" w:rsidRPr="00A94570">
        <w:t> </w:t>
      </w:r>
      <w:r w:rsidR="008350B4" w:rsidRPr="00A94570">
        <w:rPr>
          <w:rFonts w:hint="cs"/>
          <w:b/>
          <w:bCs/>
          <w:rtl/>
        </w:rPr>
        <w:t>35</w:t>
      </w:r>
      <w:r w:rsidR="007545ED">
        <w:rPr>
          <w:rtl/>
        </w:rPr>
        <w:t xml:space="preserve">. ونظراً لصغر حجم العينة، فليس من المفاجئ </w:t>
      </w:r>
      <w:r w:rsidR="008350B4" w:rsidRPr="008350B4">
        <w:rPr>
          <w:rtl/>
        </w:rPr>
        <w:t>عدم وجود تبليغات بموجب الفقرة 19 من "</w:t>
      </w:r>
      <w:r w:rsidR="008350B4" w:rsidRPr="008350B4">
        <w:rPr>
          <w:i/>
          <w:iCs/>
          <w:rtl/>
        </w:rPr>
        <w:t>يقرر</w:t>
      </w:r>
      <w:r w:rsidR="008350B4" w:rsidRPr="008350B4">
        <w:rPr>
          <w:rtl/>
        </w:rPr>
        <w:t xml:space="preserve">" </w:t>
      </w:r>
      <w:r w:rsidR="008350B4">
        <w:rPr>
          <w:rFonts w:hint="cs"/>
          <w:rtl/>
        </w:rPr>
        <w:t xml:space="preserve">في </w:t>
      </w:r>
      <w:r w:rsidR="008350B4" w:rsidRPr="00A94570">
        <w:rPr>
          <w:rtl/>
        </w:rPr>
        <w:t>القرار </w:t>
      </w:r>
      <w:r w:rsidR="008350B4" w:rsidRPr="00A94570">
        <w:rPr>
          <w:b/>
          <w:bCs/>
          <w:rtl/>
        </w:rPr>
        <w:t>(</w:t>
      </w:r>
      <w:r w:rsidR="008350B4" w:rsidRPr="00A94570">
        <w:rPr>
          <w:b/>
          <w:bCs/>
        </w:rPr>
        <w:t>WRC-19</w:t>
      </w:r>
      <w:r w:rsidR="008350B4" w:rsidRPr="00A94570">
        <w:rPr>
          <w:b/>
          <w:bCs/>
          <w:rtl/>
        </w:rPr>
        <w:t>)</w:t>
      </w:r>
      <w:r w:rsidR="008350B4" w:rsidRPr="00A94570">
        <w:t> </w:t>
      </w:r>
      <w:r w:rsidR="008350B4" w:rsidRPr="00A94570">
        <w:rPr>
          <w:rFonts w:hint="cs"/>
          <w:b/>
          <w:bCs/>
          <w:rtl/>
        </w:rPr>
        <w:t>35</w:t>
      </w:r>
      <w:r w:rsidR="008350B4">
        <w:rPr>
          <w:rFonts w:hint="cs"/>
          <w:b/>
          <w:bCs/>
          <w:rtl/>
        </w:rPr>
        <w:t>.</w:t>
      </w:r>
      <w:r w:rsidR="007545ED">
        <w:rPr>
          <w:rtl/>
        </w:rPr>
        <w:t xml:space="preserve"> ويشير </w:t>
      </w:r>
      <w:r w:rsidR="008350B4">
        <w:rPr>
          <w:rFonts w:hint="cs"/>
          <w:rtl/>
        </w:rPr>
        <w:t>ذلك إلى</w:t>
      </w:r>
      <w:r w:rsidR="007545ED">
        <w:rPr>
          <w:rtl/>
        </w:rPr>
        <w:t xml:space="preserve"> أن الفقرة 19 من "</w:t>
      </w:r>
      <w:r w:rsidR="007545ED" w:rsidRPr="00EC47A6">
        <w:rPr>
          <w:i/>
          <w:iCs/>
          <w:rtl/>
        </w:rPr>
        <w:t>يقرر</w:t>
      </w:r>
      <w:r w:rsidR="007545ED">
        <w:rPr>
          <w:rtl/>
        </w:rPr>
        <w:t xml:space="preserve">" </w:t>
      </w:r>
      <w:r>
        <w:rPr>
          <w:rFonts w:hint="cs"/>
          <w:rtl/>
        </w:rPr>
        <w:t>في القرار</w:t>
      </w:r>
      <w:r w:rsidRPr="00A94570">
        <w:rPr>
          <w:rtl/>
        </w:rPr>
        <w:t> </w:t>
      </w:r>
      <w:r w:rsidRPr="00A94570">
        <w:rPr>
          <w:b/>
          <w:bCs/>
          <w:rtl/>
        </w:rPr>
        <w:t>(</w:t>
      </w:r>
      <w:r w:rsidRPr="00A94570">
        <w:rPr>
          <w:b/>
          <w:bCs/>
        </w:rPr>
        <w:t>WRC-19</w:t>
      </w:r>
      <w:r w:rsidRPr="00A94570">
        <w:rPr>
          <w:b/>
          <w:bCs/>
          <w:rtl/>
        </w:rPr>
        <w:t>)</w:t>
      </w:r>
      <w:r w:rsidRPr="00A94570">
        <w:t> </w:t>
      </w:r>
      <w:r w:rsidRPr="00A94570">
        <w:rPr>
          <w:rFonts w:hint="cs"/>
          <w:b/>
          <w:bCs/>
          <w:rtl/>
        </w:rPr>
        <w:t>35</w:t>
      </w:r>
      <w:r>
        <w:rPr>
          <w:rFonts w:hint="cs"/>
          <w:rtl/>
        </w:rPr>
        <w:t xml:space="preserve"> </w:t>
      </w:r>
      <w:r w:rsidR="007545ED">
        <w:rPr>
          <w:rtl/>
        </w:rPr>
        <w:t>لم تدخل حيز النفاذ لفترة كافية لتوليد كمية ونوعية كافي</w:t>
      </w:r>
      <w:r>
        <w:rPr>
          <w:rFonts w:hint="cs"/>
          <w:rtl/>
        </w:rPr>
        <w:t>تين</w:t>
      </w:r>
      <w:r w:rsidR="007545ED">
        <w:rPr>
          <w:rtl/>
        </w:rPr>
        <w:t xml:space="preserve"> من البيانات </w:t>
      </w:r>
      <w:r>
        <w:rPr>
          <w:rFonts w:hint="cs"/>
          <w:rtl/>
        </w:rPr>
        <w:t xml:space="preserve">يمكن </w:t>
      </w:r>
      <w:r w:rsidR="007545ED">
        <w:rPr>
          <w:rtl/>
        </w:rPr>
        <w:t>للمكتب</w:t>
      </w:r>
      <w:r>
        <w:rPr>
          <w:rFonts w:hint="cs"/>
          <w:rtl/>
        </w:rPr>
        <w:t xml:space="preserve"> من خلالها</w:t>
      </w:r>
      <w:r w:rsidR="007545ED">
        <w:rPr>
          <w:rtl/>
        </w:rPr>
        <w:t xml:space="preserve"> استخلاص النتائج ودعم </w:t>
      </w:r>
      <w:r>
        <w:rPr>
          <w:rFonts w:hint="cs"/>
          <w:rtl/>
        </w:rPr>
        <w:t xml:space="preserve">اتخاذ </w:t>
      </w:r>
      <w:r>
        <w:rPr>
          <w:rtl/>
        </w:rPr>
        <w:t xml:space="preserve">المؤتمر </w:t>
      </w:r>
      <w:r>
        <w:t>WRC-23</w:t>
      </w:r>
      <w:r>
        <w:rPr>
          <w:rtl/>
        </w:rPr>
        <w:t xml:space="preserve"> </w:t>
      </w:r>
      <w:r>
        <w:rPr>
          <w:rFonts w:hint="cs"/>
          <w:rtl/>
        </w:rPr>
        <w:t>ل</w:t>
      </w:r>
      <w:r w:rsidR="007545ED">
        <w:rPr>
          <w:rtl/>
        </w:rPr>
        <w:t xml:space="preserve">قرار مستنير فيما يتعلق </w:t>
      </w:r>
      <w:r>
        <w:rPr>
          <w:rFonts w:hint="cs"/>
          <w:rtl/>
        </w:rPr>
        <w:t>ب</w:t>
      </w:r>
      <w:r w:rsidR="007545ED">
        <w:rPr>
          <w:rtl/>
        </w:rPr>
        <w:t xml:space="preserve">أي إجراء ما بعد </w:t>
      </w:r>
      <w:r w:rsidR="00495630">
        <w:rPr>
          <w:rFonts w:hint="cs"/>
          <w:rtl/>
        </w:rPr>
        <w:t>المراحل</w:t>
      </w:r>
      <w:r w:rsidR="007545ED">
        <w:rPr>
          <w:rtl/>
        </w:rPr>
        <w:t xml:space="preserve"> أو تعزيز إجراء التعليق</w:t>
      </w:r>
      <w:r w:rsidR="00C82AB3">
        <w:rPr>
          <w:rFonts w:hint="cs"/>
          <w:rtl/>
        </w:rPr>
        <w:t>.</w:t>
      </w:r>
    </w:p>
    <w:p w14:paraId="13CFE3CB" w14:textId="400D96AE" w:rsidR="00A94570" w:rsidRPr="00A92975" w:rsidRDefault="007545ED" w:rsidP="007545ED">
      <w:pPr>
        <w:rPr>
          <w:spacing w:val="4"/>
          <w:rtl/>
        </w:rPr>
      </w:pPr>
      <w:r w:rsidRPr="00A92975">
        <w:rPr>
          <w:spacing w:val="4"/>
          <w:rtl/>
        </w:rPr>
        <w:t xml:space="preserve">وفي هذا السياق، ترى إدارات </w:t>
      </w:r>
      <w:r w:rsidR="00EC47A6" w:rsidRPr="00A92975">
        <w:rPr>
          <w:spacing w:val="4"/>
          <w:rtl/>
        </w:rPr>
        <w:t xml:space="preserve">لجنة البلدان الأمريكية للاتصالات </w:t>
      </w:r>
      <w:r w:rsidRPr="00A92975">
        <w:rPr>
          <w:spacing w:val="4"/>
          <w:rtl/>
        </w:rPr>
        <w:t xml:space="preserve">أنه لا يوجد أي نقص </w:t>
      </w:r>
      <w:r w:rsidR="00EE044F" w:rsidRPr="00A92975">
        <w:rPr>
          <w:rFonts w:hint="cs"/>
          <w:spacing w:val="4"/>
          <w:rtl/>
        </w:rPr>
        <w:t xml:space="preserve">في </w:t>
      </w:r>
      <w:r w:rsidR="00EC47A6" w:rsidRPr="00A92975">
        <w:rPr>
          <w:spacing w:val="4"/>
          <w:rtl/>
        </w:rPr>
        <w:t>الفقرة 19 من "</w:t>
      </w:r>
      <w:r w:rsidR="00EC47A6" w:rsidRPr="00A92975">
        <w:rPr>
          <w:i/>
          <w:iCs/>
          <w:spacing w:val="4"/>
          <w:rtl/>
        </w:rPr>
        <w:t>يقرر</w:t>
      </w:r>
      <w:r w:rsidR="00EC47A6" w:rsidRPr="00A92975">
        <w:rPr>
          <w:spacing w:val="4"/>
          <w:rtl/>
        </w:rPr>
        <w:t xml:space="preserve">" </w:t>
      </w:r>
      <w:r w:rsidR="00EC47A6" w:rsidRPr="00A92975">
        <w:rPr>
          <w:rFonts w:hint="cs"/>
          <w:spacing w:val="4"/>
          <w:rtl/>
        </w:rPr>
        <w:t>في القرار</w:t>
      </w:r>
      <w:r w:rsidR="00EC47A6" w:rsidRPr="00A92975">
        <w:rPr>
          <w:spacing w:val="4"/>
          <w:rtl/>
        </w:rPr>
        <w:t> </w:t>
      </w:r>
      <w:r w:rsidR="00EC47A6" w:rsidRPr="00A92975">
        <w:rPr>
          <w:b/>
          <w:bCs/>
          <w:spacing w:val="4"/>
          <w:rtl/>
        </w:rPr>
        <w:t>(</w:t>
      </w:r>
      <w:r w:rsidR="00EC47A6" w:rsidRPr="00A92975">
        <w:rPr>
          <w:b/>
          <w:bCs/>
          <w:spacing w:val="4"/>
        </w:rPr>
        <w:t>WRC-19</w:t>
      </w:r>
      <w:r w:rsidR="00EC47A6" w:rsidRPr="00A92975">
        <w:rPr>
          <w:b/>
          <w:bCs/>
          <w:spacing w:val="4"/>
          <w:rtl/>
        </w:rPr>
        <w:t>)</w:t>
      </w:r>
      <w:r w:rsidR="00EC47A6" w:rsidRPr="00A92975">
        <w:rPr>
          <w:spacing w:val="4"/>
        </w:rPr>
        <w:t> </w:t>
      </w:r>
      <w:r w:rsidR="00EC47A6" w:rsidRPr="00A92975">
        <w:rPr>
          <w:rFonts w:hint="cs"/>
          <w:b/>
          <w:bCs/>
          <w:spacing w:val="4"/>
          <w:rtl/>
        </w:rPr>
        <w:t>35</w:t>
      </w:r>
      <w:r w:rsidR="00EC47A6" w:rsidRPr="00A92975">
        <w:rPr>
          <w:rFonts w:hint="cs"/>
          <w:spacing w:val="4"/>
          <w:rtl/>
        </w:rPr>
        <w:t xml:space="preserve"> </w:t>
      </w:r>
      <w:r w:rsidRPr="00A92975">
        <w:rPr>
          <w:spacing w:val="4"/>
          <w:rtl/>
        </w:rPr>
        <w:t>ولا حاجة لاستبداله</w:t>
      </w:r>
      <w:r w:rsidR="00EC47A6" w:rsidRPr="00A92975">
        <w:rPr>
          <w:rFonts w:hint="cs"/>
          <w:spacing w:val="4"/>
          <w:rtl/>
        </w:rPr>
        <w:t>ا</w:t>
      </w:r>
      <w:r w:rsidRPr="00A92975">
        <w:rPr>
          <w:spacing w:val="4"/>
          <w:rtl/>
        </w:rPr>
        <w:t xml:space="preserve"> بإجراء ما بعد </w:t>
      </w:r>
      <w:r w:rsidR="00495630" w:rsidRPr="00A92975">
        <w:rPr>
          <w:rFonts w:hint="cs"/>
          <w:spacing w:val="4"/>
          <w:rtl/>
        </w:rPr>
        <w:t>المراحل</w:t>
      </w:r>
      <w:r w:rsidRPr="00A92975">
        <w:rPr>
          <w:spacing w:val="4"/>
          <w:rtl/>
        </w:rPr>
        <w:t xml:space="preserve">. </w:t>
      </w:r>
      <w:r w:rsidR="00EC47A6" w:rsidRPr="00A92975">
        <w:rPr>
          <w:rFonts w:hint="cs"/>
          <w:spacing w:val="4"/>
          <w:rtl/>
        </w:rPr>
        <w:t>وتقترح</w:t>
      </w:r>
      <w:r w:rsidRPr="00A92975">
        <w:rPr>
          <w:spacing w:val="4"/>
          <w:rtl/>
        </w:rPr>
        <w:t xml:space="preserve"> </w:t>
      </w:r>
      <w:r w:rsidR="00EE044F" w:rsidRPr="00A92975">
        <w:rPr>
          <w:rFonts w:hint="cs"/>
          <w:spacing w:val="4"/>
          <w:rtl/>
        </w:rPr>
        <w:t>أنه لا يوجد</w:t>
      </w:r>
      <w:r w:rsidRPr="00A92975">
        <w:rPr>
          <w:spacing w:val="4"/>
          <w:rtl/>
        </w:rPr>
        <w:t xml:space="preserve"> ما يبرر </w:t>
      </w:r>
      <w:r w:rsidR="00EC47A6" w:rsidRPr="00A92975">
        <w:rPr>
          <w:rFonts w:hint="cs"/>
          <w:spacing w:val="4"/>
          <w:rtl/>
        </w:rPr>
        <w:t xml:space="preserve">إجراء </w:t>
      </w:r>
      <w:r w:rsidRPr="00A92975">
        <w:rPr>
          <w:spacing w:val="4"/>
          <w:rtl/>
        </w:rPr>
        <w:t xml:space="preserve">أي تغيير في المؤتمر </w:t>
      </w:r>
      <w:r w:rsidRPr="00A92975">
        <w:rPr>
          <w:spacing w:val="4"/>
        </w:rPr>
        <w:t>WRC-23</w:t>
      </w:r>
      <w:r w:rsidRPr="00A92975">
        <w:rPr>
          <w:spacing w:val="4"/>
          <w:rtl/>
        </w:rPr>
        <w:t xml:space="preserve">، </w:t>
      </w:r>
      <w:r w:rsidR="00EC47A6" w:rsidRPr="00A92975">
        <w:rPr>
          <w:rFonts w:hint="cs"/>
          <w:spacing w:val="4"/>
          <w:rtl/>
        </w:rPr>
        <w:t>وترى</w:t>
      </w:r>
      <w:r w:rsidRPr="00A92975">
        <w:rPr>
          <w:spacing w:val="4"/>
          <w:rtl/>
        </w:rPr>
        <w:t xml:space="preserve"> أنه ينبغي السماح بجمع المعلومات بموجب </w:t>
      </w:r>
      <w:r w:rsidR="00EC47A6" w:rsidRPr="00A92975">
        <w:rPr>
          <w:spacing w:val="4"/>
          <w:rtl/>
        </w:rPr>
        <w:t>الفقرة 19 من "</w:t>
      </w:r>
      <w:r w:rsidR="00EC47A6" w:rsidRPr="00A92975">
        <w:rPr>
          <w:i/>
          <w:iCs/>
          <w:spacing w:val="4"/>
          <w:rtl/>
        </w:rPr>
        <w:t>يقرر</w:t>
      </w:r>
      <w:r w:rsidR="00EC47A6" w:rsidRPr="00A92975">
        <w:rPr>
          <w:spacing w:val="4"/>
          <w:rtl/>
        </w:rPr>
        <w:t xml:space="preserve">" </w:t>
      </w:r>
      <w:r w:rsidRPr="00A92975">
        <w:rPr>
          <w:spacing w:val="4"/>
          <w:rtl/>
        </w:rPr>
        <w:t xml:space="preserve">حتى يتم جمع بيانات تشغيلية كافية وذات معنى وتكون هناك حاجة متفق عليها لإعادة النظر في مسألة </w:t>
      </w:r>
      <w:r w:rsidR="00EC47A6" w:rsidRPr="00A92975">
        <w:rPr>
          <w:rFonts w:hint="cs"/>
          <w:spacing w:val="4"/>
          <w:rtl/>
        </w:rPr>
        <w:t xml:space="preserve">وضع </w:t>
      </w:r>
      <w:r w:rsidRPr="00A92975">
        <w:rPr>
          <w:spacing w:val="4"/>
          <w:rtl/>
        </w:rPr>
        <w:t xml:space="preserve">آلية محتملة </w:t>
      </w:r>
      <w:r w:rsidR="00EC47A6" w:rsidRPr="00A92975">
        <w:rPr>
          <w:rFonts w:hint="cs"/>
          <w:spacing w:val="4"/>
          <w:rtl/>
        </w:rPr>
        <w:t>ل</w:t>
      </w:r>
      <w:r w:rsidRPr="00A92975">
        <w:rPr>
          <w:spacing w:val="4"/>
          <w:rtl/>
        </w:rPr>
        <w:t xml:space="preserve">ما بعد </w:t>
      </w:r>
      <w:r w:rsidR="00495630" w:rsidRPr="00A92975">
        <w:rPr>
          <w:rFonts w:hint="cs"/>
          <w:spacing w:val="4"/>
          <w:rtl/>
        </w:rPr>
        <w:t>المراحل</w:t>
      </w:r>
      <w:r w:rsidR="00EC47A6" w:rsidRPr="00A92975">
        <w:rPr>
          <w:rFonts w:hint="cs"/>
          <w:spacing w:val="4"/>
          <w:rtl/>
        </w:rPr>
        <w:t xml:space="preserve"> من أجل </w:t>
      </w:r>
      <w:r w:rsidRPr="00A92975">
        <w:rPr>
          <w:spacing w:val="4"/>
          <w:rtl/>
        </w:rPr>
        <w:t xml:space="preserve">معالجة التخفيضات المتوسطة والطويلة </w:t>
      </w:r>
      <w:r w:rsidR="00EC47A6" w:rsidRPr="00A92975">
        <w:rPr>
          <w:rFonts w:hint="cs"/>
          <w:spacing w:val="4"/>
          <w:rtl/>
        </w:rPr>
        <w:t>الأمد</w:t>
      </w:r>
      <w:r w:rsidRPr="00A92975">
        <w:rPr>
          <w:spacing w:val="4"/>
          <w:rtl/>
        </w:rPr>
        <w:t xml:space="preserve"> في عدد المحطات الفضائية في الأنظمة غير المستقرة بالنسبة إلى الأرض التي أكملت عملية </w:t>
      </w:r>
      <w:r w:rsidR="00495630" w:rsidRPr="00A92975">
        <w:rPr>
          <w:rFonts w:hint="cs"/>
          <w:spacing w:val="4"/>
          <w:rtl/>
        </w:rPr>
        <w:t>المراحل</w:t>
      </w:r>
      <w:r w:rsidRPr="00A92975">
        <w:rPr>
          <w:spacing w:val="4"/>
          <w:rtl/>
        </w:rPr>
        <w:t xml:space="preserve"> بموجب </w:t>
      </w:r>
      <w:r w:rsidR="00EC47A6" w:rsidRPr="00A92975">
        <w:rPr>
          <w:rFonts w:hint="cs"/>
          <w:spacing w:val="4"/>
          <w:rtl/>
        </w:rPr>
        <w:t>القرار</w:t>
      </w:r>
      <w:r w:rsidR="00EC47A6" w:rsidRPr="00A92975">
        <w:rPr>
          <w:spacing w:val="4"/>
          <w:rtl/>
        </w:rPr>
        <w:t> </w:t>
      </w:r>
      <w:r w:rsidR="00EC47A6" w:rsidRPr="00A92975">
        <w:rPr>
          <w:b/>
          <w:bCs/>
          <w:spacing w:val="4"/>
          <w:rtl/>
        </w:rPr>
        <w:t>(</w:t>
      </w:r>
      <w:r w:rsidR="00EC47A6" w:rsidRPr="00A92975">
        <w:rPr>
          <w:b/>
          <w:bCs/>
          <w:spacing w:val="4"/>
        </w:rPr>
        <w:t>WRC-19</w:t>
      </w:r>
      <w:r w:rsidR="00EC47A6" w:rsidRPr="00A92975">
        <w:rPr>
          <w:b/>
          <w:bCs/>
          <w:spacing w:val="4"/>
          <w:rtl/>
        </w:rPr>
        <w:t>)</w:t>
      </w:r>
      <w:r w:rsidR="00EC47A6" w:rsidRPr="00A92975">
        <w:rPr>
          <w:spacing w:val="4"/>
        </w:rPr>
        <w:t> </w:t>
      </w:r>
      <w:r w:rsidR="00EC47A6" w:rsidRPr="00A92975">
        <w:rPr>
          <w:rFonts w:hint="cs"/>
          <w:b/>
          <w:bCs/>
          <w:spacing w:val="4"/>
          <w:rtl/>
        </w:rPr>
        <w:t>35.</w:t>
      </w:r>
    </w:p>
    <w:p w14:paraId="10FC4861" w14:textId="7A76D9A3" w:rsidR="00204D26" w:rsidRPr="007579F6" w:rsidRDefault="00204D26" w:rsidP="00A94570">
      <w:pPr>
        <w:pStyle w:val="Headingb"/>
        <w:rPr>
          <w:lang w:bidi="ar-SA"/>
        </w:rPr>
      </w:pPr>
      <w:r w:rsidRPr="00EE044F">
        <w:rPr>
          <w:rFonts w:hint="cs"/>
          <w:rtl/>
          <w:lang w:bidi="ar-SA"/>
        </w:rPr>
        <w:t>المقترحات</w:t>
      </w:r>
    </w:p>
    <w:p w14:paraId="39716F5B" w14:textId="77777777" w:rsidR="00FD7BB8" w:rsidRPr="00970FB3" w:rsidRDefault="004C67F1" w:rsidP="00970FB3">
      <w:pPr>
        <w:rPr>
          <w:lang w:val="en-GB" w:bidi="ar-EG"/>
        </w:rPr>
      </w:pPr>
      <w:r>
        <w:rPr>
          <w:rtl/>
          <w:lang w:val="en-GB" w:bidi="ar-EG"/>
        </w:rPr>
        <w:br w:type="page"/>
      </w:r>
    </w:p>
    <w:p w14:paraId="4FC9BFCA" w14:textId="77777777" w:rsidR="0099186B" w:rsidRDefault="003B3E91">
      <w:pPr>
        <w:pStyle w:val="Proposal"/>
      </w:pPr>
      <w:r>
        <w:rPr>
          <w:u w:val="single"/>
        </w:rPr>
        <w:lastRenderedPageBreak/>
        <w:t>NOC</w:t>
      </w:r>
      <w:r>
        <w:tab/>
        <w:t>IAP/44A22A2/1</w:t>
      </w:r>
      <w:r>
        <w:rPr>
          <w:vanish/>
          <w:color w:val="7F7F7F" w:themeColor="text1" w:themeTint="80"/>
          <w:vertAlign w:val="superscript"/>
        </w:rPr>
        <w:t>#1990</w:t>
      </w:r>
    </w:p>
    <w:p w14:paraId="09CF7809" w14:textId="77777777" w:rsidR="003B3E91" w:rsidRPr="00B231B1" w:rsidRDefault="003B3E91" w:rsidP="00F91337">
      <w:pPr>
        <w:pStyle w:val="VolumeTitle0"/>
        <w:rPr>
          <w:rtl/>
          <w:lang w:val="en-US"/>
        </w:rPr>
      </w:pPr>
      <w:r w:rsidRPr="00B231B1">
        <w:rPr>
          <w:rtl/>
          <w:lang w:val="en-US"/>
        </w:rPr>
        <w:t>المواد</w:t>
      </w:r>
    </w:p>
    <w:p w14:paraId="773CA7F7" w14:textId="77777777" w:rsidR="0099186B" w:rsidRDefault="0099186B">
      <w:pPr>
        <w:pStyle w:val="Reasons"/>
      </w:pPr>
    </w:p>
    <w:p w14:paraId="6D049F7F" w14:textId="77777777" w:rsidR="0099186B" w:rsidRDefault="003B3E91">
      <w:pPr>
        <w:pStyle w:val="Proposal"/>
      </w:pPr>
      <w:r>
        <w:rPr>
          <w:u w:val="single"/>
        </w:rPr>
        <w:t>NOC</w:t>
      </w:r>
      <w:r>
        <w:tab/>
        <w:t>IAP/44A22A2/2</w:t>
      </w:r>
      <w:r>
        <w:rPr>
          <w:vanish/>
          <w:color w:val="7F7F7F" w:themeColor="text1" w:themeTint="80"/>
          <w:vertAlign w:val="superscript"/>
        </w:rPr>
        <w:t>#1991</w:t>
      </w:r>
    </w:p>
    <w:p w14:paraId="6567B336" w14:textId="77777777" w:rsidR="003B3E91" w:rsidRPr="00B231B1" w:rsidRDefault="003B3E91" w:rsidP="00F91337">
      <w:pPr>
        <w:pStyle w:val="VolumeTitle0"/>
        <w:rPr>
          <w:rtl/>
          <w:lang w:val="en-US"/>
        </w:rPr>
      </w:pPr>
      <w:r w:rsidRPr="00B231B1">
        <w:rPr>
          <w:rtl/>
          <w:lang w:val="en-US"/>
        </w:rPr>
        <w:t>التذييلات</w:t>
      </w:r>
    </w:p>
    <w:p w14:paraId="565303FE" w14:textId="77777777" w:rsidR="0099186B" w:rsidRDefault="0099186B">
      <w:pPr>
        <w:pStyle w:val="Reasons"/>
      </w:pPr>
    </w:p>
    <w:p w14:paraId="49CD1E42" w14:textId="77777777" w:rsidR="0099186B" w:rsidRDefault="003B3E91">
      <w:pPr>
        <w:pStyle w:val="Proposal"/>
      </w:pPr>
      <w:r>
        <w:rPr>
          <w:u w:val="single"/>
        </w:rPr>
        <w:t>NOC</w:t>
      </w:r>
      <w:r>
        <w:tab/>
        <w:t>IAP/44A22A2/3</w:t>
      </w:r>
      <w:r>
        <w:rPr>
          <w:vanish/>
          <w:color w:val="7F7F7F" w:themeColor="text1" w:themeTint="80"/>
          <w:vertAlign w:val="superscript"/>
        </w:rPr>
        <w:t>#1992</w:t>
      </w:r>
    </w:p>
    <w:p w14:paraId="5D0EB4E6" w14:textId="77777777" w:rsidR="003B3E91" w:rsidRPr="00B231B1" w:rsidRDefault="003B3E91" w:rsidP="00F91337">
      <w:pPr>
        <w:pStyle w:val="VolumeTitle0"/>
        <w:rPr>
          <w:rtl/>
        </w:rPr>
      </w:pPr>
      <w:r w:rsidRPr="00B231B1">
        <w:rPr>
          <w:rtl/>
        </w:rPr>
        <w:t>القرارات</w:t>
      </w:r>
    </w:p>
    <w:p w14:paraId="183EBD1D" w14:textId="0F0E8F4C" w:rsidR="0099186B" w:rsidRPr="004A49EF" w:rsidRDefault="00970FB3" w:rsidP="004A49EF">
      <w:pPr>
        <w:pStyle w:val="Reasons"/>
        <w:rPr>
          <w:b w:val="0"/>
          <w:bCs w:val="0"/>
        </w:rPr>
      </w:pPr>
      <w:r>
        <w:rPr>
          <w:rFonts w:hint="cs"/>
          <w:rtl/>
        </w:rPr>
        <w:t>الأسباب:</w:t>
      </w:r>
      <w:r>
        <w:rPr>
          <w:rtl/>
        </w:rPr>
        <w:tab/>
      </w:r>
      <w:r w:rsidR="0024569A" w:rsidRPr="0024569A">
        <w:rPr>
          <w:b w:val="0"/>
          <w:bCs w:val="0"/>
          <w:rtl/>
          <w:lang w:bidi="ar-EG"/>
        </w:rPr>
        <w:t xml:space="preserve">لم يتم بعد تحديد مدى إلحاح إجراء ما بعد </w:t>
      </w:r>
      <w:r w:rsidR="0024569A">
        <w:rPr>
          <w:rFonts w:hint="cs"/>
          <w:b w:val="0"/>
          <w:bCs w:val="0"/>
          <w:rtl/>
          <w:lang w:bidi="ar-EG"/>
        </w:rPr>
        <w:t>المراحل</w:t>
      </w:r>
      <w:r w:rsidR="0024569A" w:rsidRPr="0024569A">
        <w:rPr>
          <w:b w:val="0"/>
          <w:bCs w:val="0"/>
          <w:rtl/>
          <w:lang w:bidi="ar-EG"/>
        </w:rPr>
        <w:t xml:space="preserve">. وبما أنه لم يتم تقديم أي بيانات تشغيلية إلى المكتب </w:t>
      </w:r>
      <w:r w:rsidR="0024569A" w:rsidRPr="0024569A">
        <w:rPr>
          <w:rFonts w:hint="cs"/>
          <w:b w:val="0"/>
          <w:bCs w:val="0"/>
          <w:rtl/>
          <w:lang w:bidi="ar-EG"/>
        </w:rPr>
        <w:t>ب</w:t>
      </w:r>
      <w:r w:rsidR="0024569A" w:rsidRPr="0024569A">
        <w:rPr>
          <w:b w:val="0"/>
          <w:bCs w:val="0"/>
          <w:rtl/>
        </w:rPr>
        <w:t>موجب</w:t>
      </w:r>
      <w:r w:rsidR="0024569A" w:rsidRPr="0024569A">
        <w:rPr>
          <w:rtl/>
        </w:rPr>
        <w:t xml:space="preserve"> </w:t>
      </w:r>
      <w:r w:rsidR="0024569A" w:rsidRPr="0024569A">
        <w:rPr>
          <w:b w:val="0"/>
          <w:bCs w:val="0"/>
          <w:rtl/>
        </w:rPr>
        <w:t>الفقرة 19 من "</w:t>
      </w:r>
      <w:r w:rsidR="0024569A" w:rsidRPr="0024569A">
        <w:rPr>
          <w:b w:val="0"/>
          <w:bCs w:val="0"/>
          <w:i/>
          <w:iCs/>
          <w:rtl/>
        </w:rPr>
        <w:t>يقرر</w:t>
      </w:r>
      <w:r w:rsidR="0024569A" w:rsidRPr="0024569A">
        <w:rPr>
          <w:b w:val="0"/>
          <w:bCs w:val="0"/>
          <w:rtl/>
        </w:rPr>
        <w:t>"</w:t>
      </w:r>
      <w:r w:rsidR="0024569A">
        <w:rPr>
          <w:rtl/>
        </w:rPr>
        <w:t xml:space="preserve"> </w:t>
      </w:r>
      <w:r w:rsidR="0024569A" w:rsidRPr="0024569A">
        <w:rPr>
          <w:rFonts w:hint="cs"/>
          <w:b w:val="0"/>
          <w:bCs w:val="0"/>
          <w:rtl/>
        </w:rPr>
        <w:t>في</w:t>
      </w:r>
      <w:r w:rsidR="0024569A">
        <w:rPr>
          <w:rFonts w:hint="cs"/>
          <w:rtl/>
        </w:rPr>
        <w:t xml:space="preserve"> القرار</w:t>
      </w:r>
      <w:r w:rsidR="0024569A" w:rsidRPr="00A94570">
        <w:rPr>
          <w:rtl/>
        </w:rPr>
        <w:t> (</w:t>
      </w:r>
      <w:r w:rsidR="0024569A" w:rsidRPr="00A94570">
        <w:t>WRC-19</w:t>
      </w:r>
      <w:r w:rsidR="0024569A" w:rsidRPr="00A94570">
        <w:rPr>
          <w:rtl/>
        </w:rPr>
        <w:t>)</w:t>
      </w:r>
      <w:r w:rsidR="0024569A" w:rsidRPr="00A94570">
        <w:t> </w:t>
      </w:r>
      <w:r w:rsidR="0024569A" w:rsidRPr="0024569A">
        <w:rPr>
          <w:rFonts w:hint="cs"/>
          <w:rtl/>
        </w:rPr>
        <w:t>35</w:t>
      </w:r>
      <w:r w:rsidR="0024569A">
        <w:rPr>
          <w:rFonts w:hint="cs"/>
          <w:b w:val="0"/>
          <w:bCs w:val="0"/>
          <w:rtl/>
        </w:rPr>
        <w:t xml:space="preserve"> </w:t>
      </w:r>
      <w:r w:rsidR="0024569A" w:rsidRPr="0024569A">
        <w:rPr>
          <w:b w:val="0"/>
          <w:bCs w:val="0"/>
          <w:rtl/>
          <w:lang w:bidi="ar-EG"/>
        </w:rPr>
        <w:t xml:space="preserve">فليست هناك حاجة إلى الاستعاضة عنها بإجراء ما بعد </w:t>
      </w:r>
      <w:r w:rsidR="0024569A">
        <w:rPr>
          <w:rFonts w:hint="cs"/>
          <w:b w:val="0"/>
          <w:bCs w:val="0"/>
          <w:rtl/>
          <w:lang w:bidi="ar-EG"/>
        </w:rPr>
        <w:t>المراحل</w:t>
      </w:r>
      <w:r w:rsidR="0024569A" w:rsidRPr="0024569A">
        <w:rPr>
          <w:b w:val="0"/>
          <w:bCs w:val="0"/>
          <w:rtl/>
          <w:lang w:bidi="ar-EG"/>
        </w:rPr>
        <w:t>، ومن السابق لأوانه اعتماد أي أحكام تنظيمية لمعالجة</w:t>
      </w:r>
      <w:r w:rsidR="0024569A">
        <w:rPr>
          <w:rFonts w:hint="cs"/>
          <w:b w:val="0"/>
          <w:bCs w:val="0"/>
          <w:rtl/>
          <w:lang w:bidi="ar-EG"/>
        </w:rPr>
        <w:t xml:space="preserve"> عملية</w:t>
      </w:r>
      <w:r w:rsidR="0024569A" w:rsidRPr="0024569A">
        <w:rPr>
          <w:b w:val="0"/>
          <w:bCs w:val="0"/>
          <w:rtl/>
          <w:lang w:bidi="ar-EG"/>
        </w:rPr>
        <w:t xml:space="preserve"> خفض عدد </w:t>
      </w:r>
      <w:r w:rsidR="0024569A">
        <w:rPr>
          <w:rFonts w:hint="cs"/>
          <w:b w:val="0"/>
          <w:bCs w:val="0"/>
          <w:rtl/>
          <w:lang w:bidi="ar-EG"/>
        </w:rPr>
        <w:t>السواتل</w:t>
      </w:r>
      <w:r w:rsidR="0024569A" w:rsidRPr="0024569A">
        <w:rPr>
          <w:b w:val="0"/>
          <w:bCs w:val="0"/>
          <w:rtl/>
          <w:lang w:bidi="ar-EG"/>
        </w:rPr>
        <w:t xml:space="preserve"> المنتشرة على </w:t>
      </w:r>
      <w:r w:rsidR="0024569A">
        <w:rPr>
          <w:rFonts w:hint="cs"/>
          <w:b w:val="0"/>
          <w:bCs w:val="0"/>
          <w:rtl/>
          <w:lang w:bidi="ar-EG"/>
        </w:rPr>
        <w:t>الأمدين المتوسط و</w:t>
      </w:r>
      <w:r w:rsidR="0024569A" w:rsidRPr="0024569A">
        <w:rPr>
          <w:rFonts w:hint="cs"/>
          <w:b w:val="0"/>
          <w:bCs w:val="0"/>
          <w:rtl/>
          <w:lang w:bidi="ar-EG"/>
        </w:rPr>
        <w:t>الطويل</w:t>
      </w:r>
      <w:r w:rsidR="0024569A">
        <w:rPr>
          <w:rFonts w:hint="cs"/>
          <w:b w:val="0"/>
          <w:bCs w:val="0"/>
          <w:rtl/>
          <w:lang w:bidi="ar-EG"/>
        </w:rPr>
        <w:t xml:space="preserve"> في إطار ما بعد المراحل</w:t>
      </w:r>
      <w:r w:rsidR="0024569A" w:rsidRPr="0024569A">
        <w:rPr>
          <w:b w:val="0"/>
          <w:bCs w:val="0"/>
          <w:rtl/>
          <w:lang w:bidi="ar-EG"/>
        </w:rPr>
        <w:t xml:space="preserve">. ومع ذلك، لا يُقصد من عدم </w:t>
      </w:r>
      <w:r w:rsidR="0024569A">
        <w:rPr>
          <w:rFonts w:hint="cs"/>
          <w:b w:val="0"/>
          <w:bCs w:val="0"/>
          <w:rtl/>
          <w:lang w:bidi="ar-EG"/>
        </w:rPr>
        <w:t>ال</w:t>
      </w:r>
      <w:r w:rsidR="0024569A" w:rsidRPr="0024569A">
        <w:rPr>
          <w:b w:val="0"/>
          <w:bCs w:val="0"/>
          <w:rtl/>
          <w:lang w:bidi="ar-EG"/>
        </w:rPr>
        <w:t xml:space="preserve">تغيير </w:t>
      </w:r>
      <w:r w:rsidR="00130618">
        <w:rPr>
          <w:rFonts w:hint="cs"/>
          <w:b w:val="0"/>
          <w:bCs w:val="0"/>
          <w:rtl/>
          <w:lang w:bidi="ar-EG"/>
        </w:rPr>
        <w:t>فيما يتعلق ب</w:t>
      </w:r>
      <w:r w:rsidR="0024569A" w:rsidRPr="0024569A">
        <w:rPr>
          <w:b w:val="0"/>
          <w:bCs w:val="0"/>
          <w:rtl/>
          <w:lang w:bidi="ar-EG"/>
        </w:rPr>
        <w:t xml:space="preserve">الموضوع </w:t>
      </w:r>
      <w:r w:rsidR="0024569A">
        <w:rPr>
          <w:b w:val="0"/>
          <w:bCs w:val="0"/>
          <w:lang w:bidi="ar-EG"/>
        </w:rPr>
        <w:t>B</w:t>
      </w:r>
      <w:r w:rsidR="0024569A" w:rsidRPr="0024569A">
        <w:rPr>
          <w:b w:val="0"/>
          <w:bCs w:val="0"/>
          <w:rtl/>
          <w:lang w:bidi="ar-EG"/>
        </w:rPr>
        <w:t xml:space="preserve"> إنكار أهمية معالجة مسألة تباين عدد السواتل في الأنظمة غير المستقرة بالنسبة إلى الأرض خلال عمرها التشغيلي في المستقبل.</w:t>
      </w:r>
    </w:p>
    <w:p w14:paraId="58AC24E9" w14:textId="77777777" w:rsidR="003B3E91" w:rsidRPr="00970FB3" w:rsidRDefault="003B3E91" w:rsidP="00A94570">
      <w:pPr>
        <w:spacing w:before="600"/>
        <w:jc w:val="center"/>
      </w:pPr>
      <w:r w:rsidRPr="00987944">
        <w:rPr>
          <w:rFonts w:hint="cs"/>
          <w:rtl/>
          <w:lang w:bidi="ar-EG"/>
        </w:rPr>
        <w:t>ــــــــــــــــــــــــــــــــــــــــــــــــــــــــــــــــــــــــــــــــــــــــــــــــ</w:t>
      </w:r>
    </w:p>
    <w:sectPr w:rsidR="003B3E91" w:rsidRPr="00970FB3">
      <w:headerReference w:type="even" r:id="rId16"/>
      <w:headerReference w:type="default" r:id="rId17"/>
      <w:footerReference w:type="even" r:id="rId18"/>
      <w:footerReference w:type="default" r:id="rId19"/>
      <w:footerReference w:type="first" r:id="rId20"/>
      <w:pgSz w:w="11909" w:h="16834" w:code="9"/>
      <w:pgMar w:top="1418" w:right="1134" w:bottom="1134" w:left="1134" w:header="561"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1660" w14:textId="77777777" w:rsidR="00507F16" w:rsidRDefault="00507F16" w:rsidP="002919E1">
      <w:r>
        <w:separator/>
      </w:r>
    </w:p>
    <w:p w14:paraId="0F3E1374" w14:textId="77777777" w:rsidR="00507F16" w:rsidRDefault="00507F16" w:rsidP="002919E1"/>
    <w:p w14:paraId="5B7D13EB" w14:textId="77777777" w:rsidR="00507F16" w:rsidRDefault="00507F16" w:rsidP="002919E1"/>
    <w:p w14:paraId="687202D9" w14:textId="77777777" w:rsidR="00507F16" w:rsidRDefault="00507F16"/>
    <w:p w14:paraId="78E42EEC" w14:textId="77777777" w:rsidR="00507F16" w:rsidRDefault="00507F16"/>
  </w:endnote>
  <w:endnote w:type="continuationSeparator" w:id="0">
    <w:p w14:paraId="5B27C185" w14:textId="77777777" w:rsidR="00507F16" w:rsidRDefault="00507F16" w:rsidP="002919E1">
      <w:r>
        <w:continuationSeparator/>
      </w:r>
    </w:p>
    <w:p w14:paraId="1F38030E" w14:textId="77777777" w:rsidR="00507F16" w:rsidRDefault="00507F16" w:rsidP="002919E1"/>
    <w:p w14:paraId="42D9ED9A" w14:textId="77777777" w:rsidR="00507F16" w:rsidRDefault="00507F16" w:rsidP="002919E1"/>
    <w:p w14:paraId="3D7D0BA8" w14:textId="77777777" w:rsidR="00507F16" w:rsidRDefault="00507F16"/>
    <w:p w14:paraId="0134F64A" w14:textId="77777777" w:rsidR="00507F16" w:rsidRDefault="00507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B7E0" w14:textId="0765368E" w:rsidR="00D63A6F" w:rsidRPr="00D63A6F" w:rsidRDefault="00D63A6F" w:rsidP="00A72DD6">
    <w:pPr>
      <w:pStyle w:val="Footer"/>
      <w:tabs>
        <w:tab w:val="center" w:pos="5103"/>
        <w:tab w:val="right" w:pos="9639"/>
      </w:tabs>
      <w:bidi w:val="0"/>
      <w:spacing w:before="120"/>
      <w:rPr>
        <w:sz w:val="16"/>
        <w:szCs w:val="16"/>
      </w:rPr>
    </w:pPr>
    <w:r w:rsidRPr="0026373E">
      <w:rPr>
        <w:sz w:val="16"/>
        <w:szCs w:val="16"/>
        <w:lang w:val="fr-FR"/>
      </w:rPr>
      <w:fldChar w:fldCharType="begin"/>
    </w:r>
    <w:r w:rsidRPr="002C2DAD">
      <w:rPr>
        <w:sz w:val="16"/>
        <w:szCs w:val="16"/>
      </w:rPr>
      <w:instrText xml:space="preserve"> FILENAME \p \* MERGEFORMAT </w:instrText>
    </w:r>
    <w:r w:rsidRPr="0026373E">
      <w:rPr>
        <w:sz w:val="16"/>
        <w:szCs w:val="16"/>
        <w:lang w:val="fr-FR"/>
      </w:rPr>
      <w:fldChar w:fldCharType="separate"/>
    </w:r>
    <w:r w:rsidR="0019333E" w:rsidRPr="002C2DAD">
      <w:rPr>
        <w:noProof/>
        <w:sz w:val="16"/>
        <w:szCs w:val="16"/>
      </w:rPr>
      <w:t>P:\TRAD\A\ITU-R\CONF-R\CMR23\000\044ADD22ADD02A (Montage).docx</w:t>
    </w:r>
    <w:r w:rsidRPr="0026373E">
      <w:rPr>
        <w:sz w:val="16"/>
        <w:szCs w:val="16"/>
      </w:rPr>
      <w:fldChar w:fldCharType="end"/>
    </w:r>
    <w:proofErr w:type="gramStart"/>
    <w:r w:rsidRPr="0026373E">
      <w:rPr>
        <w:sz w:val="16"/>
        <w:szCs w:val="16"/>
      </w:rPr>
      <w:t xml:space="preserve">  </w:t>
    </w:r>
    <w:r w:rsidRPr="002C2DAD">
      <w:rPr>
        <w:sz w:val="16"/>
        <w:szCs w:val="16"/>
      </w:rPr>
      <w:t xml:space="preserve"> (</w:t>
    </w:r>
    <w:proofErr w:type="gramEnd"/>
    <w:r w:rsidR="00A72DD6" w:rsidRPr="00A72DD6">
      <w:rPr>
        <w:sz w:val="16"/>
        <w:szCs w:val="16"/>
      </w:rPr>
      <w:t>529462</w:t>
    </w:r>
    <w:r w:rsidRPr="002C2DAD">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92A" w14:textId="0B41850F" w:rsidR="003B3E91" w:rsidRPr="00D63A6F" w:rsidRDefault="003B3E91" w:rsidP="003B3E91">
    <w:pPr>
      <w:pStyle w:val="Footer"/>
      <w:tabs>
        <w:tab w:val="center" w:pos="5103"/>
        <w:tab w:val="right" w:pos="9639"/>
      </w:tabs>
      <w:bidi w:val="0"/>
      <w:spacing w:before="120"/>
      <w:rPr>
        <w:sz w:val="16"/>
        <w:szCs w:val="16"/>
      </w:rPr>
    </w:pPr>
    <w:r w:rsidRPr="0026373E">
      <w:rPr>
        <w:sz w:val="16"/>
        <w:szCs w:val="16"/>
        <w:lang w:val="fr-FR"/>
      </w:rPr>
      <w:fldChar w:fldCharType="begin"/>
    </w:r>
    <w:r w:rsidRPr="002C2DAD">
      <w:rPr>
        <w:sz w:val="16"/>
        <w:szCs w:val="16"/>
      </w:rPr>
      <w:instrText xml:space="preserve"> FILENAME \p \* MERGEFORMAT </w:instrText>
    </w:r>
    <w:r w:rsidRPr="0026373E">
      <w:rPr>
        <w:sz w:val="16"/>
        <w:szCs w:val="16"/>
        <w:lang w:val="fr-FR"/>
      </w:rPr>
      <w:fldChar w:fldCharType="separate"/>
    </w:r>
    <w:r w:rsidR="0089626C">
      <w:rPr>
        <w:noProof/>
        <w:sz w:val="16"/>
        <w:szCs w:val="16"/>
      </w:rPr>
      <w:t>P:\ARA\ITU-R\CONF-R\CMR23\000\044ADD22ADD02A.docx</w:t>
    </w:r>
    <w:r w:rsidRPr="0026373E">
      <w:rPr>
        <w:sz w:val="16"/>
        <w:szCs w:val="16"/>
      </w:rPr>
      <w:fldChar w:fldCharType="end"/>
    </w:r>
    <w:proofErr w:type="gramStart"/>
    <w:r w:rsidRPr="0026373E">
      <w:rPr>
        <w:sz w:val="16"/>
        <w:szCs w:val="16"/>
      </w:rPr>
      <w:t xml:space="preserve">  </w:t>
    </w:r>
    <w:r w:rsidRPr="002C2DAD">
      <w:rPr>
        <w:sz w:val="16"/>
        <w:szCs w:val="16"/>
      </w:rPr>
      <w:t xml:space="preserve"> (</w:t>
    </w:r>
    <w:proofErr w:type="gramEnd"/>
    <w:r w:rsidRPr="00A72DD6">
      <w:rPr>
        <w:sz w:val="16"/>
        <w:szCs w:val="16"/>
      </w:rPr>
      <w:t>529462</w:t>
    </w:r>
    <w:r w:rsidRPr="002C2DAD">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D0A0" w14:textId="3CEB5473" w:rsidR="0015230E" w:rsidRPr="00D63A6F" w:rsidRDefault="0015230E" w:rsidP="0015230E">
    <w:pPr>
      <w:pStyle w:val="Footer"/>
      <w:tabs>
        <w:tab w:val="center" w:pos="5103"/>
        <w:tab w:val="right" w:pos="9639"/>
      </w:tabs>
      <w:bidi w:val="0"/>
      <w:spacing w:before="120"/>
      <w:rPr>
        <w:sz w:val="16"/>
        <w:szCs w:val="16"/>
      </w:rPr>
    </w:pPr>
    <w:r w:rsidRPr="0026373E">
      <w:rPr>
        <w:sz w:val="16"/>
        <w:szCs w:val="16"/>
        <w:lang w:val="fr-FR"/>
      </w:rPr>
      <w:fldChar w:fldCharType="begin"/>
    </w:r>
    <w:r w:rsidRPr="002C2DAD">
      <w:rPr>
        <w:sz w:val="16"/>
        <w:szCs w:val="16"/>
      </w:rPr>
      <w:instrText xml:space="preserve"> FILENAME \p \* MERGEFORMAT </w:instrText>
    </w:r>
    <w:r w:rsidRPr="0026373E">
      <w:rPr>
        <w:sz w:val="16"/>
        <w:szCs w:val="16"/>
        <w:lang w:val="fr-FR"/>
      </w:rPr>
      <w:fldChar w:fldCharType="separate"/>
    </w:r>
    <w:r w:rsidR="0089626C">
      <w:rPr>
        <w:noProof/>
        <w:sz w:val="16"/>
        <w:szCs w:val="16"/>
      </w:rPr>
      <w:t>P:\ARA\ITU-R\CONF-R\CMR23\000\044ADD22ADD02A.docx</w:t>
    </w:r>
    <w:r w:rsidRPr="0026373E">
      <w:rPr>
        <w:sz w:val="16"/>
        <w:szCs w:val="16"/>
      </w:rPr>
      <w:fldChar w:fldCharType="end"/>
    </w:r>
    <w:proofErr w:type="gramStart"/>
    <w:r w:rsidRPr="0026373E">
      <w:rPr>
        <w:sz w:val="16"/>
        <w:szCs w:val="16"/>
      </w:rPr>
      <w:t xml:space="preserve">  </w:t>
    </w:r>
    <w:r w:rsidRPr="002C2DAD">
      <w:rPr>
        <w:sz w:val="16"/>
        <w:szCs w:val="16"/>
      </w:rPr>
      <w:t xml:space="preserve"> (</w:t>
    </w:r>
    <w:proofErr w:type="gramEnd"/>
    <w:r w:rsidRPr="00A72DD6">
      <w:rPr>
        <w:sz w:val="16"/>
        <w:szCs w:val="16"/>
      </w:rPr>
      <w:t>529462</w:t>
    </w:r>
    <w:r w:rsidRPr="002C2DAD">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ABC3" w14:textId="77777777" w:rsidR="00507F16" w:rsidRDefault="00507F16" w:rsidP="00C45930">
      <w:r>
        <w:separator/>
      </w:r>
    </w:p>
  </w:footnote>
  <w:footnote w:type="continuationSeparator" w:id="0">
    <w:p w14:paraId="1D0A74BB" w14:textId="77777777" w:rsidR="00507F16" w:rsidRDefault="00507F16" w:rsidP="002919E1">
      <w:r>
        <w:continuationSeparator/>
      </w:r>
    </w:p>
    <w:p w14:paraId="352CEAE6" w14:textId="77777777" w:rsidR="00507F16" w:rsidRDefault="00507F16" w:rsidP="002919E1"/>
    <w:p w14:paraId="173C3F8A" w14:textId="77777777" w:rsidR="00507F16" w:rsidRDefault="00507F16" w:rsidP="002919E1"/>
    <w:p w14:paraId="7D5E5DA2" w14:textId="77777777" w:rsidR="00507F16" w:rsidRDefault="00507F16"/>
    <w:p w14:paraId="283AFB27" w14:textId="77777777" w:rsidR="00507F16" w:rsidRDefault="00507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DCF3" w14:textId="77777777" w:rsidR="005E5F16" w:rsidRPr="00D74B4E" w:rsidRDefault="005E5F16" w:rsidP="005E5F16">
    <w:pPr>
      <w:bidi w:val="0"/>
      <w:spacing w:after="360" w:line="240" w:lineRule="auto"/>
      <w:jc w:val="center"/>
      <w:rPr>
        <w:sz w:val="20"/>
        <w:szCs w:val="20"/>
      </w:rPr>
    </w:pPr>
    <w:r w:rsidRPr="00D74B4E">
      <w:rPr>
        <w:rStyle w:val="PageNumber"/>
        <w:rFonts w:ascii="Dubai" w:hAnsi="Dubai" w:cs="Dubai"/>
      </w:rPr>
      <w:fldChar w:fldCharType="begin"/>
    </w:r>
    <w:r w:rsidRPr="00D74B4E">
      <w:rPr>
        <w:rStyle w:val="PageNumber"/>
        <w:rFonts w:ascii="Dubai" w:hAnsi="Dubai" w:cs="Dubai"/>
      </w:rPr>
      <w:instrText xml:space="preserve"> PAGE </w:instrText>
    </w:r>
    <w:r w:rsidRPr="00D74B4E">
      <w:rPr>
        <w:rStyle w:val="PageNumber"/>
        <w:rFonts w:ascii="Dubai" w:hAnsi="Dubai" w:cs="Dubai"/>
      </w:rPr>
      <w:fldChar w:fldCharType="separate"/>
    </w:r>
    <w:r w:rsidRPr="00D74B4E">
      <w:rPr>
        <w:rStyle w:val="PageNumber"/>
        <w:rFonts w:ascii="Dubai" w:hAnsi="Dubai" w:cs="Dubai"/>
      </w:rPr>
      <w:t>2</w:t>
    </w:r>
    <w:r w:rsidRPr="00D74B4E">
      <w:rPr>
        <w:rStyle w:val="PageNumber"/>
        <w:rFonts w:ascii="Dubai" w:hAnsi="Dubai" w:cs="Dubai"/>
      </w:rPr>
      <w:fldChar w:fldCharType="end"/>
    </w:r>
    <w:r w:rsidRPr="00D74B4E">
      <w:rPr>
        <w:rStyle w:val="PageNumber"/>
        <w:rFonts w:ascii="Dubai" w:hAnsi="Dubai" w:cs="Dubai"/>
        <w:rtl/>
      </w:rPr>
      <w:br/>
    </w:r>
    <w:r w:rsidR="004F5F29" w:rsidRPr="00D74B4E">
      <w:rPr>
        <w:rStyle w:val="PageNumber"/>
        <w:rFonts w:ascii="Dubai" w:hAnsi="Dubai" w:cs="Dubai"/>
      </w:rPr>
      <w:t>WRC</w:t>
    </w:r>
    <w:r w:rsidRPr="00D74B4E">
      <w:rPr>
        <w:rStyle w:val="PageNumber"/>
        <w:rFonts w:ascii="Dubai" w:hAnsi="Dubai" w:cs="Dubai"/>
      </w:rPr>
      <w:t>23/44(Add.</w:t>
    </w:r>
    <w:proofErr w:type="gramStart"/>
    <w:r w:rsidRPr="00D74B4E">
      <w:rPr>
        <w:rStyle w:val="PageNumber"/>
        <w:rFonts w:ascii="Dubai" w:hAnsi="Dubai" w:cs="Dubai"/>
      </w:rPr>
      <w:t>22)(</w:t>
    </w:r>
    <w:proofErr w:type="gramEnd"/>
    <w:r w:rsidRPr="00D74B4E">
      <w:rPr>
        <w:rStyle w:val="PageNumber"/>
        <w:rFonts w:ascii="Dubai" w:hAnsi="Dubai" w:cs="Dubai"/>
      </w:rPr>
      <w:t>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DA8C" w14:textId="77777777" w:rsidR="003B3E91" w:rsidRPr="00D74B4E" w:rsidRDefault="003B3E91" w:rsidP="003B3E91">
    <w:pPr>
      <w:bidi w:val="0"/>
      <w:spacing w:after="360" w:line="240" w:lineRule="auto"/>
      <w:jc w:val="center"/>
      <w:rPr>
        <w:sz w:val="20"/>
        <w:szCs w:val="20"/>
      </w:rPr>
    </w:pPr>
    <w:r w:rsidRPr="00D74B4E">
      <w:rPr>
        <w:rStyle w:val="PageNumber"/>
        <w:rFonts w:ascii="Dubai" w:hAnsi="Dubai" w:cs="Dubai"/>
      </w:rPr>
      <w:fldChar w:fldCharType="begin"/>
    </w:r>
    <w:r w:rsidRPr="00D74B4E">
      <w:rPr>
        <w:rStyle w:val="PageNumber"/>
        <w:rFonts w:ascii="Dubai" w:hAnsi="Dubai" w:cs="Dubai"/>
      </w:rPr>
      <w:instrText xml:space="preserve"> PAGE </w:instrText>
    </w:r>
    <w:r w:rsidRPr="00D74B4E">
      <w:rPr>
        <w:rStyle w:val="PageNumber"/>
        <w:rFonts w:ascii="Dubai" w:hAnsi="Dubai" w:cs="Dubai"/>
      </w:rPr>
      <w:fldChar w:fldCharType="separate"/>
    </w:r>
    <w:r>
      <w:rPr>
        <w:rStyle w:val="PageNumber"/>
        <w:rFonts w:ascii="Dubai" w:hAnsi="Dubai" w:cs="Dubai"/>
      </w:rPr>
      <w:t>2</w:t>
    </w:r>
    <w:r w:rsidRPr="00D74B4E">
      <w:rPr>
        <w:rStyle w:val="PageNumber"/>
        <w:rFonts w:ascii="Dubai" w:hAnsi="Dubai" w:cs="Dubai"/>
      </w:rPr>
      <w:fldChar w:fldCharType="end"/>
    </w:r>
    <w:r w:rsidRPr="00D74B4E">
      <w:rPr>
        <w:rStyle w:val="PageNumber"/>
        <w:rFonts w:ascii="Dubai" w:hAnsi="Dubai" w:cs="Dubai"/>
        <w:rtl/>
      </w:rPr>
      <w:br/>
    </w:r>
    <w:r w:rsidRPr="00D74B4E">
      <w:rPr>
        <w:rStyle w:val="PageNumber"/>
        <w:rFonts w:ascii="Dubai" w:hAnsi="Dubai" w:cs="Dubai"/>
      </w:rPr>
      <w:t>WRC23/44(Add.</w:t>
    </w:r>
    <w:proofErr w:type="gramStart"/>
    <w:r w:rsidRPr="00D74B4E">
      <w:rPr>
        <w:rStyle w:val="PageNumber"/>
        <w:rFonts w:ascii="Dubai" w:hAnsi="Dubai" w:cs="Dubai"/>
      </w:rPr>
      <w:t>22)(</w:t>
    </w:r>
    <w:proofErr w:type="gramEnd"/>
    <w:r w:rsidRPr="00D74B4E">
      <w:rPr>
        <w:rStyle w:val="PageNumber"/>
        <w:rFonts w:ascii="Dubai" w:hAnsi="Dubai" w:cs="Dubai"/>
      </w:rPr>
      <w:t>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23562796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0D2"/>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3BEA"/>
    <w:rsid w:val="000746E7"/>
    <w:rsid w:val="00075A3F"/>
    <w:rsid w:val="00082E47"/>
    <w:rsid w:val="00085A2A"/>
    <w:rsid w:val="0008795A"/>
    <w:rsid w:val="00094467"/>
    <w:rsid w:val="00095283"/>
    <w:rsid w:val="00095C28"/>
    <w:rsid w:val="000A01F0"/>
    <w:rsid w:val="000A1B16"/>
    <w:rsid w:val="000A53A4"/>
    <w:rsid w:val="000A6B88"/>
    <w:rsid w:val="000B0235"/>
    <w:rsid w:val="000B0C28"/>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618"/>
    <w:rsid w:val="00130B54"/>
    <w:rsid w:val="00134562"/>
    <w:rsid w:val="00134CAD"/>
    <w:rsid w:val="001356B2"/>
    <w:rsid w:val="00136B82"/>
    <w:rsid w:val="00141821"/>
    <w:rsid w:val="00141DB6"/>
    <w:rsid w:val="001464F2"/>
    <w:rsid w:val="00146A76"/>
    <w:rsid w:val="0015230E"/>
    <w:rsid w:val="0016459B"/>
    <w:rsid w:val="00167364"/>
    <w:rsid w:val="001903B2"/>
    <w:rsid w:val="0019333E"/>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4D26"/>
    <w:rsid w:val="002075D4"/>
    <w:rsid w:val="00211B2A"/>
    <w:rsid w:val="002160EC"/>
    <w:rsid w:val="0022104A"/>
    <w:rsid w:val="00223C6C"/>
    <w:rsid w:val="00227709"/>
    <w:rsid w:val="002319FD"/>
    <w:rsid w:val="002323AD"/>
    <w:rsid w:val="002333A0"/>
    <w:rsid w:val="002374F3"/>
    <w:rsid w:val="002418B0"/>
    <w:rsid w:val="00243CA9"/>
    <w:rsid w:val="0024569A"/>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2DAD"/>
    <w:rsid w:val="002C691C"/>
    <w:rsid w:val="002C7A55"/>
    <w:rsid w:val="002C7D78"/>
    <w:rsid w:val="002D1FFC"/>
    <w:rsid w:val="002D5F64"/>
    <w:rsid w:val="002D6BB4"/>
    <w:rsid w:val="002D6FBF"/>
    <w:rsid w:val="002E48BF"/>
    <w:rsid w:val="002E61C2"/>
    <w:rsid w:val="002E6B9D"/>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4A53"/>
    <w:rsid w:val="0039238F"/>
    <w:rsid w:val="003923B1"/>
    <w:rsid w:val="0039497E"/>
    <w:rsid w:val="003965FE"/>
    <w:rsid w:val="003B2059"/>
    <w:rsid w:val="003B27AD"/>
    <w:rsid w:val="003B3E91"/>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395A"/>
    <w:rsid w:val="00485BC1"/>
    <w:rsid w:val="004861FD"/>
    <w:rsid w:val="004909DD"/>
    <w:rsid w:val="00492FD9"/>
    <w:rsid w:val="00493A03"/>
    <w:rsid w:val="00495630"/>
    <w:rsid w:val="00496110"/>
    <w:rsid w:val="004A05E6"/>
    <w:rsid w:val="004A49EF"/>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07F16"/>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1325"/>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38B2"/>
    <w:rsid w:val="007248EC"/>
    <w:rsid w:val="00724DB1"/>
    <w:rsid w:val="00726098"/>
    <w:rsid w:val="00726744"/>
    <w:rsid w:val="00731150"/>
    <w:rsid w:val="00734E41"/>
    <w:rsid w:val="00736DCC"/>
    <w:rsid w:val="00741855"/>
    <w:rsid w:val="00742B73"/>
    <w:rsid w:val="0074578B"/>
    <w:rsid w:val="007467EA"/>
    <w:rsid w:val="00751251"/>
    <w:rsid w:val="00752552"/>
    <w:rsid w:val="007545ED"/>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6C2E"/>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32F6"/>
    <w:rsid w:val="00810482"/>
    <w:rsid w:val="008150D6"/>
    <w:rsid w:val="0081659C"/>
    <w:rsid w:val="00816F17"/>
    <w:rsid w:val="00817568"/>
    <w:rsid w:val="008204AC"/>
    <w:rsid w:val="008261C2"/>
    <w:rsid w:val="00830D96"/>
    <w:rsid w:val="008350B4"/>
    <w:rsid w:val="00844DE0"/>
    <w:rsid w:val="00851E79"/>
    <w:rsid w:val="0085569D"/>
    <w:rsid w:val="00855B59"/>
    <w:rsid w:val="008562C5"/>
    <w:rsid w:val="00856C76"/>
    <w:rsid w:val="0085774F"/>
    <w:rsid w:val="008614B8"/>
    <w:rsid w:val="00862C7E"/>
    <w:rsid w:val="008657CB"/>
    <w:rsid w:val="008672FD"/>
    <w:rsid w:val="00870FBA"/>
    <w:rsid w:val="00873A6F"/>
    <w:rsid w:val="00880DBE"/>
    <w:rsid w:val="0088384B"/>
    <w:rsid w:val="008927F5"/>
    <w:rsid w:val="00893E53"/>
    <w:rsid w:val="0089626C"/>
    <w:rsid w:val="0089722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5991"/>
    <w:rsid w:val="00906BA8"/>
    <w:rsid w:val="00907ECF"/>
    <w:rsid w:val="00921CBB"/>
    <w:rsid w:val="00932571"/>
    <w:rsid w:val="009344B2"/>
    <w:rsid w:val="0094097F"/>
    <w:rsid w:val="00944A85"/>
    <w:rsid w:val="00951718"/>
    <w:rsid w:val="00951BEC"/>
    <w:rsid w:val="00954929"/>
    <w:rsid w:val="00955405"/>
    <w:rsid w:val="00960472"/>
    <w:rsid w:val="00960962"/>
    <w:rsid w:val="009633E4"/>
    <w:rsid w:val="00963EEA"/>
    <w:rsid w:val="00970FB3"/>
    <w:rsid w:val="00972CE0"/>
    <w:rsid w:val="00984018"/>
    <w:rsid w:val="009906D6"/>
    <w:rsid w:val="0099186B"/>
    <w:rsid w:val="00995CE3"/>
    <w:rsid w:val="009A3D30"/>
    <w:rsid w:val="009A5AC1"/>
    <w:rsid w:val="009B006F"/>
    <w:rsid w:val="009C3927"/>
    <w:rsid w:val="009D15C6"/>
    <w:rsid w:val="009D6348"/>
    <w:rsid w:val="009E0A44"/>
    <w:rsid w:val="009E5007"/>
    <w:rsid w:val="009E613F"/>
    <w:rsid w:val="009F042B"/>
    <w:rsid w:val="009F2EC9"/>
    <w:rsid w:val="009F62FE"/>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286"/>
    <w:rsid w:val="00A375BD"/>
    <w:rsid w:val="00A40320"/>
    <w:rsid w:val="00A40B2C"/>
    <w:rsid w:val="00A42709"/>
    <w:rsid w:val="00A42ADC"/>
    <w:rsid w:val="00A455BE"/>
    <w:rsid w:val="00A46FC4"/>
    <w:rsid w:val="00A47548"/>
    <w:rsid w:val="00A567C6"/>
    <w:rsid w:val="00A6131E"/>
    <w:rsid w:val="00A62883"/>
    <w:rsid w:val="00A646C7"/>
    <w:rsid w:val="00A64791"/>
    <w:rsid w:val="00A66D2B"/>
    <w:rsid w:val="00A72DD6"/>
    <w:rsid w:val="00A7588B"/>
    <w:rsid w:val="00A809E8"/>
    <w:rsid w:val="00A82CC1"/>
    <w:rsid w:val="00A86B29"/>
    <w:rsid w:val="00A870AD"/>
    <w:rsid w:val="00A90843"/>
    <w:rsid w:val="00A92975"/>
    <w:rsid w:val="00A93A62"/>
    <w:rsid w:val="00A94570"/>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5840"/>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40A"/>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5F30"/>
    <w:rsid w:val="00C66F07"/>
    <w:rsid w:val="00C71759"/>
    <w:rsid w:val="00C71CEF"/>
    <w:rsid w:val="00C72F14"/>
    <w:rsid w:val="00C8199C"/>
    <w:rsid w:val="00C82AB3"/>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0FB5"/>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74B4E"/>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03B8"/>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C47A6"/>
    <w:rsid w:val="00ED048C"/>
    <w:rsid w:val="00EE044F"/>
    <w:rsid w:val="00EE60E9"/>
    <w:rsid w:val="00EF2B96"/>
    <w:rsid w:val="00EF38AF"/>
    <w:rsid w:val="00EF51F8"/>
    <w:rsid w:val="00F00143"/>
    <w:rsid w:val="00F02067"/>
    <w:rsid w:val="00F02B4D"/>
    <w:rsid w:val="00F046B4"/>
    <w:rsid w:val="00F055F8"/>
    <w:rsid w:val="00F06C2D"/>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87D15"/>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6A4D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F157E0"/>
    <w:pPr>
      <w:keepNext/>
      <w:keepLines/>
      <w:tabs>
        <w:tab w:val="clear" w:pos="1871"/>
        <w:tab w:val="left" w:pos="1701"/>
        <w:tab w:val="left" w:pos="2835"/>
      </w:tabs>
      <w:overflowPunct w:val="0"/>
      <w:autoSpaceDE w:val="0"/>
      <w:autoSpaceDN w:val="0"/>
      <w:adjustRightInd w:val="0"/>
      <w:spacing w:before="240" w:after="240"/>
      <w:jc w:val="center"/>
      <w:textAlignment w:val="baseline"/>
    </w:pPr>
    <w:rPr>
      <w:rFonts w:eastAsia="SimSun"/>
      <w:b/>
      <w:bCs/>
      <w:sz w:val="32"/>
      <w:szCs w:val="32"/>
      <w:lang w:val="en-GB"/>
    </w:rPr>
  </w:style>
  <w:style w:type="character" w:styleId="UnresolvedMention">
    <w:name w:val="Unresolved Mention"/>
    <w:basedOn w:val="DefaultParagraphFont"/>
    <w:uiPriority w:val="99"/>
    <w:semiHidden/>
    <w:unhideWhenUsed/>
    <w:rsid w:val="00A94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22-RRB22.3-C-0005/en"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e8e41a-b8c9-4f90-ae0e-62e548758858" targetNamespace="http://schemas.microsoft.com/office/2006/metadata/properties" ma:root="true" ma:fieldsID="d41af5c836d734370eb92e7ee5f83852" ns2:_="" ns3:_="">
    <xsd:import namespace="996b2e75-67fd-4955-a3b0-5ab9934cb50b"/>
    <xsd:import namespace="11e8e41a-b8c9-4f90-ae0e-62e54875885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e8e41a-b8c9-4f90-ae0e-62e54875885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11e8e41a-b8c9-4f90-ae0e-62e548758858">DPM</DPM_x0020_Author>
    <DPM_x0020_File_x0020_name xmlns="11e8e41a-b8c9-4f90-ae0e-62e548758858">R23-WRC23-C-0044!A22-A2!MSW-A</DPM_x0020_File_x0020_name>
    <DPM_x0020_Version xmlns="11e8e41a-b8c9-4f90-ae0e-62e548758858">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e8e41a-b8c9-4f90-ae0e-62e548758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11e8e41a-b8c9-4f90-ae0e-62e548758858"/>
    <ds:schemaRef ds:uri="996b2e75-67fd-4955-a3b0-5ab9934cb50b"/>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R23-WRC23-C-0044!A22-A2!MSW-A</vt:lpstr>
    </vt:vector>
  </TitlesOfParts>
  <Manager>General Secretariat - Pool</Manager>
  <Company>International Telecommunication Union (ITU)</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R23-WRC23-C-0044!A22-A2!MSW-A</dc:title>
  <dc:creator>Documents Proposals Manager (DPM)</dc:creator>
  <cp:keywords>DPM_v2023.8.1.1_prod</cp:keywords>
  <cp:lastModifiedBy>Arabic-AAM</cp:lastModifiedBy>
  <cp:revision>6</cp:revision>
  <cp:lastPrinted>2020-08-11T14:28:00Z</cp:lastPrinted>
  <dcterms:created xsi:type="dcterms:W3CDTF">2023-11-14T13:19:00Z</dcterms:created>
  <dcterms:modified xsi:type="dcterms:W3CDTF">2023-11-17T17:41:00Z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