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DC7580" w14:paraId="7EA034F9" w14:textId="77777777" w:rsidTr="0080079E">
        <w:trPr>
          <w:cantSplit/>
        </w:trPr>
        <w:tc>
          <w:tcPr>
            <w:tcW w:w="1418" w:type="dxa"/>
            <w:vAlign w:val="center"/>
          </w:tcPr>
          <w:p w14:paraId="4CC58078" w14:textId="77777777" w:rsidR="0080079E" w:rsidRPr="00DC7580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DC7580">
              <w:rPr>
                <w:noProof/>
              </w:rPr>
              <w:drawing>
                <wp:inline distT="0" distB="0" distL="0" distR="0" wp14:anchorId="26BDE4F1" wp14:editId="5E04B36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FDE6C4A" w14:textId="77777777" w:rsidR="0080079E" w:rsidRPr="00DC7580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DC758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DC758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7580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22ED248F" w14:textId="77777777" w:rsidR="0080079E" w:rsidRPr="00DC7580" w:rsidRDefault="0080079E" w:rsidP="0080079E">
            <w:pPr>
              <w:spacing w:before="0" w:line="240" w:lineRule="atLeast"/>
            </w:pPr>
            <w:r w:rsidRPr="00DC7580">
              <w:rPr>
                <w:noProof/>
              </w:rPr>
              <w:drawing>
                <wp:inline distT="0" distB="0" distL="0" distR="0" wp14:anchorId="7563B662" wp14:editId="0D58B561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C7580" w14:paraId="0A188D84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31D290B" w14:textId="77777777" w:rsidR="0090121B" w:rsidRPr="00DC7580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0BC7D1C" w14:textId="77777777" w:rsidR="0090121B" w:rsidRPr="00DC7580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DC7580" w14:paraId="4C9222E5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AF9BB9F" w14:textId="77777777" w:rsidR="0090121B" w:rsidRPr="00DC7580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99FA539" w14:textId="77777777" w:rsidR="0090121B" w:rsidRPr="00DC7580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DC7580" w14:paraId="04BE7E45" w14:textId="77777777" w:rsidTr="0090121B">
        <w:trPr>
          <w:cantSplit/>
        </w:trPr>
        <w:tc>
          <w:tcPr>
            <w:tcW w:w="6911" w:type="dxa"/>
            <w:gridSpan w:val="2"/>
          </w:tcPr>
          <w:p w14:paraId="1D5184F5" w14:textId="77777777" w:rsidR="0090121B" w:rsidRPr="00DC7580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DC7580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5B6675B5" w14:textId="77777777" w:rsidR="0090121B" w:rsidRPr="00DC7580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DC7580">
              <w:rPr>
                <w:rFonts w:ascii="Verdana" w:hAnsi="Verdana"/>
                <w:b/>
                <w:sz w:val="18"/>
                <w:szCs w:val="18"/>
              </w:rPr>
              <w:t>Addéndum 4 al</w:t>
            </w:r>
            <w:r w:rsidRPr="00DC7580">
              <w:rPr>
                <w:rFonts w:ascii="Verdana" w:hAnsi="Verdana"/>
                <w:b/>
                <w:sz w:val="18"/>
                <w:szCs w:val="18"/>
              </w:rPr>
              <w:br/>
              <w:t>Documento 44(Add.22)</w:t>
            </w:r>
            <w:r w:rsidR="0090121B" w:rsidRPr="00DC7580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DC7580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DC7580" w14:paraId="0A8FBA82" w14:textId="77777777" w:rsidTr="0090121B">
        <w:trPr>
          <w:cantSplit/>
        </w:trPr>
        <w:tc>
          <w:tcPr>
            <w:tcW w:w="6911" w:type="dxa"/>
            <w:gridSpan w:val="2"/>
          </w:tcPr>
          <w:p w14:paraId="1AFEC48E" w14:textId="77777777" w:rsidR="000A5B9A" w:rsidRPr="00DC758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3AC74ADC" w14:textId="77777777" w:rsidR="000A5B9A" w:rsidRPr="00DC758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C7580">
              <w:rPr>
                <w:rFonts w:ascii="Verdana" w:hAnsi="Verdana"/>
                <w:b/>
                <w:sz w:val="18"/>
                <w:szCs w:val="18"/>
              </w:rPr>
              <w:t>26 de junio de 2023</w:t>
            </w:r>
          </w:p>
        </w:tc>
      </w:tr>
      <w:tr w:rsidR="000A5B9A" w:rsidRPr="00DC7580" w14:paraId="45F948A8" w14:textId="77777777" w:rsidTr="0090121B">
        <w:trPr>
          <w:cantSplit/>
        </w:trPr>
        <w:tc>
          <w:tcPr>
            <w:tcW w:w="6911" w:type="dxa"/>
            <w:gridSpan w:val="2"/>
          </w:tcPr>
          <w:p w14:paraId="46F2C5DF" w14:textId="77777777" w:rsidR="000A5B9A" w:rsidRPr="00DC758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6A9DE223" w14:textId="77777777" w:rsidR="000A5B9A" w:rsidRPr="00DC758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C7580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DC7580" w14:paraId="51E61A1C" w14:textId="77777777" w:rsidTr="006744FC">
        <w:trPr>
          <w:cantSplit/>
        </w:trPr>
        <w:tc>
          <w:tcPr>
            <w:tcW w:w="10031" w:type="dxa"/>
            <w:gridSpan w:val="4"/>
          </w:tcPr>
          <w:p w14:paraId="07653D1C" w14:textId="77777777" w:rsidR="000A5B9A" w:rsidRPr="00DC758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DC7580" w14:paraId="1035E47C" w14:textId="77777777" w:rsidTr="0050008E">
        <w:trPr>
          <w:cantSplit/>
        </w:trPr>
        <w:tc>
          <w:tcPr>
            <w:tcW w:w="10031" w:type="dxa"/>
            <w:gridSpan w:val="4"/>
          </w:tcPr>
          <w:p w14:paraId="03849432" w14:textId="77777777" w:rsidR="000A5B9A" w:rsidRPr="00DC7580" w:rsidRDefault="000A5B9A" w:rsidP="000A5B9A">
            <w:pPr>
              <w:pStyle w:val="Source"/>
            </w:pPr>
            <w:bookmarkStart w:id="1" w:name="dsource" w:colFirst="0" w:colLast="0"/>
            <w:r w:rsidRPr="00DC7580">
              <w:t>Estados Miembros de la Comisión Interamericana de Telecomunicaciones (CITEL)</w:t>
            </w:r>
          </w:p>
        </w:tc>
      </w:tr>
      <w:tr w:rsidR="000A5B9A" w:rsidRPr="00DC7580" w14:paraId="3AEBC5AE" w14:textId="77777777" w:rsidTr="0050008E">
        <w:trPr>
          <w:cantSplit/>
        </w:trPr>
        <w:tc>
          <w:tcPr>
            <w:tcW w:w="10031" w:type="dxa"/>
            <w:gridSpan w:val="4"/>
          </w:tcPr>
          <w:p w14:paraId="7E8B23DD" w14:textId="5499583A" w:rsidR="000A5B9A" w:rsidRPr="00DC7580" w:rsidRDefault="00FF318B" w:rsidP="000A5B9A">
            <w:pPr>
              <w:pStyle w:val="Title1"/>
            </w:pPr>
            <w:bookmarkStart w:id="2" w:name="dtitle1" w:colFirst="0" w:colLast="0"/>
            <w:bookmarkEnd w:id="1"/>
            <w:r w:rsidRPr="00DC7580">
              <w:t>PROPUESTAS PARA LOS TRABAJOS DE LA CONFERENCIA</w:t>
            </w:r>
          </w:p>
        </w:tc>
      </w:tr>
      <w:tr w:rsidR="000A5B9A" w:rsidRPr="00DC7580" w14:paraId="0AD62E18" w14:textId="77777777" w:rsidTr="0050008E">
        <w:trPr>
          <w:cantSplit/>
        </w:trPr>
        <w:tc>
          <w:tcPr>
            <w:tcW w:w="10031" w:type="dxa"/>
            <w:gridSpan w:val="4"/>
          </w:tcPr>
          <w:p w14:paraId="020B6960" w14:textId="77777777" w:rsidR="000A5B9A" w:rsidRPr="00DC7580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DC7580" w14:paraId="4D5178E2" w14:textId="77777777" w:rsidTr="0050008E">
        <w:trPr>
          <w:cantSplit/>
        </w:trPr>
        <w:tc>
          <w:tcPr>
            <w:tcW w:w="10031" w:type="dxa"/>
            <w:gridSpan w:val="4"/>
          </w:tcPr>
          <w:p w14:paraId="55B2F442" w14:textId="77777777" w:rsidR="000A5B9A" w:rsidRPr="00DC7580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DC7580">
              <w:t>Punto 7(D1) del orden del día</w:t>
            </w:r>
          </w:p>
        </w:tc>
      </w:tr>
    </w:tbl>
    <w:bookmarkEnd w:id="4"/>
    <w:p w14:paraId="49975CC1" w14:textId="77777777" w:rsidR="00CA2965" w:rsidRPr="00DC7580" w:rsidRDefault="00D101E7" w:rsidP="00F3193C">
      <w:r w:rsidRPr="00DC7580">
        <w:t>7</w:t>
      </w:r>
      <w:r w:rsidRPr="00DC7580">
        <w:tab/>
        <w:t>considerar posibles modificaciones para responder a lo dispuesto en la Resolución 86 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DC7580">
        <w:rPr>
          <w:b/>
          <w:bCs/>
        </w:rPr>
        <w:t>86 (Rev.CMR-07</w:t>
      </w:r>
      <w:r w:rsidRPr="00DC7580">
        <w:rPr>
          <w:b/>
        </w:rPr>
        <w:t>)</w:t>
      </w:r>
      <w:r w:rsidRPr="00DC7580">
        <w:rPr>
          <w:b/>
          <w:bCs/>
        </w:rPr>
        <w:t xml:space="preserve">, </w:t>
      </w:r>
      <w:r w:rsidRPr="00DC7580">
        <w:t>para facilitar el uso</w:t>
      </w:r>
      <w:r w:rsidRPr="00DC7580">
        <w:rPr>
          <w:b/>
          <w:bCs/>
        </w:rPr>
        <w:t xml:space="preserve"> </w:t>
      </w:r>
      <w:r w:rsidRPr="00DC7580">
        <w:t>racional, eficiente y económico de las radiofrecuencias y órbitas asociadas, incluida la órbita de los satélites geoestacionarios;</w:t>
      </w:r>
    </w:p>
    <w:p w14:paraId="4ECE2C1B" w14:textId="77777777" w:rsidR="00CA2965" w:rsidRPr="00DC7580" w:rsidRDefault="00D101E7" w:rsidP="000A30EB">
      <w:r w:rsidRPr="00DC7580">
        <w:t xml:space="preserve">7(D1) </w:t>
      </w:r>
      <w:r w:rsidRPr="00DC7580">
        <w:tab/>
        <w:t xml:space="preserve">Tema D1 – Modificaciones del Apéndice 1 al Anexo 4 del Apéndice </w:t>
      </w:r>
      <w:r w:rsidRPr="00DC7580">
        <w:rPr>
          <w:b/>
          <w:bCs/>
        </w:rPr>
        <w:t>30B</w:t>
      </w:r>
      <w:r w:rsidRPr="00DC7580">
        <w:t xml:space="preserve"> del RR</w:t>
      </w:r>
    </w:p>
    <w:p w14:paraId="797D4574" w14:textId="2742C75D" w:rsidR="00FF318B" w:rsidRPr="00DC7580" w:rsidRDefault="00FF318B" w:rsidP="00FF318B">
      <w:pPr>
        <w:pStyle w:val="Headingb"/>
      </w:pPr>
      <w:r w:rsidRPr="00DC7580">
        <w:t>Antecedentes</w:t>
      </w:r>
    </w:p>
    <w:p w14:paraId="55DE669B" w14:textId="3C05D5C0" w:rsidR="00FF318B" w:rsidRPr="00DC7580" w:rsidRDefault="00FF318B" w:rsidP="003014B0">
      <w:r w:rsidRPr="00DC7580">
        <w:t>E</w:t>
      </w:r>
      <w:r w:rsidR="00DC7580">
        <w:t>n e</w:t>
      </w:r>
      <w:r w:rsidRPr="00DC7580">
        <w:t xml:space="preserve">l </w:t>
      </w:r>
      <w:r w:rsidR="003014B0" w:rsidRPr="00DC7580">
        <w:t xml:space="preserve">Apéndice 1 al Anexo 4 del Apéndice </w:t>
      </w:r>
      <w:r w:rsidR="003014B0" w:rsidRPr="00DC7580">
        <w:rPr>
          <w:b/>
          <w:bCs/>
        </w:rPr>
        <w:t>30B</w:t>
      </w:r>
      <w:r w:rsidR="003014B0" w:rsidRPr="00DC7580">
        <w:t xml:space="preserve"> </w:t>
      </w:r>
      <w:r w:rsidRPr="00DC7580">
        <w:t xml:space="preserve">del Reglamento de Radiocomunicaciones </w:t>
      </w:r>
      <w:r w:rsidR="00DC7580">
        <w:t>se detalla</w:t>
      </w:r>
      <w:r w:rsidR="003014B0" w:rsidRPr="00DC7580">
        <w:t xml:space="preserve"> </w:t>
      </w:r>
      <w:r w:rsidRPr="00DC7580">
        <w:t xml:space="preserve">el método </w:t>
      </w:r>
      <w:r w:rsidR="003014B0" w:rsidRPr="00DC7580">
        <w:t>para determinar el valor global de la relación portadora/interferencia de una sola fuente y de la relación portadora/interferencia combinada promediada en la anchura de banda necesaria de la portadora modulada.</w:t>
      </w:r>
    </w:p>
    <w:p w14:paraId="50131EB3" w14:textId="46E609BB" w:rsidR="00FF318B" w:rsidRPr="00DC7580" w:rsidRDefault="003014B0" w:rsidP="003014B0">
      <w:r w:rsidRPr="00DC7580">
        <w:rPr>
          <w:szCs w:val="24"/>
        </w:rPr>
        <w:t>En la Conferencia Mundial de Radiocomunicaciones (CMR) de 2019 se adoptaron modificaciones a</w:t>
      </w:r>
      <w:r w:rsidRPr="00DC7580">
        <w:t xml:space="preserve"> las secciones 1.1 y 1.2 del </w:t>
      </w:r>
      <w:r w:rsidRPr="00DC7580">
        <w:rPr>
          <w:szCs w:val="24"/>
        </w:rPr>
        <w:t>Anexo 4 del Apéndice</w:t>
      </w:r>
      <w:r w:rsidRPr="00DC7580">
        <w:rPr>
          <w:i/>
          <w:szCs w:val="24"/>
        </w:rPr>
        <w:t xml:space="preserve"> </w:t>
      </w:r>
      <w:r w:rsidRPr="00DC7580">
        <w:rPr>
          <w:b/>
          <w:szCs w:val="24"/>
        </w:rPr>
        <w:t xml:space="preserve">30B </w:t>
      </w:r>
      <w:r w:rsidRPr="00DC7580">
        <w:rPr>
          <w:szCs w:val="24"/>
        </w:rPr>
        <w:t xml:space="preserve">del RR, en virtud de las cuales se sustituyeron </w:t>
      </w:r>
      <w:r w:rsidR="00DC7580">
        <w:rPr>
          <w:szCs w:val="24"/>
        </w:rPr>
        <w:t>los valores mínimos de separación orbital</w:t>
      </w:r>
      <w:r w:rsidRPr="00DC7580">
        <w:rPr>
          <w:szCs w:val="24"/>
        </w:rPr>
        <w:t xml:space="preserve"> de 10° y 9° por 7° y 6°, respectivamente.</w:t>
      </w:r>
      <w:r w:rsidR="00FF318B" w:rsidRPr="00DC7580">
        <w:t xml:space="preserve"> Sin embargo, estas modificaciones no se reflejaron en la sección 2 del </w:t>
      </w:r>
      <w:r w:rsidRPr="00DC7580">
        <w:t xml:space="preserve">Apéndice 1 al Anexo 4 del Apéndice </w:t>
      </w:r>
      <w:r w:rsidRPr="00DC7580">
        <w:rPr>
          <w:b/>
          <w:bCs/>
        </w:rPr>
        <w:t>30B</w:t>
      </w:r>
      <w:r w:rsidRPr="00DC7580">
        <w:t xml:space="preserve"> del </w:t>
      </w:r>
      <w:r w:rsidR="00FF318B" w:rsidRPr="00DC7580">
        <w:t>RR, donde se</w:t>
      </w:r>
      <w:r w:rsidRPr="00DC7580">
        <w:t xml:space="preserve"> han mantenido los valores de</w:t>
      </w:r>
      <w:r w:rsidR="00FF318B" w:rsidRPr="00DC7580">
        <w:t xml:space="preserve"> 10</w:t>
      </w:r>
      <w:r w:rsidRPr="00DC7580">
        <w:t>º</w:t>
      </w:r>
      <w:r w:rsidR="00FF318B" w:rsidRPr="00DC7580">
        <w:t xml:space="preserve"> y 9</w:t>
      </w:r>
      <w:r w:rsidRPr="00DC7580">
        <w:t>º</w:t>
      </w:r>
      <w:r w:rsidR="00FF318B" w:rsidRPr="00DC7580">
        <w:t xml:space="preserve"> para el cálculo de la relación </w:t>
      </w:r>
      <w:r w:rsidRPr="00DC7580">
        <w:t xml:space="preserve">portadora/interferencia combinada </w:t>
      </w:r>
      <w:r w:rsidR="00FF318B" w:rsidRPr="00DC7580">
        <w:t>en cualquier punto de prueba de enlace descendente.</w:t>
      </w:r>
    </w:p>
    <w:p w14:paraId="088DA36E" w14:textId="54D1EBB4" w:rsidR="00FF318B" w:rsidRPr="00DC7580" w:rsidRDefault="00FF318B" w:rsidP="00FF318B">
      <w:r w:rsidRPr="00DC7580">
        <w:t>E</w:t>
      </w:r>
      <w:r w:rsidR="003014B0" w:rsidRPr="00DC7580">
        <w:t>n el marco de</w:t>
      </w:r>
      <w:r w:rsidRPr="00DC7580">
        <w:t>l</w:t>
      </w:r>
      <w:r w:rsidR="003014B0" w:rsidRPr="00DC7580">
        <w:rPr>
          <w:szCs w:val="24"/>
        </w:rPr>
        <w:t xml:space="preserve"> Tema D1 del punto 7 del orden del día de la CMR-23 se con</w:t>
      </w:r>
      <w:r w:rsidRPr="00DC7580">
        <w:t xml:space="preserve">sidera esta discrepancia y se ha desarrollado un método, que consiste en modificar </w:t>
      </w:r>
      <w:r w:rsidR="00360902" w:rsidRPr="00DC7580">
        <w:t xml:space="preserve">la sección 2 del Apéndice 1 al Anexo 4 del Apéndice </w:t>
      </w:r>
      <w:r w:rsidR="00360902" w:rsidRPr="00DC7580">
        <w:rPr>
          <w:b/>
          <w:bCs/>
        </w:rPr>
        <w:t>30B</w:t>
      </w:r>
      <w:r w:rsidR="00360902" w:rsidRPr="00DC7580">
        <w:t xml:space="preserve"> del RR a fin de armonizar</w:t>
      </w:r>
      <w:r w:rsidRPr="00DC7580">
        <w:t xml:space="preserve"> los valores de separación orbital </w:t>
      </w:r>
      <w:r w:rsidR="00360902" w:rsidRPr="00DC7580">
        <w:t xml:space="preserve">con los que se indican en las </w:t>
      </w:r>
      <w:r w:rsidRPr="00DC7580">
        <w:t>secciones 1.1 y 1.2 del Anexo adoptado por la CMR-19.</w:t>
      </w:r>
    </w:p>
    <w:p w14:paraId="3CC363BD" w14:textId="744DE21E" w:rsidR="00FF318B" w:rsidRPr="00C13183" w:rsidRDefault="00FF318B" w:rsidP="00C13183">
      <w:pPr>
        <w:pStyle w:val="Headingb"/>
      </w:pPr>
      <w:r w:rsidRPr="00C13183">
        <w:t>Propuesta</w:t>
      </w:r>
    </w:p>
    <w:p w14:paraId="6032A5FB" w14:textId="77777777" w:rsidR="008750A8" w:rsidRPr="00DC7580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C7580">
        <w:br w:type="page"/>
      </w:r>
    </w:p>
    <w:p w14:paraId="1216658E" w14:textId="77777777" w:rsidR="007B2C32" w:rsidRPr="00C13183" w:rsidRDefault="00D101E7" w:rsidP="00C13183">
      <w:pPr>
        <w:pStyle w:val="AppendixNo"/>
      </w:pPr>
      <w:bookmarkStart w:id="5" w:name="_Toc46417522"/>
      <w:bookmarkStart w:id="6" w:name="_Toc46417613"/>
      <w:bookmarkStart w:id="7" w:name="_Toc46474344"/>
      <w:bookmarkStart w:id="8" w:name="_Toc46475747"/>
      <w:r w:rsidRPr="00C13183">
        <w:lastRenderedPageBreak/>
        <w:t xml:space="preserve">APÉNDICE </w:t>
      </w:r>
      <w:r w:rsidRPr="00C13183">
        <w:rPr>
          <w:rStyle w:val="href"/>
        </w:rPr>
        <w:t>30B</w:t>
      </w:r>
      <w:r w:rsidRPr="00C13183">
        <w:t xml:space="preserve"> (Rev.CMR</w:t>
      </w:r>
      <w:r w:rsidRPr="00C13183">
        <w:noBreakHyphen/>
        <w:t>19)</w:t>
      </w:r>
      <w:bookmarkEnd w:id="5"/>
      <w:bookmarkEnd w:id="6"/>
      <w:bookmarkEnd w:id="7"/>
      <w:bookmarkEnd w:id="8"/>
    </w:p>
    <w:p w14:paraId="0042A420" w14:textId="77777777" w:rsidR="007B2C32" w:rsidRPr="00C13183" w:rsidRDefault="00D101E7" w:rsidP="00C13183">
      <w:pPr>
        <w:pStyle w:val="Appendixtitle"/>
      </w:pPr>
      <w:bookmarkStart w:id="9" w:name="_Toc46417523"/>
      <w:bookmarkStart w:id="10" w:name="_Toc46417614"/>
      <w:bookmarkStart w:id="11" w:name="_Toc46474345"/>
      <w:bookmarkStart w:id="12" w:name="_Toc46475748"/>
      <w:r w:rsidRPr="00C13183">
        <w:t>Disposiciones y Plan asociado para el servicio fijo por satélite en</w:t>
      </w:r>
      <w:r w:rsidRPr="00C13183">
        <w:br/>
        <w:t>las bandas de frecuencias 4 500-4 800 MHz, 6 725-7 025 MHz,</w:t>
      </w:r>
      <w:r w:rsidRPr="00C13183">
        <w:br/>
        <w:t>10,70-10,95 GHz, 11,20-11,45 GHz y 12,75-13,25 GHz</w:t>
      </w:r>
      <w:bookmarkEnd w:id="9"/>
      <w:bookmarkEnd w:id="10"/>
      <w:bookmarkEnd w:id="11"/>
      <w:bookmarkEnd w:id="12"/>
    </w:p>
    <w:p w14:paraId="179F0132" w14:textId="77777777" w:rsidR="007B2C32" w:rsidRPr="00C13183" w:rsidRDefault="00D101E7" w:rsidP="00C13183">
      <w:pPr>
        <w:pStyle w:val="AnnexNo"/>
      </w:pPr>
      <w:r w:rsidRPr="00C13183">
        <w:t>            </w:t>
      </w:r>
      <w:bookmarkStart w:id="13" w:name="_Toc46417536"/>
      <w:bookmarkStart w:id="14" w:name="_Toc46417618"/>
      <w:bookmarkStart w:id="15" w:name="_Toc46474349"/>
      <w:bookmarkStart w:id="16" w:name="_Toc46475754"/>
      <w:r w:rsidRPr="00C13183">
        <w:t>ANEXO 4     (REV.CMR</w:t>
      </w:r>
      <w:r w:rsidRPr="00C13183">
        <w:noBreakHyphen/>
        <w:t>19)</w:t>
      </w:r>
      <w:bookmarkEnd w:id="13"/>
      <w:bookmarkEnd w:id="14"/>
      <w:bookmarkEnd w:id="15"/>
      <w:bookmarkEnd w:id="16"/>
    </w:p>
    <w:p w14:paraId="78BB3A21" w14:textId="513C4D76" w:rsidR="00FD0E40" w:rsidRPr="00DC7580" w:rsidRDefault="00FD0E40" w:rsidP="00FD0E40">
      <w:pPr>
        <w:pStyle w:val="AnnexTitle0"/>
        <w:rPr>
          <w:lang w:val="es-ES_tradnl"/>
        </w:rPr>
      </w:pPr>
      <w:bookmarkStart w:id="17" w:name="_Toc46475755"/>
      <w:r w:rsidRPr="00DC7580">
        <w:rPr>
          <w:lang w:val="es-ES_tradnl"/>
        </w:rPr>
        <w:t>Criterios para determinar si se considera afectada</w:t>
      </w:r>
      <w:r w:rsidRPr="00DC7580">
        <w:rPr>
          <w:lang w:val="es-ES_tradnl"/>
        </w:rPr>
        <w:br/>
        <w:t>una adjudicación o una asignación</w:t>
      </w:r>
      <w:r w:rsidRPr="00DC7580">
        <w:rPr>
          <w:rStyle w:val="FootnoteReference"/>
          <w:b w:val="0"/>
          <w:bCs w:val="0"/>
          <w:lang w:val="es-ES_tradnl"/>
        </w:rPr>
        <w:footnoteReference w:customMarkFollows="1" w:id="1"/>
        <w:t>15</w:t>
      </w:r>
      <w:r w:rsidRPr="00DC7580">
        <w:rPr>
          <w:rStyle w:val="FootnoteReference"/>
          <w:b w:val="0"/>
          <w:bCs w:val="0"/>
          <w:i/>
          <w:lang w:val="es-ES_tradnl"/>
        </w:rPr>
        <w:t>bis</w:t>
      </w:r>
      <w:bookmarkEnd w:id="17"/>
    </w:p>
    <w:p w14:paraId="49FD9D07" w14:textId="77777777" w:rsidR="007B2C32" w:rsidRPr="00C13183" w:rsidRDefault="00D101E7" w:rsidP="00C13183">
      <w:pPr>
        <w:pStyle w:val="ApptoAnnex"/>
      </w:pPr>
      <w:r w:rsidRPr="00C13183">
        <w:t>                  </w:t>
      </w:r>
      <w:bookmarkStart w:id="18" w:name="_Toc46474350"/>
      <w:bookmarkStart w:id="19" w:name="_Toc46475756"/>
      <w:r w:rsidRPr="00C13183">
        <w:t>APÉNDICE 1 AL ANEXO 4     (REV.CMR-07)</w:t>
      </w:r>
      <w:bookmarkEnd w:id="18"/>
      <w:bookmarkEnd w:id="19"/>
    </w:p>
    <w:p w14:paraId="217DF0CA" w14:textId="77777777" w:rsidR="007B2C32" w:rsidRPr="00C13183" w:rsidRDefault="00D101E7" w:rsidP="00C13183">
      <w:pPr>
        <w:pStyle w:val="Appendixtitle"/>
      </w:pPr>
      <w:bookmarkStart w:id="20" w:name="_Toc46417537"/>
      <w:bookmarkStart w:id="21" w:name="_Toc46417619"/>
      <w:bookmarkStart w:id="22" w:name="_Toc46474351"/>
      <w:bookmarkStart w:id="23" w:name="_Toc46475757"/>
      <w:r w:rsidRPr="00C13183">
        <w:t>Método para determinar el valor global de la relación portadora/interferencia</w:t>
      </w:r>
      <w:r w:rsidRPr="00C13183">
        <w:br/>
        <w:t xml:space="preserve">de una sola fuente y de la relación portadora/interferencia combinada </w:t>
      </w:r>
      <w:r w:rsidRPr="00C13183">
        <w:br/>
        <w:t>promediada en la anchura de banda necesaria</w:t>
      </w:r>
      <w:r w:rsidRPr="00C13183">
        <w:br/>
        <w:t>de la portadora modulada</w:t>
      </w:r>
      <w:bookmarkEnd w:id="20"/>
      <w:bookmarkEnd w:id="21"/>
      <w:bookmarkEnd w:id="22"/>
      <w:bookmarkEnd w:id="23"/>
    </w:p>
    <w:p w14:paraId="778B39DD" w14:textId="77777777" w:rsidR="00902C3B" w:rsidRPr="00C13183" w:rsidRDefault="00D101E7">
      <w:pPr>
        <w:pStyle w:val="Proposal"/>
        <w:rPr>
          <w:lang w:val="en-GB"/>
        </w:rPr>
      </w:pPr>
      <w:r w:rsidRPr="00C13183">
        <w:rPr>
          <w:lang w:val="en-GB"/>
        </w:rPr>
        <w:t>MOD</w:t>
      </w:r>
      <w:r w:rsidRPr="00C13183">
        <w:rPr>
          <w:lang w:val="en-GB"/>
        </w:rPr>
        <w:tab/>
        <w:t>IAP/44A22A4/1</w:t>
      </w:r>
      <w:r w:rsidRPr="00C13183">
        <w:rPr>
          <w:vanish/>
          <w:color w:val="7F7F7F" w:themeColor="text1" w:themeTint="80"/>
          <w:vertAlign w:val="superscript"/>
          <w:lang w:val="en-GB"/>
        </w:rPr>
        <w:t>#2012</w:t>
      </w:r>
    </w:p>
    <w:p w14:paraId="3337D43D" w14:textId="77777777" w:rsidR="007704DB" w:rsidRPr="00C13183" w:rsidRDefault="00D101E7" w:rsidP="002C7ADC">
      <w:pPr>
        <w:pStyle w:val="Heading1CPM"/>
        <w:rPr>
          <w:lang w:val="es-ES"/>
        </w:rPr>
      </w:pPr>
      <w:bookmarkStart w:id="24" w:name="_Toc46417539"/>
      <w:bookmarkStart w:id="25" w:name="_Toc125102010"/>
      <w:bookmarkStart w:id="26" w:name="_Toc134196827"/>
      <w:r w:rsidRPr="00C13183">
        <w:rPr>
          <w:lang w:val="es-ES"/>
        </w:rPr>
        <w:t>2</w:t>
      </w:r>
      <w:r w:rsidRPr="00C13183">
        <w:rPr>
          <w:lang w:val="es-ES"/>
        </w:rPr>
        <w:tab/>
      </w:r>
      <w:r w:rsidRPr="00C13183">
        <w:rPr>
          <w:i/>
          <w:iCs/>
          <w:lang w:val="es-ES"/>
        </w:rPr>
        <w:t>C</w:t>
      </w:r>
      <w:r w:rsidRPr="00C13183">
        <w:rPr>
          <w:lang w:val="es-ES"/>
        </w:rPr>
        <w:t>/</w:t>
      </w:r>
      <w:r w:rsidRPr="00C13183">
        <w:rPr>
          <w:i/>
          <w:iCs/>
          <w:lang w:val="es-ES"/>
        </w:rPr>
        <w:t xml:space="preserve">I </w:t>
      </w:r>
      <w:r w:rsidRPr="00C13183">
        <w:rPr>
          <w:lang w:val="es-ES"/>
        </w:rPr>
        <w:t>combinada</w:t>
      </w:r>
      <w:bookmarkEnd w:id="24"/>
      <w:bookmarkEnd w:id="25"/>
      <w:bookmarkEnd w:id="26"/>
    </w:p>
    <w:p w14:paraId="7FD5F2DC" w14:textId="77777777" w:rsidR="007704DB" w:rsidRPr="00DC7580" w:rsidRDefault="00D101E7" w:rsidP="00376A15">
      <w:r w:rsidRPr="00DC7580">
        <w:t>La (</w:t>
      </w:r>
      <w:r w:rsidRPr="00DC7580">
        <w:rPr>
          <w:i/>
          <w:iCs/>
        </w:rPr>
        <w:t>C</w:t>
      </w:r>
      <w:r w:rsidRPr="00DC7580">
        <w:t>/</w:t>
      </w:r>
      <w:r w:rsidRPr="00DC7580">
        <w:rPr>
          <w:i/>
          <w:iCs/>
        </w:rPr>
        <w:t>I)</w:t>
      </w:r>
      <w:proofErr w:type="spellStart"/>
      <w:r w:rsidRPr="00DC7580">
        <w:rPr>
          <w:i/>
          <w:iCs/>
          <w:vertAlign w:val="subscript"/>
        </w:rPr>
        <w:t>com</w:t>
      </w:r>
      <w:proofErr w:type="spellEnd"/>
      <w:r w:rsidRPr="00DC7580">
        <w:rPr>
          <w:i/>
          <w:iCs/>
        </w:rPr>
        <w:t xml:space="preserve"> </w:t>
      </w:r>
      <w:r w:rsidRPr="00DC7580">
        <w:t>combinada en el punto de prueba del enlace descendente viene dada por:</w:t>
      </w:r>
    </w:p>
    <w:p w14:paraId="4DD2E5CC" w14:textId="77777777" w:rsidR="007704DB" w:rsidRPr="00DC7580" w:rsidRDefault="00D101E7" w:rsidP="00205444">
      <w:pPr>
        <w:pStyle w:val="Equation"/>
      </w:pPr>
      <w:r w:rsidRPr="00DC7580">
        <w:tab/>
      </w:r>
      <w:r w:rsidRPr="00DC7580">
        <w:tab/>
      </w:r>
      <w:r w:rsidR="00DD1932">
        <w:rPr>
          <w:position w:val="-52"/>
        </w:rPr>
        <w:pict w14:anchorId="1F3313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35" o:spid="_x0000_s2098" type="#_x0000_t75" style="position:absolute;margin-left:0;margin-top:0;width:50pt;height:50pt;z-index:251689984;visibility:hidden;mso-position-horizontal-relative:text;mso-position-vertical-relative:text">
            <o:lock v:ext="edit" selection="t"/>
          </v:shape>
        </w:pict>
      </w:r>
      <w:r w:rsidRPr="00DC7580">
        <w:rPr>
          <w:position w:val="-52"/>
        </w:rPr>
        <w:object w:dxaOrig="3900" w:dyaOrig="1160" w14:anchorId="05894122">
          <v:shape id="shape36" o:spid="_x0000_i1025" type="#_x0000_t75" style="width:195.95pt;height:56.35pt" o:ole="">
            <v:imagedata r:id="rId14" o:title=""/>
          </v:shape>
          <o:OLEObject Type="Embed" ProgID="Equation.DSMT4" ShapeID="shape36" DrawAspect="Content" ObjectID="_1749645986" r:id="rId15"/>
        </w:object>
      </w:r>
      <w:r w:rsidRPr="00DC7580">
        <w:t>                dB</w:t>
      </w:r>
    </w:p>
    <w:p w14:paraId="2EC690F6" w14:textId="77777777" w:rsidR="007704DB" w:rsidRPr="00DC7580" w:rsidRDefault="00D101E7" w:rsidP="00376A15">
      <w:pPr>
        <w:pStyle w:val="Equation"/>
      </w:pPr>
      <w:r w:rsidRPr="00DC7580">
        <w:tab/>
      </w:r>
      <w:r w:rsidRPr="00DC7580">
        <w:tab/>
      </w:r>
      <w:r w:rsidRPr="00DC7580">
        <w:rPr>
          <w:i/>
          <w:iCs/>
        </w:rPr>
        <w:t>j</w:t>
      </w:r>
      <w:r w:rsidRPr="00DC7580">
        <w:t xml:space="preserve">  =  1, 2, 3 . . . </w:t>
      </w:r>
      <w:r w:rsidRPr="00DC7580">
        <w:rPr>
          <w:i/>
          <w:iCs/>
        </w:rPr>
        <w:t>n</w:t>
      </w:r>
      <w:r w:rsidRPr="00DC7580">
        <w:t>,</w:t>
      </w:r>
    </w:p>
    <w:p w14:paraId="12B3FCA5" w14:textId="77777777" w:rsidR="007704DB" w:rsidRPr="00DC7580" w:rsidRDefault="00D101E7" w:rsidP="00376A15">
      <w:r w:rsidRPr="00DC7580">
        <w:t>donde:</w:t>
      </w:r>
    </w:p>
    <w:p w14:paraId="1DF0002A" w14:textId="77777777" w:rsidR="007704DB" w:rsidRPr="00DC7580" w:rsidRDefault="00D101E7" w:rsidP="00376A15">
      <w:pPr>
        <w:pStyle w:val="Equationlegend"/>
      </w:pPr>
      <w:r w:rsidRPr="00DC7580">
        <w:tab/>
        <w:t>(</w:t>
      </w:r>
      <w:r w:rsidRPr="00DC7580">
        <w:rPr>
          <w:i/>
        </w:rPr>
        <w:t>C</w:t>
      </w:r>
      <w:r w:rsidRPr="00DC7580">
        <w:t>/</w:t>
      </w:r>
      <w:r w:rsidRPr="00DC7580">
        <w:rPr>
          <w:i/>
        </w:rPr>
        <w:t>I</w:t>
      </w:r>
      <w:r w:rsidRPr="00DC7580">
        <w:t>)</w:t>
      </w:r>
      <w:r w:rsidRPr="00DC7580">
        <w:rPr>
          <w:i/>
          <w:vertAlign w:val="subscript"/>
        </w:rPr>
        <w:t>t</w:t>
      </w:r>
      <w:r w:rsidRPr="00DC7580">
        <w:rPr>
          <w:i/>
          <w:position w:val="-4"/>
          <w:vertAlign w:val="subscript"/>
        </w:rPr>
        <w:t>j</w:t>
      </w:r>
      <w:r w:rsidRPr="00DC7580">
        <w:t>:</w:t>
      </w:r>
      <w:r w:rsidRPr="00DC7580">
        <w:tab/>
        <w:t xml:space="preserve">es la relación portadora/ruido global debido a la interferencia causada por la </w:t>
      </w:r>
      <w:proofErr w:type="spellStart"/>
      <w:r w:rsidRPr="00DC7580">
        <w:rPr>
          <w:i/>
          <w:iCs/>
        </w:rPr>
        <w:t>i</w:t>
      </w:r>
      <w:ins w:id="27" w:author="Spanish" w:date="2023-03-24T12:51:00Z">
        <w:r w:rsidRPr="00DC7580">
          <w:rPr>
            <w:i/>
            <w:iCs/>
            <w:vertAlign w:val="superscript"/>
          </w:rPr>
          <w:t>ésima</w:t>
        </w:r>
      </w:ins>
      <w:proofErr w:type="spellEnd"/>
      <w:del w:id="28" w:author="Spanish" w:date="2023-03-24T12:51:00Z">
        <w:r w:rsidRPr="00DC7580" w:rsidDel="00CD2095">
          <w:noBreakHyphen/>
          <w:delText>ésima</w:delText>
        </w:r>
      </w:del>
      <w:r w:rsidRPr="00DC7580">
        <w:t xml:space="preserve"> adjudicación o asignación calculada mediante el método para la </w:t>
      </w:r>
      <w:r w:rsidRPr="00DC7580">
        <w:rPr>
          <w:iCs/>
          <w:szCs w:val="24"/>
        </w:rPr>
        <w:t>(</w:t>
      </w:r>
      <w:r w:rsidRPr="00DC7580">
        <w:rPr>
          <w:i/>
          <w:iCs/>
          <w:szCs w:val="24"/>
        </w:rPr>
        <w:t>C</w:t>
      </w:r>
      <w:r w:rsidRPr="00DC7580">
        <w:rPr>
          <w:iCs/>
          <w:szCs w:val="24"/>
        </w:rPr>
        <w:t>/</w:t>
      </w:r>
      <w:r w:rsidRPr="00DC7580">
        <w:rPr>
          <w:i/>
          <w:iCs/>
          <w:szCs w:val="24"/>
        </w:rPr>
        <w:t>I</w:t>
      </w:r>
      <w:r w:rsidRPr="00DC7580">
        <w:rPr>
          <w:iCs/>
          <w:szCs w:val="24"/>
        </w:rPr>
        <w:t>)</w:t>
      </w:r>
      <w:r w:rsidRPr="00DC7580">
        <w:rPr>
          <w:i/>
          <w:iCs/>
          <w:szCs w:val="24"/>
          <w:vertAlign w:val="subscript"/>
        </w:rPr>
        <w:t>t</w:t>
      </w:r>
      <w:r w:rsidRPr="00DC7580">
        <w:rPr>
          <w:szCs w:val="24"/>
        </w:rPr>
        <w:t xml:space="preserve"> global de una sola fuente, que figura en el § 1 del Apéndice 1 al presente Anexo; y</w:t>
      </w:r>
    </w:p>
    <w:p w14:paraId="1B4303E8" w14:textId="77777777" w:rsidR="007704DB" w:rsidRPr="00DC7580" w:rsidRDefault="00D101E7" w:rsidP="00376A15">
      <w:pPr>
        <w:pStyle w:val="Equationlegend"/>
      </w:pPr>
      <w:r w:rsidRPr="00DC7580">
        <w:rPr>
          <w:i/>
        </w:rPr>
        <w:tab/>
        <w:t>n</w:t>
      </w:r>
      <w:r w:rsidRPr="00DC7580">
        <w:rPr>
          <w:iCs/>
        </w:rPr>
        <w:t>:</w:t>
      </w:r>
      <w:r w:rsidRPr="00DC7580">
        <w:tab/>
        <w:t xml:space="preserve">es el número total de asignaciones o adjudicaciones interferentes para las que la separación orbital con el satélite deseado es inferior o igual a </w:t>
      </w:r>
      <w:del w:id="29" w:author="Spanish" w:date="2022-10-28T12:27:00Z">
        <w:r w:rsidRPr="00DC7580" w:rsidDel="004F65A4">
          <w:delText>10</w:delText>
        </w:r>
      </w:del>
      <w:ins w:id="30" w:author="Spanish" w:date="2022-10-28T12:27:00Z">
        <w:r w:rsidRPr="00DC7580">
          <w:t>7</w:t>
        </w:r>
      </w:ins>
      <w:r w:rsidRPr="00DC7580">
        <w:t xml:space="preserve">° en el caso de la banda 6/4 GHz e inferior o igual a </w:t>
      </w:r>
      <w:del w:id="31" w:author="Spanish" w:date="2022-10-28T12:27:00Z">
        <w:r w:rsidRPr="00DC7580" w:rsidDel="004F65A4">
          <w:delText>9</w:delText>
        </w:r>
      </w:del>
      <w:ins w:id="32" w:author="Spanish" w:date="2022-10-28T12:27:00Z">
        <w:r w:rsidRPr="00DC7580">
          <w:t>6</w:t>
        </w:r>
      </w:ins>
      <w:r w:rsidRPr="00DC7580">
        <w:t>° en el caso de la banda 13/10-11 GHz.</w:t>
      </w:r>
    </w:p>
    <w:p w14:paraId="74F99B0B" w14:textId="5CE50025" w:rsidR="00902C3B" w:rsidRPr="00DC7580" w:rsidRDefault="00D101E7">
      <w:pPr>
        <w:pStyle w:val="Reasons"/>
      </w:pPr>
      <w:r w:rsidRPr="00DC7580">
        <w:rPr>
          <w:b/>
        </w:rPr>
        <w:t>Motivos:</w:t>
      </w:r>
      <w:r w:rsidRPr="00DC7580">
        <w:tab/>
      </w:r>
      <w:r w:rsidR="00FD0E40" w:rsidRPr="00DC7580">
        <w:t xml:space="preserve">Armonizar los valores mencionados en el Apéndice 1 al Anexo 4 del Apéndice </w:t>
      </w:r>
      <w:r w:rsidR="00FD0E40" w:rsidRPr="00DC7580">
        <w:rPr>
          <w:b/>
          <w:bCs/>
        </w:rPr>
        <w:t>30B</w:t>
      </w:r>
      <w:r w:rsidR="00FD0E40" w:rsidRPr="00DC7580">
        <w:t xml:space="preserve"> del</w:t>
      </w:r>
      <w:r w:rsidR="002C7ADC">
        <w:t> </w:t>
      </w:r>
      <w:r w:rsidR="00FD0E40" w:rsidRPr="00DC7580">
        <w:t xml:space="preserve">RR con los que figuran en los §§ 1.1 y 1.2 del Anexo 4 </w:t>
      </w:r>
      <w:r w:rsidR="00DC7580">
        <w:t>de</w:t>
      </w:r>
      <w:r w:rsidR="00FD0E40" w:rsidRPr="00DC7580">
        <w:t xml:space="preserve">l Apéndice </w:t>
      </w:r>
      <w:r w:rsidR="00FD0E40" w:rsidRPr="00DC7580">
        <w:rPr>
          <w:b/>
          <w:bCs/>
        </w:rPr>
        <w:t>30B</w:t>
      </w:r>
      <w:r w:rsidR="00FD0E40" w:rsidRPr="00DC7580">
        <w:t xml:space="preserve"> (Rev.CMR-19) </w:t>
      </w:r>
      <w:r w:rsidR="00DE76F5" w:rsidRPr="00DC7580">
        <w:t>en materia</w:t>
      </w:r>
      <w:r w:rsidR="00FD0E40" w:rsidRPr="00DC7580">
        <w:t xml:space="preserve"> </w:t>
      </w:r>
      <w:r w:rsidR="00DE76F5" w:rsidRPr="00DC7580">
        <w:t>de</w:t>
      </w:r>
      <w:r w:rsidR="00FD0E40" w:rsidRPr="00DC7580">
        <w:t xml:space="preserve"> separación orbital e incorporar la </w:t>
      </w:r>
      <w:r w:rsidR="00DE76F5" w:rsidRPr="00DC7580">
        <w:t xml:space="preserve">Regla de Procedimiento relativa a </w:t>
      </w:r>
      <w:r w:rsidR="00FD0E40" w:rsidRPr="00DC7580">
        <w:t xml:space="preserve">la Sección 2 del Apéndice 1 </w:t>
      </w:r>
      <w:r w:rsidR="00DE76F5" w:rsidRPr="00DC7580">
        <w:t>a</w:t>
      </w:r>
      <w:r w:rsidR="00FD0E40" w:rsidRPr="00DC7580">
        <w:t>l Anexo 4 en el RR.</w:t>
      </w:r>
    </w:p>
    <w:sectPr w:rsidR="00902C3B" w:rsidRPr="00DC7580">
      <w:headerReference w:type="default" r:id="rId16"/>
      <w:footerReference w:type="even" r:id="rId17"/>
      <w:footerReference w:type="default" r:id="rId18"/>
      <w:footerReference w:type="first" r:id="rId19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6DF6" w14:textId="77777777" w:rsidR="00666B37" w:rsidRDefault="00666B37">
      <w:r>
        <w:separator/>
      </w:r>
    </w:p>
  </w:endnote>
  <w:endnote w:type="continuationSeparator" w:id="0">
    <w:p w14:paraId="6597E765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2E9D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4A2CFB" w14:textId="42FC4EDE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7BCA">
      <w:rPr>
        <w:noProof/>
      </w:rPr>
      <w:t>30.06.23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3" w:name="_Hlk139027742"/>
  <w:bookmarkStart w:id="34" w:name="_Hlk139027743"/>
  <w:p w14:paraId="5627E87E" w14:textId="5D4FED8C" w:rsidR="0077084A" w:rsidRDefault="00D101E7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D1932">
      <w:rPr>
        <w:lang w:val="en-US"/>
      </w:rPr>
      <w:t>P:\ESP\ITU-R\CONF-R\CMR23\000\044ADD22ADD04S.docx</w:t>
    </w:r>
    <w:r>
      <w:fldChar w:fldCharType="end"/>
    </w:r>
    <w:r w:rsidRPr="00D101E7">
      <w:rPr>
        <w:lang w:val="en-US"/>
      </w:rPr>
      <w:t xml:space="preserve"> </w:t>
    </w:r>
    <w:r>
      <w:rPr>
        <w:lang w:val="en-US"/>
      </w:rPr>
      <w:t>(525330)</w:t>
    </w:r>
    <w:bookmarkEnd w:id="33"/>
    <w:bookmarkEnd w:id="3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496D" w14:textId="44456F05" w:rsidR="0077084A" w:rsidRPr="00D101E7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D1932">
      <w:rPr>
        <w:lang w:val="en-US"/>
      </w:rPr>
      <w:t>P:\ESP\ITU-R\CONF-R\CMR23\000\044ADD22ADD04S.docx</w:t>
    </w:r>
    <w:r>
      <w:fldChar w:fldCharType="end"/>
    </w:r>
    <w:r w:rsidR="00D101E7" w:rsidRPr="00D101E7">
      <w:rPr>
        <w:lang w:val="en-US"/>
      </w:rPr>
      <w:t xml:space="preserve"> </w:t>
    </w:r>
    <w:r w:rsidR="00D101E7">
      <w:rPr>
        <w:lang w:val="en-US"/>
      </w:rPr>
      <w:t>(525330)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43CA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40BBD1A8" w14:textId="77777777" w:rsidR="00666B37" w:rsidRDefault="00666B37">
      <w:r>
        <w:continuationSeparator/>
      </w:r>
    </w:p>
  </w:footnote>
  <w:footnote w:id="1">
    <w:p w14:paraId="38363EFF" w14:textId="77777777" w:rsidR="00FD0E40" w:rsidRPr="00432ACD" w:rsidRDefault="00FD0E40" w:rsidP="00FD0E40">
      <w:pPr>
        <w:pStyle w:val="FootnoteText"/>
        <w:rPr>
          <w:lang w:val="es-ES"/>
        </w:rPr>
      </w:pPr>
      <w:r>
        <w:rPr>
          <w:rStyle w:val="FootnoteReference"/>
        </w:rPr>
        <w:t>1</w:t>
      </w:r>
      <w:r w:rsidRPr="0023404B">
        <w:rPr>
          <w:rStyle w:val="FootnoteReference"/>
        </w:rPr>
        <w:t>5</w:t>
      </w:r>
      <w:r w:rsidRPr="0023404B">
        <w:rPr>
          <w:rStyle w:val="FootnoteReference"/>
          <w:i/>
          <w:iCs/>
        </w:rPr>
        <w:t>bis</w:t>
      </w:r>
      <w:r>
        <w:rPr>
          <w:i/>
          <w:iCs/>
        </w:rPr>
        <w:t> </w:t>
      </w:r>
      <w:r>
        <w:t> </w:t>
      </w:r>
      <w:r w:rsidRPr="00F678BE">
        <w:rPr>
          <w:lang w:val="es-ES"/>
        </w:rPr>
        <w:t xml:space="preserve">Para </w:t>
      </w:r>
      <w:r>
        <w:rPr>
          <w:lang w:val="es-ES"/>
        </w:rPr>
        <w:t xml:space="preserve">las </w:t>
      </w:r>
      <w:r w:rsidRPr="00F678BE">
        <w:rPr>
          <w:lang w:val="es-ES"/>
        </w:rPr>
        <w:t xml:space="preserve">asignaciones inscritas en la Lista </w:t>
      </w:r>
      <w:r>
        <w:rPr>
          <w:lang w:val="es-ES"/>
        </w:rPr>
        <w:t>y puestas en servicio antes del 23 de noviembre de 2019, el criterio del </w:t>
      </w:r>
      <w:r w:rsidRPr="00F678BE">
        <w:rPr>
          <w:lang w:val="es-ES"/>
        </w:rPr>
        <w:t>§</w:t>
      </w:r>
      <w:r>
        <w:rPr>
          <w:lang w:val="es-ES"/>
        </w:rPr>
        <w:t> </w:t>
      </w:r>
      <w:r w:rsidRPr="00F678BE">
        <w:rPr>
          <w:lang w:val="es-ES"/>
        </w:rPr>
        <w:t xml:space="preserve">2.2 </w:t>
      </w:r>
      <w:r>
        <w:rPr>
          <w:lang w:val="es-ES"/>
        </w:rPr>
        <w:t>del presente Anexo no es aplicable</w:t>
      </w:r>
      <w:r w:rsidRPr="00F678BE">
        <w:rPr>
          <w:lang w:val="es-ES"/>
        </w:rPr>
        <w:t>.</w:t>
      </w:r>
      <w:r w:rsidRPr="00687B77">
        <w:rPr>
          <w:sz w:val="16"/>
          <w:szCs w:val="16"/>
          <w:lang w:val="es-ES"/>
        </w:rPr>
        <w:t>     (CMR-19)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F08E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F7582C" w14:textId="22AC558C" w:rsidR="0077084A" w:rsidRDefault="00C13183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44(Add.</w:t>
    </w:r>
    <w:proofErr w:type="gramStart"/>
    <w:r w:rsidR="00702F3D">
      <w:t>22)(</w:t>
    </w:r>
    <w:proofErr w:type="gramEnd"/>
    <w:r w:rsidR="00702F3D">
      <w:t>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38577455">
    <w:abstractNumId w:val="8"/>
  </w:num>
  <w:num w:numId="2" w16cid:durableId="124584087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15330223">
    <w:abstractNumId w:val="9"/>
  </w:num>
  <w:num w:numId="4" w16cid:durableId="1812945167">
    <w:abstractNumId w:val="7"/>
  </w:num>
  <w:num w:numId="5" w16cid:durableId="632755640">
    <w:abstractNumId w:val="6"/>
  </w:num>
  <w:num w:numId="6" w16cid:durableId="1419518775">
    <w:abstractNumId w:val="5"/>
  </w:num>
  <w:num w:numId="7" w16cid:durableId="2019580716">
    <w:abstractNumId w:val="4"/>
  </w:num>
  <w:num w:numId="8" w16cid:durableId="1006447049">
    <w:abstractNumId w:val="3"/>
  </w:num>
  <w:num w:numId="9" w16cid:durableId="650596517">
    <w:abstractNumId w:val="2"/>
  </w:num>
  <w:num w:numId="10" w16cid:durableId="1883244054">
    <w:abstractNumId w:val="1"/>
  </w:num>
  <w:num w:numId="11" w16cid:durableId="1475259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C7ADC"/>
    <w:rsid w:val="002E701F"/>
    <w:rsid w:val="003014B0"/>
    <w:rsid w:val="003248A9"/>
    <w:rsid w:val="00324FFA"/>
    <w:rsid w:val="0032680B"/>
    <w:rsid w:val="00360902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4D5CC2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17A98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02C3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13183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101E7"/>
    <w:rsid w:val="00D72A5D"/>
    <w:rsid w:val="00DA71A3"/>
    <w:rsid w:val="00DC1922"/>
    <w:rsid w:val="00DC629B"/>
    <w:rsid w:val="00DC7580"/>
    <w:rsid w:val="00DD1932"/>
    <w:rsid w:val="00DE1C31"/>
    <w:rsid w:val="00DE76F5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37BCA"/>
    <w:rsid w:val="00F66597"/>
    <w:rsid w:val="00F675D0"/>
    <w:rsid w:val="00F8150C"/>
    <w:rsid w:val="00FD03C4"/>
    <w:rsid w:val="00FD0E40"/>
    <w:rsid w:val="00FE4574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,2"/>
    </o:shapelayout>
  </w:shapeDefaults>
  <w:decimalSymbol w:val=","/>
  <w:listSeparator w:val=";"/>
  <w14:docId w14:val="3DDCF5A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Reference/ + Text 1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paragraph" w:customStyle="1" w:styleId="AnnexTitle0">
    <w:name w:val="Annex_Title"/>
    <w:basedOn w:val="Arttitle"/>
    <w:next w:val="Normal"/>
    <w:rsid w:val="00D80A8A"/>
    <w:pPr>
      <w:tabs>
        <w:tab w:val="clear" w:pos="1134"/>
        <w:tab w:val="clear" w:pos="1871"/>
        <w:tab w:val="clear" w:pos="2268"/>
      </w:tabs>
      <w:spacing w:before="160"/>
      <w:textAlignment w:val="auto"/>
    </w:pPr>
    <w:rPr>
      <w:bCs/>
      <w:noProof/>
      <w:szCs w:val="28"/>
      <w:lang w:val="en-US"/>
    </w:rPr>
  </w:style>
  <w:style w:type="paragraph" w:customStyle="1" w:styleId="Normalaftertitle0">
    <w:name w:val="Normal_after_title"/>
    <w:basedOn w:val="Normal"/>
    <w:next w:val="Normal"/>
    <w:qFormat/>
    <w:rsid w:val="0003177F"/>
    <w:pPr>
      <w:spacing w:before="360"/>
    </w:pPr>
  </w:style>
  <w:style w:type="paragraph" w:customStyle="1" w:styleId="Heading1CPM">
    <w:name w:val="Heading 1_CPM"/>
    <w:basedOn w:val="Heading1"/>
    <w:qFormat/>
    <w:rsid w:val="007704DB"/>
    <w:pPr>
      <w:spacing w:after="12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FD0E40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R23-WRC23-C-0044!A22-A4!MSW-S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ABAC3B-1EDC-496E-99B4-CBEF55421566}">
  <ds:schemaRefs>
    <ds:schemaRef ds:uri="http://purl.org/dc/dcmitype/"/>
    <ds:schemaRef ds:uri="http://purl.org/dc/elements/1.1/"/>
    <ds:schemaRef ds:uri="http://schemas.microsoft.com/office/infopath/2007/PartnerControls"/>
    <ds:schemaRef ds:uri="32a1a8c5-2265-4ebc-b7a0-2071e2c5c9b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26FEE0-213C-477C-94B5-8818A25DE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0A1A4B-6D8D-4A2E-B9CA-715A2B8FBB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8DD1DE-6291-4AB0-A6C3-4537D20FD74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R23-WRC23-C-0044!A22-A4!MSW-S</vt:lpstr>
    </vt:vector>
  </TitlesOfParts>
  <Manager>Secretaría General - Pool</Manager>
  <Company>Unión Internacional de Telecomunicaciones (UIT)</Company>
  <LinksUpToDate>false</LinksUpToDate>
  <CharactersWithSpaces>3821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R23-WRC23-C-0044!A22-A4!MSW-S</dc:title>
  <dc:subject>Conferencia Mundial de Radiocomunicaciones - 2019</dc:subject>
  <dc:creator>Documents Proposals Manager (DPM)</dc:creator>
  <cp:keywords>DPM_v2023.5.24.1_prod</cp:keywords>
  <dc:description/>
  <cp:lastModifiedBy>Spanish</cp:lastModifiedBy>
  <cp:revision>4</cp:revision>
  <cp:lastPrinted>2003-02-19T20:20:00Z</cp:lastPrinted>
  <dcterms:created xsi:type="dcterms:W3CDTF">2023-06-30T13:22:00Z</dcterms:created>
  <dcterms:modified xsi:type="dcterms:W3CDTF">2023-06-30T13:57:00Z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