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0051379F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C22FBCE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C0324E6" wp14:editId="4FAB7E9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522BD6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0C97276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B38E25F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12379FD" wp14:editId="490B954F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7A1EF6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6CF91D3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41A14F0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DE4D6F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A6A8023" w14:textId="77777777" w:rsidR="000D1EE4" w:rsidRPr="000D1EE4" w:rsidRDefault="000D1EE4" w:rsidP="005F2E1A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2C29542" w14:textId="77777777" w:rsidR="000D1EE4" w:rsidRPr="000D1EE4" w:rsidRDefault="000D1EE4" w:rsidP="005F2E1A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51AEF864" w14:textId="77777777" w:rsidTr="00752552">
        <w:trPr>
          <w:cantSplit/>
        </w:trPr>
        <w:tc>
          <w:tcPr>
            <w:tcW w:w="6696" w:type="dxa"/>
            <w:gridSpan w:val="2"/>
          </w:tcPr>
          <w:p w14:paraId="6F16F72D" w14:textId="77777777" w:rsidR="000D1EE4" w:rsidRPr="00AD1833" w:rsidRDefault="00E50850" w:rsidP="00AD1833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D1833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F155D73" w14:textId="77777777" w:rsidR="000D1EE4" w:rsidRPr="00AD1833" w:rsidRDefault="00E50850" w:rsidP="00AD1833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D1833">
              <w:rPr>
                <w:rFonts w:eastAsia="SimSun"/>
                <w:b/>
                <w:bCs/>
                <w:rtl/>
                <w:lang w:bidi="ar-EG"/>
              </w:rPr>
              <w:t>الإضافة 2</w:t>
            </w:r>
            <w:r w:rsidRPr="00AD1833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AD1833">
              <w:rPr>
                <w:rFonts w:eastAsia="SimSun"/>
                <w:b/>
                <w:bCs/>
              </w:rPr>
              <w:t>44(Add.</w:t>
            </w:r>
            <w:proofErr w:type="gramStart"/>
            <w:r w:rsidRPr="00AD1833">
              <w:rPr>
                <w:rFonts w:eastAsia="SimSun"/>
                <w:b/>
                <w:bCs/>
              </w:rPr>
              <w:t>24)-</w:t>
            </w:r>
            <w:proofErr w:type="gramEnd"/>
            <w:r w:rsidRPr="00AD1833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0D1EE4" w14:paraId="5F48CA70" w14:textId="77777777" w:rsidTr="00752552">
        <w:trPr>
          <w:cantSplit/>
        </w:trPr>
        <w:tc>
          <w:tcPr>
            <w:tcW w:w="6696" w:type="dxa"/>
            <w:gridSpan w:val="2"/>
          </w:tcPr>
          <w:p w14:paraId="407BF895" w14:textId="77777777" w:rsidR="000D1EE4" w:rsidRPr="00AD1833" w:rsidRDefault="000D1EE4" w:rsidP="00AD1833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EFC4750" w14:textId="77777777" w:rsidR="000D1EE4" w:rsidRPr="00AD1833" w:rsidRDefault="00E50850" w:rsidP="00AD1833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D1833">
              <w:rPr>
                <w:rFonts w:eastAsia="SimSun"/>
                <w:b/>
                <w:bCs/>
              </w:rPr>
              <w:t>26</w:t>
            </w:r>
            <w:r w:rsidRPr="00AD1833">
              <w:rPr>
                <w:rFonts w:eastAsia="SimSun"/>
                <w:b/>
                <w:bCs/>
                <w:rtl/>
              </w:rPr>
              <w:t xml:space="preserve"> يونيو </w:t>
            </w:r>
            <w:r w:rsidRPr="00AD1833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EBF5ACF" w14:textId="77777777" w:rsidTr="00752552">
        <w:trPr>
          <w:cantSplit/>
        </w:trPr>
        <w:tc>
          <w:tcPr>
            <w:tcW w:w="6696" w:type="dxa"/>
            <w:gridSpan w:val="2"/>
          </w:tcPr>
          <w:p w14:paraId="068B06A1" w14:textId="77777777" w:rsidR="000D1EE4" w:rsidRPr="00AD1833" w:rsidRDefault="000D1EE4" w:rsidP="00AD1833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E89FD19" w14:textId="77777777" w:rsidR="000D1EE4" w:rsidRPr="00AD1833" w:rsidRDefault="00E50850" w:rsidP="00AD1833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AD1833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1C9CE03F" w14:textId="77777777" w:rsidTr="00752552">
        <w:trPr>
          <w:cantSplit/>
        </w:trPr>
        <w:tc>
          <w:tcPr>
            <w:tcW w:w="9666" w:type="dxa"/>
            <w:gridSpan w:val="4"/>
          </w:tcPr>
          <w:p w14:paraId="7E0B8FE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77F0DA0" w14:textId="77777777" w:rsidTr="00752552">
        <w:trPr>
          <w:cantSplit/>
        </w:trPr>
        <w:tc>
          <w:tcPr>
            <w:tcW w:w="9666" w:type="dxa"/>
            <w:gridSpan w:val="4"/>
          </w:tcPr>
          <w:p w14:paraId="49539B71" w14:textId="73D7ED65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 xml:space="preserve">الدول الأعضاء في لجنة البلدان الأمريكية للاتصالات </w:t>
            </w:r>
            <w:r w:rsidRPr="005F2E1A">
              <w:rPr>
                <w:rtl/>
              </w:rPr>
              <w:t>(</w:t>
            </w:r>
            <w:r w:rsidRPr="000D1EE4">
              <w:rPr>
                <w:rtl/>
              </w:rPr>
              <w:t>CITEL)</w:t>
            </w:r>
          </w:p>
        </w:tc>
      </w:tr>
      <w:tr w:rsidR="000D1EE4" w:rsidRPr="000D1EE4" w14:paraId="70AEF7DE" w14:textId="77777777" w:rsidTr="00752552">
        <w:trPr>
          <w:cantSplit/>
        </w:trPr>
        <w:tc>
          <w:tcPr>
            <w:tcW w:w="9666" w:type="dxa"/>
            <w:gridSpan w:val="4"/>
          </w:tcPr>
          <w:p w14:paraId="503A8938" w14:textId="6FCCD3AB" w:rsidR="000D1EE4" w:rsidRPr="000D1EE4" w:rsidRDefault="00AD1833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4204A5C" w14:textId="77777777" w:rsidTr="00752552">
        <w:trPr>
          <w:cantSplit/>
        </w:trPr>
        <w:tc>
          <w:tcPr>
            <w:tcW w:w="9666" w:type="dxa"/>
            <w:gridSpan w:val="4"/>
          </w:tcPr>
          <w:p w14:paraId="0367E74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445323D" w14:textId="77777777" w:rsidTr="00752552">
        <w:trPr>
          <w:cantSplit/>
        </w:trPr>
        <w:tc>
          <w:tcPr>
            <w:tcW w:w="9666" w:type="dxa"/>
            <w:gridSpan w:val="4"/>
          </w:tcPr>
          <w:p w14:paraId="25D194C6" w14:textId="09FD0415" w:rsidR="00E50850" w:rsidRPr="00AD1833" w:rsidRDefault="00E50850" w:rsidP="00E50850">
            <w:pPr>
              <w:pStyle w:val="Agendaitem"/>
              <w:rPr>
                <w:rtl/>
                <w:lang w:val="en-US"/>
              </w:rPr>
            </w:pPr>
            <w:r>
              <w:rPr>
                <w:rtl/>
              </w:rPr>
              <w:t>‎‎‎‎‎‎‎‎‎‎‎‎ بند جدول الأعمال</w:t>
            </w:r>
            <w:r w:rsidR="00AD1833">
              <w:rPr>
                <w:rFonts w:hint="cs"/>
                <w:rtl/>
              </w:rPr>
              <w:t xml:space="preserve"> </w:t>
            </w:r>
            <w:r w:rsidR="00AD1833">
              <w:rPr>
                <w:lang w:val="en-US"/>
              </w:rPr>
              <w:t>1.9</w:t>
            </w:r>
            <w:r w:rsidR="00AD1833">
              <w:rPr>
                <w:rFonts w:hint="cs"/>
                <w:rtl/>
                <w:lang w:val="en-US"/>
              </w:rPr>
              <w:t>(</w:t>
            </w:r>
            <w:r w:rsidR="00AD1833">
              <w:rPr>
                <w:lang w:val="en-US"/>
              </w:rPr>
              <w:t>1.9</w:t>
            </w:r>
            <w:r w:rsidR="00AD1833">
              <w:rPr>
                <w:rFonts w:hint="cs"/>
                <w:rtl/>
                <w:lang w:val="en-US"/>
              </w:rPr>
              <w:t>-ب)</w:t>
            </w:r>
          </w:p>
        </w:tc>
      </w:tr>
    </w:tbl>
    <w:p w14:paraId="1DA544D9" w14:textId="77777777" w:rsidR="00447522" w:rsidRPr="00FE2CFF" w:rsidRDefault="004773F6" w:rsidP="00573140">
      <w:pPr>
        <w:pStyle w:val="Normalaftertitle"/>
        <w:rPr>
          <w:rtl/>
        </w:rPr>
      </w:pPr>
      <w:r w:rsidRPr="00831CDC">
        <w:t>9</w:t>
      </w:r>
      <w:r w:rsidRPr="00831CDC">
        <w:rPr>
          <w:rFonts w:hint="cs"/>
          <w:rtl/>
        </w:rPr>
        <w:tab/>
      </w:r>
      <w:r w:rsidRPr="00FE2CFF">
        <w:rPr>
          <w:rFonts w:hint="cs"/>
          <w:rtl/>
        </w:rPr>
        <w:t xml:space="preserve">النظر في تقرير مدير مكتب الاتصالات الراديوية وإقراره، وفقاً للمادة </w:t>
      </w:r>
      <w:r w:rsidRPr="00FE2CFF">
        <w:t>7</w:t>
      </w:r>
      <w:r w:rsidRPr="00FE2CFF">
        <w:rPr>
          <w:rFonts w:hint="cs"/>
          <w:rtl/>
        </w:rPr>
        <w:t xml:space="preserve"> من اتفاقية </w:t>
      </w:r>
      <w:proofErr w:type="gramStart"/>
      <w:r w:rsidRPr="00FE2CFF">
        <w:rPr>
          <w:rFonts w:hint="cs"/>
          <w:rtl/>
        </w:rPr>
        <w:t>الاتحاد؛</w:t>
      </w:r>
      <w:proofErr w:type="gramEnd"/>
    </w:p>
    <w:p w14:paraId="3AEE34C8" w14:textId="77777777" w:rsidR="001D42C8" w:rsidRPr="00FE2CFF" w:rsidRDefault="004773F6" w:rsidP="00AD1833">
      <w:r w:rsidRPr="0035641C">
        <w:t>1.9</w:t>
      </w:r>
      <w:r w:rsidRPr="0035641C">
        <w:rPr>
          <w:rFonts w:hint="cs"/>
          <w:rtl/>
        </w:rPr>
        <w:tab/>
      </w:r>
      <w:r w:rsidRPr="00FE2CFF">
        <w:rPr>
          <w:rFonts w:hint="cs"/>
          <w:rtl/>
        </w:rPr>
        <w:t xml:space="preserve">بشأن أنشطة قطاع الاتصالات الراديوية بالاتحاد منذ المؤتمر العالمي للاتصالات الراديوية لعام </w:t>
      </w:r>
      <w:r w:rsidRPr="00FE2CFF">
        <w:t>2019</w:t>
      </w:r>
      <w:r w:rsidRPr="00FE2CFF">
        <w:rPr>
          <w:rFonts w:hint="cs"/>
          <w:rtl/>
        </w:rPr>
        <w:t>:</w:t>
      </w:r>
    </w:p>
    <w:p w14:paraId="3F25DBC3" w14:textId="7A5CFB5C" w:rsidR="00443653" w:rsidRPr="00FE2CFF" w:rsidRDefault="00AD1833" w:rsidP="00AD1833">
      <w:pPr>
        <w:rPr>
          <w:b/>
          <w:rtl/>
          <w:lang w:val="es-ES"/>
        </w:rPr>
      </w:pPr>
      <w:r w:rsidRPr="00AD1833">
        <w:rPr>
          <w:rFonts w:hint="cs"/>
          <w:rtl/>
        </w:rPr>
        <w:t>(</w:t>
      </w:r>
      <w:r w:rsidR="004773F6" w:rsidRPr="00AD1833">
        <w:rPr>
          <w:rtl/>
        </w:rPr>
        <w:t>1.9-</w:t>
      </w:r>
      <w:r w:rsidRPr="00AD1833">
        <w:rPr>
          <w:rFonts w:hint="cs"/>
          <w:rtl/>
        </w:rPr>
        <w:t>ب)</w:t>
      </w:r>
      <w:r w:rsidR="004773F6" w:rsidRPr="00AD1833">
        <w:rPr>
          <w:rFonts w:hint="cs"/>
          <w:rtl/>
        </w:rPr>
        <w:t xml:space="preserve"> </w:t>
      </w:r>
      <w:r w:rsidR="004773F6" w:rsidRPr="00AD1833">
        <w:rPr>
          <w:rFonts w:hint="cs"/>
          <w:rtl/>
        </w:rPr>
        <w:tab/>
      </w:r>
      <w:r w:rsidR="004773F6" w:rsidRPr="00AD1833">
        <w:rPr>
          <w:rFonts w:hint="cs"/>
          <w:rtl/>
          <w:lang w:val="es-ES"/>
        </w:rPr>
        <w:t>استعراض توزيعات خدمة الهواة وخدمة الهواة الساتلية في نطاق التردد </w:t>
      </w:r>
      <w:r w:rsidR="004773F6" w:rsidRPr="00AD1833">
        <w:rPr>
          <w:lang w:val="en-GB" w:bidi="ar-EG"/>
        </w:rPr>
        <w:t>MHz 1 300- 1 240</w:t>
      </w:r>
      <w:r w:rsidR="004773F6" w:rsidRPr="00AD1833">
        <w:rPr>
          <w:rFonts w:hint="cs"/>
          <w:rtl/>
          <w:lang w:val="es-ES" w:bidi="ar-EG"/>
        </w:rPr>
        <w:t xml:space="preserve"> لتحديد مدى الحاجة </w:t>
      </w:r>
      <w:r w:rsidR="004773F6" w:rsidRPr="00FE2CFF">
        <w:rPr>
          <w:rFonts w:hint="cs"/>
          <w:rtl/>
          <w:lang w:val="es-ES" w:bidi="ar-EG"/>
        </w:rPr>
        <w:t>إلى تدابير إضافية لضمان حماية خدمة الملاحة الراديوية الساتلية (فضاء-أرض) العاملة في نفس نطاق التردد وفقاً للقرار</w:t>
      </w:r>
      <w:r w:rsidR="004773F6" w:rsidRPr="00FE2CFF">
        <w:rPr>
          <w:rFonts w:hint="eastAsia"/>
          <w:rtl/>
          <w:lang w:val="es-ES" w:bidi="ar-EG"/>
        </w:rPr>
        <w:t> </w:t>
      </w:r>
      <w:r w:rsidR="004773F6" w:rsidRPr="00FE2CFF">
        <w:rPr>
          <w:b/>
          <w:lang w:bidi="ar-EG"/>
        </w:rPr>
        <w:t>774 </w:t>
      </w:r>
      <w:r w:rsidR="004773F6" w:rsidRPr="00FE2CFF">
        <w:rPr>
          <w:b/>
          <w:lang w:val="en-GB" w:bidi="ar-EG"/>
        </w:rPr>
        <w:t>(WRC-19)</w:t>
      </w:r>
      <w:r w:rsidR="004773F6" w:rsidRPr="00FE2CFF">
        <w:rPr>
          <w:rFonts w:hint="cs"/>
          <w:b/>
          <w:rtl/>
          <w:lang w:val="es-ES"/>
        </w:rPr>
        <w:t>؛</w:t>
      </w:r>
    </w:p>
    <w:p w14:paraId="226784CE" w14:textId="0711F789" w:rsidR="00147EC8" w:rsidRPr="00060EF8" w:rsidRDefault="004773F6" w:rsidP="00AD1833">
      <w:pPr>
        <w:rPr>
          <w:rtl/>
        </w:rPr>
      </w:pPr>
      <w:r w:rsidRPr="00060EF8">
        <w:rPr>
          <w:rtl/>
        </w:rPr>
        <w:t xml:space="preserve">القرار </w:t>
      </w:r>
      <w:r w:rsidRPr="00060EF8">
        <w:rPr>
          <w:rFonts w:cs="Times New Roman"/>
          <w:b/>
        </w:rPr>
        <w:t>774 (WRC</w:t>
      </w:r>
      <w:r w:rsidRPr="00060EF8">
        <w:rPr>
          <w:rFonts w:cs="Times New Roman"/>
          <w:b/>
        </w:rPr>
        <w:noBreakHyphen/>
        <w:t>19)</w:t>
      </w:r>
      <w:r w:rsidR="00AD1833">
        <w:rPr>
          <w:rFonts w:cs="Times New Roman" w:hint="cs"/>
          <w:b/>
          <w:rtl/>
        </w:rPr>
        <w:t xml:space="preserve"> - </w:t>
      </w:r>
      <w:r w:rsidRPr="00060EF8">
        <w:rPr>
          <w:rtl/>
          <w:lang w:bidi="ar"/>
        </w:rPr>
        <w:t xml:space="preserve">دراسات بشأن التدابير التقنية والتشغيلية التي يتعين تطبيقها في نطاق التردد </w:t>
      </w:r>
      <w:r w:rsidRPr="00060EF8">
        <w:t>MHz 1 300</w:t>
      </w:r>
      <w:r w:rsidRPr="00060EF8">
        <w:noBreakHyphen/>
        <w:t>1 240</w:t>
      </w:r>
      <w:r w:rsidRPr="00060EF8">
        <w:rPr>
          <w:rtl/>
        </w:rPr>
        <w:t xml:space="preserve"> لضمان حماية </w:t>
      </w:r>
      <w:r w:rsidRPr="00060EF8">
        <w:rPr>
          <w:rtl/>
          <w:lang w:bidi="ar"/>
        </w:rPr>
        <w:t>خدمة الملاحة الراديوية الساتلية (فضاء-أرض)</w:t>
      </w:r>
    </w:p>
    <w:p w14:paraId="785E8496" w14:textId="0557B2D3" w:rsidR="00417E14" w:rsidRDefault="00FC04EE" w:rsidP="00AD1833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1C1A17EA" w14:textId="64AA202A" w:rsidR="00AD1833" w:rsidRPr="00FE2CFF" w:rsidRDefault="00AD1833" w:rsidP="00AD1833">
      <w:pPr>
        <w:rPr>
          <w:rtl/>
        </w:rPr>
      </w:pPr>
      <w:r w:rsidRPr="007471EA">
        <w:rPr>
          <w:rFonts w:hint="cs"/>
          <w:i/>
          <w:iCs/>
          <w:rtl/>
        </w:rPr>
        <w:t>يقرر</w:t>
      </w:r>
      <w:r w:rsidRPr="007471EA">
        <w:rPr>
          <w:rFonts w:hint="cs"/>
          <w:rtl/>
        </w:rPr>
        <w:t xml:space="preserve"> القرار </w:t>
      </w:r>
      <w:r w:rsidRPr="007471EA">
        <w:rPr>
          <w:b/>
          <w:bCs/>
        </w:rPr>
        <w:t>774 (WRC-1</w:t>
      </w:r>
      <w:r w:rsidR="00FC04EE" w:rsidRPr="007471EA">
        <w:rPr>
          <w:b/>
          <w:bCs/>
        </w:rPr>
        <w:t>9</w:t>
      </w:r>
      <w:r w:rsidRPr="007471EA">
        <w:rPr>
          <w:b/>
          <w:bCs/>
        </w:rPr>
        <w:t>)</w:t>
      </w:r>
      <w:r w:rsidRPr="007471EA">
        <w:rPr>
          <w:rFonts w:hint="cs"/>
          <w:rtl/>
          <w:lang w:bidi="ar-EG"/>
        </w:rPr>
        <w:t xml:space="preserve"> </w:t>
      </w:r>
      <w:r w:rsidR="005F2E1A">
        <w:rPr>
          <w:rFonts w:hint="cs"/>
          <w:rtl/>
          <w:lang w:bidi="ar-EG"/>
        </w:rPr>
        <w:t>"</w:t>
      </w:r>
      <w:r w:rsidR="002F16C6">
        <w:rPr>
          <w:rFonts w:hint="eastAsia"/>
          <w:rtl/>
          <w:lang w:bidi="ar-EG"/>
        </w:rPr>
        <w:t> </w:t>
      </w:r>
      <w:r w:rsidRPr="007471EA">
        <w:rPr>
          <w:rFonts w:hint="cs"/>
          <w:i/>
          <w:iCs/>
          <w:rtl/>
        </w:rPr>
        <w:t>أن يدعو قطاع الاتصالات الراديوية بالاتحاد إلى</w:t>
      </w:r>
      <w:r w:rsidR="005F2E1A">
        <w:rPr>
          <w:rFonts w:hint="cs"/>
          <w:i/>
          <w:iCs/>
          <w:rtl/>
        </w:rPr>
        <w:t>"</w:t>
      </w:r>
      <w:r w:rsidRPr="007471EA">
        <w:rPr>
          <w:rFonts w:hint="cs"/>
          <w:i/>
          <w:iCs/>
          <w:rtl/>
        </w:rPr>
        <w:t>:</w:t>
      </w:r>
    </w:p>
    <w:p w14:paraId="301432AB" w14:textId="42A28E55" w:rsidR="00AD1833" w:rsidRPr="00AD1833" w:rsidRDefault="00AD1833" w:rsidP="00AD1833">
      <w:pPr>
        <w:rPr>
          <w:i/>
          <w:iCs/>
          <w:rtl/>
          <w:lang w:val="en-GB"/>
        </w:rPr>
      </w:pPr>
      <w:r>
        <w:rPr>
          <w:rFonts w:hint="cs"/>
          <w:i/>
          <w:iCs/>
          <w:rtl/>
        </w:rPr>
        <w:t>"</w:t>
      </w:r>
      <w:r w:rsidRPr="00AD1833">
        <w:rPr>
          <w:i/>
          <w:iCs/>
        </w:rPr>
        <w:t>1</w:t>
      </w:r>
      <w:r w:rsidRPr="00AD1833">
        <w:rPr>
          <w:i/>
          <w:iCs/>
        </w:rPr>
        <w:tab/>
      </w:r>
      <w:r w:rsidRPr="00AD1833">
        <w:rPr>
          <w:rFonts w:hint="cs"/>
          <w:i/>
          <w:iCs/>
          <w:rtl/>
          <w:lang w:bidi="ar"/>
        </w:rPr>
        <w:t>إجراء استعراض تفصيلي للأنظمة والتطبيقات المختلفة المستخدمة في توزيعات خدمة الهواة وخدمة الهواة الساتلية في</w:t>
      </w:r>
      <w:r w:rsidRPr="00AD1833">
        <w:rPr>
          <w:rFonts w:hint="eastAsia"/>
          <w:i/>
          <w:iCs/>
          <w:rtl/>
          <w:lang w:bidi="ar"/>
        </w:rPr>
        <w:t> نطاق</w:t>
      </w:r>
      <w:r w:rsidRPr="00AD1833">
        <w:rPr>
          <w:i/>
          <w:iCs/>
          <w:rtl/>
          <w:lang w:bidi="ar"/>
        </w:rPr>
        <w:t xml:space="preserve"> </w:t>
      </w:r>
      <w:r w:rsidRPr="00AD1833">
        <w:rPr>
          <w:rFonts w:hint="eastAsia"/>
          <w:i/>
          <w:iCs/>
          <w:rtl/>
          <w:lang w:bidi="ar"/>
        </w:rPr>
        <w:t>التردد</w:t>
      </w:r>
      <w:r w:rsidRPr="00AD1833">
        <w:rPr>
          <w:rFonts w:hint="cs"/>
          <w:i/>
          <w:iCs/>
          <w:rtl/>
          <w:lang w:bidi="ar"/>
        </w:rPr>
        <w:t> </w:t>
      </w:r>
      <w:r w:rsidRPr="00AD1833">
        <w:rPr>
          <w:rFonts w:hint="cs"/>
          <w:i/>
          <w:iCs/>
          <w:lang w:val="en-GB"/>
        </w:rPr>
        <w:t>MHz</w:t>
      </w:r>
      <w:r w:rsidRPr="00AD1833">
        <w:rPr>
          <w:rFonts w:hint="eastAsia"/>
          <w:i/>
          <w:iCs/>
          <w:lang w:val="en-GB"/>
        </w:rPr>
        <w:t> </w:t>
      </w:r>
      <w:r w:rsidRPr="00AD1833">
        <w:rPr>
          <w:rFonts w:hint="cs"/>
          <w:i/>
          <w:iCs/>
          <w:lang w:val="en-GB"/>
        </w:rPr>
        <w:t>1</w:t>
      </w:r>
      <w:r w:rsidRPr="00AD1833">
        <w:rPr>
          <w:rFonts w:hint="eastAsia"/>
          <w:i/>
          <w:iCs/>
          <w:lang w:val="en-GB"/>
        </w:rPr>
        <w:t> </w:t>
      </w:r>
      <w:r w:rsidRPr="00AD1833">
        <w:rPr>
          <w:rFonts w:hint="cs"/>
          <w:i/>
          <w:iCs/>
          <w:lang w:val="en-GB"/>
        </w:rPr>
        <w:t>300</w:t>
      </w:r>
      <w:r w:rsidRPr="00AD1833">
        <w:rPr>
          <w:i/>
          <w:iCs/>
          <w:lang w:val="en-GB"/>
        </w:rPr>
        <w:noBreakHyphen/>
      </w:r>
      <w:r w:rsidRPr="00AD1833">
        <w:rPr>
          <w:rFonts w:hint="cs"/>
          <w:i/>
          <w:iCs/>
          <w:lang w:val="en-GB"/>
        </w:rPr>
        <w:t>1</w:t>
      </w:r>
      <w:r w:rsidRPr="00AD1833">
        <w:rPr>
          <w:rFonts w:hint="eastAsia"/>
          <w:i/>
          <w:iCs/>
          <w:lang w:val="en-GB"/>
        </w:rPr>
        <w:t> </w:t>
      </w:r>
      <w:r w:rsidRPr="00AD1833">
        <w:rPr>
          <w:rFonts w:hint="cs"/>
          <w:i/>
          <w:iCs/>
          <w:lang w:val="en-GB"/>
        </w:rPr>
        <w:t>240</w:t>
      </w:r>
      <w:r w:rsidRPr="00AD1833">
        <w:rPr>
          <w:rFonts w:hint="cs"/>
          <w:i/>
          <w:iCs/>
          <w:rtl/>
          <w:lang w:bidi="ar-EG"/>
        </w:rPr>
        <w:t>؛</w:t>
      </w:r>
    </w:p>
    <w:p w14:paraId="11E8889D" w14:textId="713B2692" w:rsidR="00AD1833" w:rsidRPr="00AD1833" w:rsidRDefault="00AD1833" w:rsidP="00AD1833">
      <w:pPr>
        <w:rPr>
          <w:i/>
          <w:iCs/>
          <w:lang w:val="en-GB"/>
        </w:rPr>
      </w:pPr>
      <w:r w:rsidRPr="00AD1833">
        <w:rPr>
          <w:i/>
          <w:iCs/>
        </w:rPr>
        <w:t>2</w:t>
      </w:r>
      <w:r w:rsidRPr="00AD1833">
        <w:rPr>
          <w:i/>
          <w:iCs/>
        </w:rPr>
        <w:tab/>
      </w:r>
      <w:r w:rsidRPr="00AD1833">
        <w:rPr>
          <w:rFonts w:hint="cs"/>
          <w:i/>
          <w:iCs/>
          <w:rtl/>
        </w:rPr>
        <w:t xml:space="preserve">دراسة </w:t>
      </w:r>
      <w:r w:rsidRPr="00AD1833">
        <w:rPr>
          <w:rFonts w:hint="cs"/>
          <w:i/>
          <w:iCs/>
          <w:rtl/>
          <w:lang w:bidi="ar"/>
        </w:rPr>
        <w:t>التدابير التقنية والتشغيلي</w:t>
      </w:r>
      <w:r w:rsidRPr="00AD1833">
        <w:rPr>
          <w:rFonts w:hint="eastAsia"/>
          <w:i/>
          <w:iCs/>
          <w:rtl/>
          <w:lang w:bidi="ar"/>
        </w:rPr>
        <w:t>ة</w:t>
      </w:r>
      <w:r w:rsidRPr="00AD1833">
        <w:rPr>
          <w:rFonts w:hint="cs"/>
          <w:i/>
          <w:iCs/>
          <w:rtl/>
          <w:lang w:bidi="ar"/>
        </w:rPr>
        <w:t xml:space="preserve"> الممكنة، </w:t>
      </w:r>
      <w:r w:rsidRPr="00AD1833">
        <w:rPr>
          <w:rFonts w:hint="eastAsia"/>
          <w:i/>
          <w:iCs/>
          <w:rtl/>
        </w:rPr>
        <w:t>مع</w:t>
      </w:r>
      <w:r w:rsidRPr="00AD1833">
        <w:rPr>
          <w:rFonts w:hint="cs"/>
          <w:i/>
          <w:iCs/>
          <w:rtl/>
        </w:rPr>
        <w:t xml:space="preserve"> </w:t>
      </w:r>
      <w:r w:rsidRPr="00AD1833">
        <w:rPr>
          <w:rFonts w:hint="cs"/>
          <w:i/>
          <w:iCs/>
          <w:rtl/>
          <w:lang w:bidi="ar"/>
        </w:rPr>
        <w:t xml:space="preserve">مراعاة نتائج الاستعراض أعلاه، لضمان حماية مستقبلات خدمة الملاحة الراديوية الساتلية (فضاء-أرض) من خدمة الهواة وخدمة الهواة الساتلية في نطاق التردد </w:t>
      </w:r>
      <w:r w:rsidRPr="00AD1833">
        <w:rPr>
          <w:rFonts w:hint="cs"/>
          <w:i/>
          <w:iCs/>
          <w:lang w:val="en-GB"/>
        </w:rPr>
        <w:t>MHz</w:t>
      </w:r>
      <w:r w:rsidRPr="00AD1833">
        <w:rPr>
          <w:rFonts w:hint="eastAsia"/>
          <w:i/>
          <w:iCs/>
          <w:lang w:val="en-GB"/>
        </w:rPr>
        <w:t> </w:t>
      </w:r>
      <w:r w:rsidRPr="00AD1833">
        <w:rPr>
          <w:rFonts w:hint="cs"/>
          <w:i/>
          <w:iCs/>
          <w:lang w:val="en-GB"/>
        </w:rPr>
        <w:t>1</w:t>
      </w:r>
      <w:r w:rsidRPr="00AD1833">
        <w:rPr>
          <w:rFonts w:hint="eastAsia"/>
          <w:i/>
          <w:iCs/>
          <w:lang w:val="en-GB"/>
        </w:rPr>
        <w:t> </w:t>
      </w:r>
      <w:r w:rsidRPr="00AD1833">
        <w:rPr>
          <w:rFonts w:hint="cs"/>
          <w:i/>
          <w:iCs/>
          <w:lang w:val="en-GB"/>
        </w:rPr>
        <w:t>300</w:t>
      </w:r>
      <w:r w:rsidRPr="00AD1833">
        <w:rPr>
          <w:i/>
          <w:iCs/>
          <w:lang w:val="en-GB"/>
        </w:rPr>
        <w:noBreakHyphen/>
      </w:r>
      <w:r w:rsidRPr="00AD1833">
        <w:rPr>
          <w:rFonts w:hint="cs"/>
          <w:i/>
          <w:iCs/>
          <w:lang w:val="en-GB"/>
        </w:rPr>
        <w:t>1</w:t>
      </w:r>
      <w:r w:rsidRPr="00AD1833">
        <w:rPr>
          <w:rFonts w:hint="eastAsia"/>
          <w:i/>
          <w:iCs/>
          <w:lang w:val="en-GB"/>
        </w:rPr>
        <w:t> </w:t>
      </w:r>
      <w:r w:rsidRPr="00AD1833">
        <w:rPr>
          <w:rFonts w:hint="cs"/>
          <w:i/>
          <w:iCs/>
          <w:lang w:val="en-GB"/>
        </w:rPr>
        <w:t>240</w:t>
      </w:r>
      <w:r w:rsidRPr="00AD1833">
        <w:rPr>
          <w:rFonts w:hint="cs"/>
          <w:i/>
          <w:iCs/>
          <w:rtl/>
          <w:lang w:bidi="ar"/>
        </w:rPr>
        <w:t>، دون النظر في</w:t>
      </w:r>
      <w:r w:rsidRPr="00AD1833">
        <w:rPr>
          <w:rFonts w:hint="eastAsia"/>
          <w:i/>
          <w:iCs/>
          <w:rtl/>
          <w:lang w:bidi="ar"/>
        </w:rPr>
        <w:t> </w:t>
      </w:r>
      <w:r w:rsidRPr="00AD1833">
        <w:rPr>
          <w:rFonts w:hint="cs"/>
          <w:i/>
          <w:iCs/>
          <w:rtl/>
          <w:lang w:bidi="ar"/>
        </w:rPr>
        <w:t>إلغاء هذه التوزيعات لخدمة الهواة وخدمة الهواة الساتلية،</w:t>
      </w:r>
      <w:r>
        <w:rPr>
          <w:rFonts w:hint="cs"/>
          <w:i/>
          <w:iCs/>
          <w:rtl/>
          <w:lang w:bidi="ar"/>
        </w:rPr>
        <w:t>"</w:t>
      </w:r>
    </w:p>
    <w:p w14:paraId="011C8D09" w14:textId="50857EF3" w:rsidR="00AD1833" w:rsidRPr="00AD1833" w:rsidRDefault="00FC04EE" w:rsidP="00AD1833">
      <w:pPr>
        <w:rPr>
          <w:rtl/>
          <w:lang w:bidi="ar-EG"/>
        </w:rPr>
      </w:pPr>
      <w:r>
        <w:rPr>
          <w:rFonts w:hint="cs"/>
          <w:rtl/>
          <w:lang w:val="en-GB"/>
        </w:rPr>
        <w:t>يُوزع</w:t>
      </w:r>
      <w:r w:rsidR="00AD1833">
        <w:rPr>
          <w:rFonts w:hint="cs"/>
          <w:rtl/>
          <w:lang w:val="en-GB"/>
        </w:rPr>
        <w:t xml:space="preserve"> نطاق التردد </w:t>
      </w:r>
      <w:r w:rsidR="00AD1833">
        <w:t>MHz 1 300</w:t>
      </w:r>
      <w:r w:rsidR="00AD1833">
        <w:noBreakHyphen/>
        <w:t>1 240</w:t>
      </w:r>
      <w:r w:rsidR="00AD183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FC04EE">
        <w:rPr>
          <w:rtl/>
          <w:lang w:bidi="ar-EG"/>
        </w:rPr>
        <w:t>خدمة الملاحة الراديوية الساتلية (فضاء-أرض)</w:t>
      </w:r>
      <w:r w:rsidR="00A92481">
        <w:rPr>
          <w:rFonts w:hint="cs"/>
          <w:rtl/>
          <w:lang w:bidi="ar-EG"/>
        </w:rPr>
        <w:t xml:space="preserve"> و(فضاء-فضاء)</w:t>
      </w:r>
      <w:r w:rsidRPr="00FC04EE">
        <w:rPr>
          <w:rtl/>
          <w:lang w:bidi="ar-EG"/>
        </w:rPr>
        <w:t xml:space="preserve"> </w:t>
      </w:r>
      <w:r>
        <w:rPr>
          <w:lang w:bidi="ar-EG"/>
        </w:rPr>
        <w:t>(RNSS)</w:t>
      </w:r>
      <w:r>
        <w:rPr>
          <w:rFonts w:hint="cs"/>
          <w:rtl/>
          <w:lang w:bidi="ar-EG"/>
        </w:rPr>
        <w:t xml:space="preserve">، إلى جانب خدمات </w:t>
      </w:r>
      <w:r w:rsidRPr="00FC04EE">
        <w:rPr>
          <w:rtl/>
          <w:lang w:bidi="ar-EG"/>
        </w:rPr>
        <w:t>استكشاف الأرض الساتلية (النشطة)</w:t>
      </w:r>
      <w:r>
        <w:rPr>
          <w:rFonts w:hint="cs"/>
          <w:rtl/>
          <w:lang w:bidi="ar-EG"/>
        </w:rPr>
        <w:t xml:space="preserve"> والتحديد الراديوي للموقع والأبحاث الفضائية</w:t>
      </w:r>
      <w:r w:rsidR="00AD183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(النشطة)، على أساس أولي، بموجب شروط </w:t>
      </w:r>
      <w:r w:rsidR="00AD1833">
        <w:rPr>
          <w:rFonts w:hint="cs"/>
          <w:rtl/>
          <w:lang w:bidi="ar-EG"/>
        </w:rPr>
        <w:t xml:space="preserve">الأرقام </w:t>
      </w:r>
      <w:r w:rsidR="00AD1833">
        <w:rPr>
          <w:b/>
          <w:bCs/>
          <w:lang w:bidi="ar-EG"/>
        </w:rPr>
        <w:t>328B.5</w:t>
      </w:r>
      <w:r w:rsidR="00AD1833">
        <w:rPr>
          <w:rFonts w:hint="cs"/>
          <w:b/>
          <w:bCs/>
          <w:rtl/>
          <w:lang w:bidi="ar-EG"/>
        </w:rPr>
        <w:t xml:space="preserve"> </w:t>
      </w:r>
      <w:r w:rsidR="00AD1833" w:rsidRPr="00AD1833">
        <w:rPr>
          <w:rFonts w:hint="cs"/>
          <w:rtl/>
          <w:lang w:bidi="ar-EG"/>
        </w:rPr>
        <w:t>و</w:t>
      </w:r>
      <w:r w:rsidR="00AD1833">
        <w:rPr>
          <w:b/>
          <w:bCs/>
          <w:lang w:bidi="ar-EG"/>
        </w:rPr>
        <w:t>329.5</w:t>
      </w:r>
      <w:r w:rsidR="00AD1833">
        <w:rPr>
          <w:rFonts w:hint="cs"/>
          <w:b/>
          <w:bCs/>
          <w:rtl/>
          <w:lang w:bidi="ar-EG"/>
        </w:rPr>
        <w:t xml:space="preserve"> </w:t>
      </w:r>
      <w:r w:rsidR="00AD1833" w:rsidRPr="00AD1833">
        <w:rPr>
          <w:rFonts w:hint="cs"/>
          <w:rtl/>
          <w:lang w:bidi="ar-EG"/>
        </w:rPr>
        <w:t>و</w:t>
      </w:r>
      <w:r w:rsidR="00AD1833">
        <w:rPr>
          <w:b/>
          <w:bCs/>
          <w:lang w:bidi="ar-EG"/>
        </w:rPr>
        <w:t>329A.5</w:t>
      </w:r>
      <w:r w:rsidR="00AD1833" w:rsidRPr="00AD1833">
        <w:rPr>
          <w:rFonts w:hint="cs"/>
          <w:rtl/>
          <w:lang w:bidi="ar-EG"/>
        </w:rPr>
        <w:t>.</w:t>
      </w:r>
      <w:r w:rsidR="00AD183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وخدمة الهواة موزعة في نطاق التردد نفسه على أساس ثانوي، ويجوز لخدمة الهواة الساتلية أن تعمل في </w:t>
      </w:r>
      <w:r w:rsidR="00AD1833">
        <w:rPr>
          <w:rFonts w:hint="cs"/>
          <w:rtl/>
          <w:lang w:bidi="ar-EG"/>
        </w:rPr>
        <w:t xml:space="preserve">نطاق التردد </w:t>
      </w:r>
      <w:r w:rsidR="00AD1833">
        <w:rPr>
          <w:lang w:bidi="ar-EG"/>
        </w:rPr>
        <w:t>MHz 1 270</w:t>
      </w:r>
      <w:r w:rsidR="00AD1833">
        <w:rPr>
          <w:lang w:bidi="ar-EG"/>
        </w:rPr>
        <w:noBreakHyphen/>
        <w:t>1 260</w:t>
      </w:r>
      <w:r>
        <w:rPr>
          <w:rFonts w:hint="cs"/>
          <w:rtl/>
          <w:lang w:bidi="ar-EG"/>
        </w:rPr>
        <w:t xml:space="preserve">، في الاتجاه أرض-فضاء بموجب </w:t>
      </w:r>
      <w:r w:rsidR="00AD1833">
        <w:rPr>
          <w:rFonts w:hint="cs"/>
          <w:rtl/>
          <w:lang w:bidi="ar-EG"/>
        </w:rPr>
        <w:t xml:space="preserve">الرقمين </w:t>
      </w:r>
      <w:r w:rsidR="00AD1833" w:rsidRPr="00AD1833">
        <w:rPr>
          <w:b/>
          <w:bCs/>
          <w:lang w:bidi="ar-EG"/>
        </w:rPr>
        <w:t>282.5</w:t>
      </w:r>
      <w:r w:rsidR="00AD1833">
        <w:rPr>
          <w:rFonts w:hint="cs"/>
          <w:rtl/>
          <w:lang w:bidi="ar-EG"/>
        </w:rPr>
        <w:t xml:space="preserve"> و</w:t>
      </w:r>
      <w:r w:rsidR="00AD1833" w:rsidRPr="00AD1833">
        <w:rPr>
          <w:b/>
          <w:bCs/>
          <w:lang w:bidi="ar-EG"/>
        </w:rPr>
        <w:t>43.5</w:t>
      </w:r>
      <w:r w:rsidR="00AD1833">
        <w:rPr>
          <w:rFonts w:hint="cs"/>
          <w:rtl/>
          <w:lang w:bidi="ar-EG"/>
        </w:rPr>
        <w:t>.</w:t>
      </w:r>
    </w:p>
    <w:p w14:paraId="5D115FB5" w14:textId="4411A412" w:rsidR="00B24B17" w:rsidRDefault="00AA0F46" w:rsidP="005F2E1A">
      <w:pPr>
        <w:rPr>
          <w:rtl/>
        </w:rPr>
      </w:pPr>
      <w:r>
        <w:rPr>
          <w:rFonts w:hint="cs"/>
          <w:rtl/>
        </w:rPr>
        <w:lastRenderedPageBreak/>
        <w:t>واستناداً</w:t>
      </w:r>
      <w:r w:rsidR="00765CB2" w:rsidRPr="00765CB2">
        <w:rPr>
          <w:rtl/>
        </w:rPr>
        <w:t xml:space="preserve"> إلى سنوات </w:t>
      </w:r>
      <w:r w:rsidR="00765CB2">
        <w:rPr>
          <w:rFonts w:hint="cs"/>
          <w:rtl/>
        </w:rPr>
        <w:t xml:space="preserve">من </w:t>
      </w:r>
      <w:r w:rsidR="00765CB2" w:rsidRPr="00765CB2">
        <w:rPr>
          <w:rtl/>
        </w:rPr>
        <w:t xml:space="preserve">الخبرة التشغيلية، نجح العديد من تطبيقات </w:t>
      </w:r>
      <w:r w:rsidR="00765CB2">
        <w:rPr>
          <w:rFonts w:hint="cs"/>
          <w:rtl/>
        </w:rPr>
        <w:t>خدمتي الهواة</w:t>
      </w:r>
      <w:r w:rsidR="00765CB2" w:rsidRPr="00765CB2">
        <w:rPr>
          <w:rtl/>
        </w:rPr>
        <w:t xml:space="preserve"> </w:t>
      </w:r>
      <w:r w:rsidR="00765CB2">
        <w:rPr>
          <w:rFonts w:hint="cs"/>
          <w:rtl/>
        </w:rPr>
        <w:t>و</w:t>
      </w:r>
      <w:r w:rsidR="00765CB2" w:rsidRPr="00765CB2">
        <w:rPr>
          <w:rtl/>
        </w:rPr>
        <w:t xml:space="preserve">الهواة الساتلية </w:t>
      </w:r>
      <w:r w:rsidR="00765CB2">
        <w:rPr>
          <w:rFonts w:hint="cs"/>
          <w:rtl/>
        </w:rPr>
        <w:t xml:space="preserve">الثانويتين </w:t>
      </w:r>
      <w:r w:rsidR="00765CB2" w:rsidRPr="00765CB2">
        <w:rPr>
          <w:rtl/>
        </w:rPr>
        <w:t xml:space="preserve">في التعايش مع جميع الخدمات الأولية </w:t>
      </w:r>
      <w:r w:rsidR="00765CB2">
        <w:rPr>
          <w:rFonts w:hint="cs"/>
          <w:rtl/>
        </w:rPr>
        <w:t xml:space="preserve">العاملة </w:t>
      </w:r>
      <w:r w:rsidR="00765CB2" w:rsidRPr="00765CB2">
        <w:rPr>
          <w:rtl/>
        </w:rPr>
        <w:t xml:space="preserve">في النطاق </w:t>
      </w:r>
      <w:r w:rsidR="00AD1833">
        <w:t>MHz 1 300</w:t>
      </w:r>
      <w:r w:rsidR="00AD1833">
        <w:noBreakHyphen/>
        <w:t>1 240</w:t>
      </w:r>
      <w:r w:rsidR="00765CB2">
        <w:rPr>
          <w:rFonts w:hint="cs"/>
          <w:rtl/>
        </w:rPr>
        <w:t>.</w:t>
      </w:r>
      <w:r w:rsidR="00AD1833">
        <w:rPr>
          <w:rFonts w:hint="cs"/>
          <w:rtl/>
        </w:rPr>
        <w:t xml:space="preserve"> </w:t>
      </w:r>
      <w:r w:rsidR="00556590" w:rsidRPr="00556590">
        <w:rPr>
          <w:rtl/>
        </w:rPr>
        <w:t xml:space="preserve">ومع ذلك، </w:t>
      </w:r>
      <w:r w:rsidR="00556590">
        <w:rPr>
          <w:rFonts w:hint="cs"/>
          <w:rtl/>
        </w:rPr>
        <w:t>وقعت</w:t>
      </w:r>
      <w:r w:rsidR="00556590" w:rsidRPr="00556590">
        <w:rPr>
          <w:rtl/>
        </w:rPr>
        <w:t xml:space="preserve"> حالتان من التداخلات </w:t>
      </w:r>
      <w:r w:rsidR="00556590">
        <w:rPr>
          <w:rFonts w:hint="cs"/>
          <w:rtl/>
        </w:rPr>
        <w:t>بسبب</w:t>
      </w:r>
      <w:r w:rsidR="00556590" w:rsidRPr="00556590">
        <w:rPr>
          <w:rtl/>
        </w:rPr>
        <w:t xml:space="preserve"> </w:t>
      </w:r>
      <w:r w:rsidR="00556590">
        <w:rPr>
          <w:rFonts w:hint="cs"/>
          <w:rtl/>
        </w:rPr>
        <w:t>مكررات</w:t>
      </w:r>
      <w:r w:rsidR="00556590" w:rsidRPr="00556590">
        <w:rPr>
          <w:rtl/>
        </w:rPr>
        <w:t xml:space="preserve"> في خدمة الهواة </w:t>
      </w:r>
      <w:r w:rsidR="00556590">
        <w:rPr>
          <w:rFonts w:hint="cs"/>
          <w:rtl/>
        </w:rPr>
        <w:t>على</w:t>
      </w:r>
      <w:r w:rsidR="00556590" w:rsidRPr="00556590">
        <w:rPr>
          <w:rtl/>
        </w:rPr>
        <w:t xml:space="preserve"> مستقبلات أحد أنظمة خدمة الملاحة الراديوية الساتلية (فضاء-أرض) في ال</w:t>
      </w:r>
      <w:r w:rsidR="00556590">
        <w:rPr>
          <w:rFonts w:hint="cs"/>
          <w:rtl/>
        </w:rPr>
        <w:t>إقليم</w:t>
      </w:r>
      <w:r w:rsidR="00556590" w:rsidRPr="00556590">
        <w:rPr>
          <w:rtl/>
        </w:rPr>
        <w:t xml:space="preserve"> 1، موثَّقتان ومبلَّغ عنه</w:t>
      </w:r>
      <w:r w:rsidR="00801B56">
        <w:rPr>
          <w:rFonts w:hint="cs"/>
          <w:rtl/>
        </w:rPr>
        <w:t>م</w:t>
      </w:r>
      <w:r w:rsidR="00556590" w:rsidRPr="00556590">
        <w:rPr>
          <w:rtl/>
        </w:rPr>
        <w:t>ا. وأسفرت عن تحقيقات وإرشادات لمشغل المحطة المسببة للتداخل لوقف الإرسال</w:t>
      </w:r>
      <w:r w:rsidR="00556590">
        <w:rPr>
          <w:rFonts w:hint="cs"/>
          <w:rtl/>
        </w:rPr>
        <w:t>ات</w:t>
      </w:r>
      <w:r w:rsidR="00556590" w:rsidRPr="00556590">
        <w:rPr>
          <w:rtl/>
        </w:rPr>
        <w:t xml:space="preserve"> وحل القضايا على المستوى الوطني بموجب العلاقة </w:t>
      </w:r>
      <w:r w:rsidR="00556590">
        <w:rPr>
          <w:rFonts w:hint="cs"/>
          <w:rtl/>
        </w:rPr>
        <w:t xml:space="preserve">بين التوزيعات </w:t>
      </w:r>
      <w:r w:rsidR="00556590" w:rsidRPr="00556590">
        <w:rPr>
          <w:rtl/>
        </w:rPr>
        <w:t xml:space="preserve">الأولية والثانوية المعتادة </w:t>
      </w:r>
      <w:r w:rsidR="00FB1EC4">
        <w:rPr>
          <w:rFonts w:hint="cs"/>
          <w:rtl/>
        </w:rPr>
        <w:t>وفقاً</w:t>
      </w:r>
      <w:r w:rsidR="00556590" w:rsidRPr="00556590">
        <w:rPr>
          <w:rtl/>
        </w:rPr>
        <w:t xml:space="preserve"> للرقم </w:t>
      </w:r>
      <w:r w:rsidR="00556590" w:rsidRPr="00556590">
        <w:rPr>
          <w:b/>
          <w:bCs/>
          <w:rtl/>
        </w:rPr>
        <w:t>29.5</w:t>
      </w:r>
      <w:r w:rsidR="00556590" w:rsidRPr="00556590">
        <w:rPr>
          <w:rtl/>
        </w:rPr>
        <w:t xml:space="preserve"> من لوائح الراديو.</w:t>
      </w:r>
    </w:p>
    <w:p w14:paraId="3919070A" w14:textId="75A3FED5" w:rsidR="00AD1833" w:rsidRDefault="00AD1833" w:rsidP="005F2E1A">
      <w:pPr>
        <w:rPr>
          <w:rtl/>
          <w:lang w:bidi="ar-EG"/>
        </w:rPr>
      </w:pPr>
      <w:r>
        <w:rPr>
          <w:rtl/>
        </w:rPr>
        <w:t>وقدمت دراسات لاحقة تقديراً لمسافة التداخل المحتملة وأكدت أن أثر التداخل يتوقف عموماً على عرض نطاق وقدرة الإشارة المسببة للتداخل. وعلاوة</w:t>
      </w:r>
      <w:r w:rsidR="005F2E1A">
        <w:rPr>
          <w:rFonts w:hint="cs"/>
          <w:rtl/>
        </w:rPr>
        <w:t>ً</w:t>
      </w:r>
      <w:r>
        <w:rPr>
          <w:rtl/>
        </w:rPr>
        <w:t xml:space="preserve"> على ذلك، تنبأت هذه الدراسات بأن معايير حماية المستقبٍل </w:t>
      </w:r>
      <w:r>
        <w:t>RNSS</w:t>
      </w:r>
      <w:r>
        <w:rPr>
          <w:rtl/>
        </w:rPr>
        <w:t xml:space="preserve"> يمكن أن تتجاوزها الإرسالات على نفس التردد الصادرة من محطات خدمة الهواة النموذجية.</w:t>
      </w:r>
      <w:r>
        <w:rPr>
          <w:rFonts w:hint="cs"/>
          <w:rtl/>
          <w:lang w:bidi="ar-EG"/>
        </w:rPr>
        <w:t xml:space="preserve"> </w:t>
      </w:r>
      <w:r w:rsidR="004F169C">
        <w:rPr>
          <w:rFonts w:hint="cs"/>
          <w:rtl/>
          <w:lang w:bidi="ar-EG"/>
        </w:rPr>
        <w:t>و</w:t>
      </w:r>
      <w:r w:rsidR="004F169C" w:rsidRPr="004F169C">
        <w:rPr>
          <w:rtl/>
          <w:lang w:bidi="ar-EG"/>
        </w:rPr>
        <w:t xml:space="preserve">في بعض الحالات التي يمكن أن تزيد فيها بعض التطبيقات (خاصة </w:t>
      </w:r>
      <w:r w:rsidR="004F169C">
        <w:rPr>
          <w:rFonts w:hint="cs"/>
          <w:rtl/>
          <w:lang w:bidi="ar-EG"/>
        </w:rPr>
        <w:t>تطبيقات عرض النطاق ال</w:t>
      </w:r>
      <w:r w:rsidR="00B60A98">
        <w:rPr>
          <w:rFonts w:hint="cs"/>
          <w:rtl/>
          <w:lang w:bidi="ar-EG"/>
        </w:rPr>
        <w:t>كبير</w:t>
      </w:r>
      <w:r w:rsidR="004F169C" w:rsidRPr="004F169C">
        <w:rPr>
          <w:rtl/>
          <w:lang w:bidi="ar-EG"/>
        </w:rPr>
        <w:t xml:space="preserve"> ودورة التشغيل العالية) من احتمال التداخل، ف</w:t>
      </w:r>
      <w:r w:rsidR="00B60A98">
        <w:rPr>
          <w:rFonts w:hint="cs"/>
          <w:rtl/>
          <w:lang w:bidi="ar-EG"/>
        </w:rPr>
        <w:t>قد أدت بعض</w:t>
      </w:r>
      <w:r w:rsidR="004F169C" w:rsidRPr="004F169C">
        <w:rPr>
          <w:rtl/>
          <w:lang w:bidi="ar-EG"/>
        </w:rPr>
        <w:t xml:space="preserve"> تقنيات إدارة الطيف وشروط الترخيص الوطنية </w:t>
      </w:r>
      <w:r w:rsidR="00B60A98">
        <w:rPr>
          <w:rFonts w:hint="cs"/>
          <w:rtl/>
          <w:lang w:bidi="ar-EG"/>
        </w:rPr>
        <w:t>إلى الحد من</w:t>
      </w:r>
      <w:r w:rsidR="004F169C" w:rsidRPr="004F169C">
        <w:rPr>
          <w:rtl/>
          <w:lang w:bidi="ar-EG"/>
        </w:rPr>
        <w:t xml:space="preserve"> </w:t>
      </w:r>
      <w:proofErr w:type="gramStart"/>
      <w:r w:rsidR="004F169C" w:rsidRPr="004F169C">
        <w:rPr>
          <w:rtl/>
          <w:lang w:bidi="ar-EG"/>
        </w:rPr>
        <w:t>مخاطر</w:t>
      </w:r>
      <w:proofErr w:type="gramEnd"/>
      <w:r w:rsidR="004F169C" w:rsidRPr="004F169C">
        <w:rPr>
          <w:rtl/>
          <w:lang w:bidi="ar-EG"/>
        </w:rPr>
        <w:t xml:space="preserve"> التداخل</w:t>
      </w:r>
      <w:r w:rsidR="00B60A98">
        <w:rPr>
          <w:rFonts w:hint="cs"/>
          <w:rtl/>
          <w:lang w:bidi="ar-EG"/>
        </w:rPr>
        <w:t>ات</w:t>
      </w:r>
      <w:r w:rsidR="004F169C" w:rsidRPr="004F169C">
        <w:rPr>
          <w:rtl/>
          <w:lang w:bidi="ar-EG"/>
        </w:rPr>
        <w:t xml:space="preserve"> الضار</w:t>
      </w:r>
      <w:r w:rsidR="00B60A98">
        <w:rPr>
          <w:rFonts w:hint="cs"/>
          <w:rtl/>
          <w:lang w:bidi="ar-EG"/>
        </w:rPr>
        <w:t>ة</w:t>
      </w:r>
      <w:r w:rsidR="004F169C" w:rsidRPr="004F169C">
        <w:rPr>
          <w:rtl/>
          <w:lang w:bidi="ar-EG"/>
        </w:rPr>
        <w:t>.</w:t>
      </w:r>
    </w:p>
    <w:p w14:paraId="43903D9C" w14:textId="57BD678E" w:rsidR="00AD1833" w:rsidRDefault="00AD1833" w:rsidP="005F2E1A">
      <w:pPr>
        <w:rPr>
          <w:rtl/>
        </w:rPr>
      </w:pPr>
      <w:r>
        <w:rPr>
          <w:rtl/>
        </w:rPr>
        <w:t xml:space="preserve">وتشير البيانات التشغيلية إلى عدد منخفض نسبياً من محطات الإرسال النشطة في نطاق التردد </w:t>
      </w:r>
      <w:r>
        <w:t>MHz 1 300-1 240</w:t>
      </w:r>
      <w:r>
        <w:rPr>
          <w:rtl/>
        </w:rPr>
        <w:t xml:space="preserve"> وتشير خصائص التشغيل إلى أن الإرسالات من محطات الهواة الأكثر شيوعاً ليست طويلة الأمد وغير مستمرة بطبيعتها، مما قد يساعد على تحقيق التوافق مع الخدمة </w:t>
      </w:r>
      <w:r>
        <w:t>RNSS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="0068707C">
        <w:rPr>
          <w:rFonts w:hint="cs"/>
          <w:rtl/>
        </w:rPr>
        <w:t>و</w:t>
      </w:r>
      <w:r w:rsidR="0068707C" w:rsidRPr="0068707C">
        <w:rPr>
          <w:rtl/>
        </w:rPr>
        <w:t xml:space="preserve">يجري النظر في دراسات إحصائية أكثر تفصيلاً بشأن هذه المسألة في قطاع الاتصالات الراديوية. </w:t>
      </w:r>
      <w:r w:rsidR="0068707C">
        <w:rPr>
          <w:rFonts w:hint="cs"/>
          <w:rtl/>
        </w:rPr>
        <w:t>و</w:t>
      </w:r>
      <w:r w:rsidR="0068707C" w:rsidRPr="0068707C">
        <w:rPr>
          <w:rtl/>
        </w:rPr>
        <w:t xml:space="preserve">يمكن أن تفسر هذه الجوانب سبب ندرة هذه التداخلات وقد تعكس مستوى نشاط محطة الإرسال الذي يؤدي، </w:t>
      </w:r>
      <w:r w:rsidR="0068707C">
        <w:rPr>
          <w:rFonts w:hint="cs"/>
          <w:rtl/>
        </w:rPr>
        <w:t>عملياً</w:t>
      </w:r>
      <w:r w:rsidR="0068707C" w:rsidRPr="0068707C">
        <w:rPr>
          <w:rtl/>
        </w:rPr>
        <w:t xml:space="preserve">، إلى انخفاض احتمال </w:t>
      </w:r>
      <w:r w:rsidR="0068707C">
        <w:rPr>
          <w:rFonts w:hint="cs"/>
          <w:rtl/>
        </w:rPr>
        <w:t xml:space="preserve">إمكانية وقوع </w:t>
      </w:r>
      <w:r w:rsidR="0068707C" w:rsidRPr="0068707C">
        <w:rPr>
          <w:rtl/>
        </w:rPr>
        <w:t>التداخل.</w:t>
      </w:r>
    </w:p>
    <w:p w14:paraId="1E0D1A13" w14:textId="30E5B441" w:rsidR="00AD1833" w:rsidRDefault="00BB1192" w:rsidP="00AD1833">
      <w:pPr>
        <w:rPr>
          <w:rtl/>
        </w:rPr>
      </w:pPr>
      <w:r w:rsidRPr="00BB1192">
        <w:rPr>
          <w:rtl/>
        </w:rPr>
        <w:t>ومع ذلك، ي</w:t>
      </w:r>
      <w:r>
        <w:rPr>
          <w:rFonts w:hint="cs"/>
          <w:rtl/>
        </w:rPr>
        <w:t>درك</w:t>
      </w:r>
      <w:r w:rsidRPr="00BB1192">
        <w:rPr>
          <w:rtl/>
        </w:rPr>
        <w:t xml:space="preserve"> القرار </w:t>
      </w:r>
      <w:r w:rsidRPr="00BB1192">
        <w:rPr>
          <w:b/>
          <w:bCs/>
        </w:rPr>
        <w:t>774 (WRC-19)</w:t>
      </w:r>
      <w:r w:rsidRPr="00BB1192">
        <w:rPr>
          <w:rtl/>
        </w:rPr>
        <w:t xml:space="preserve"> أن الإدارات ستستفيد من ت</w:t>
      </w:r>
      <w:r>
        <w:rPr>
          <w:rFonts w:hint="cs"/>
          <w:rtl/>
        </w:rPr>
        <w:t>يسر</w:t>
      </w:r>
      <w:r w:rsidRPr="00BB1192">
        <w:rPr>
          <w:rtl/>
        </w:rPr>
        <w:t xml:space="preserve"> الدراسات والمبادئ التوجيهية بشأن حماية</w:t>
      </w:r>
      <w:r>
        <w:rPr>
          <w:rFonts w:hint="cs"/>
          <w:rtl/>
        </w:rPr>
        <w:t xml:space="preserve"> الخدمة</w:t>
      </w:r>
      <w:r w:rsidR="00C134FB">
        <w:rPr>
          <w:rFonts w:hint="cs"/>
          <w:rtl/>
        </w:rPr>
        <w:t> </w:t>
      </w:r>
      <w:r w:rsidRPr="00BB1192">
        <w:t>RNSS</w:t>
      </w:r>
      <w:r w:rsidRPr="00BB1192">
        <w:rPr>
          <w:rtl/>
        </w:rPr>
        <w:t xml:space="preserve"> (فضاء-أرض) </w:t>
      </w:r>
      <w:r>
        <w:rPr>
          <w:rFonts w:hint="cs"/>
          <w:rtl/>
        </w:rPr>
        <w:t>من</w:t>
      </w:r>
      <w:r w:rsidRPr="00BB1192">
        <w:rPr>
          <w:rtl/>
        </w:rPr>
        <w:t xml:space="preserve"> خدم</w:t>
      </w:r>
      <w:r>
        <w:rPr>
          <w:rFonts w:hint="cs"/>
          <w:rtl/>
        </w:rPr>
        <w:t>تي</w:t>
      </w:r>
      <w:r w:rsidRPr="00BB1192">
        <w:rPr>
          <w:rtl/>
        </w:rPr>
        <w:t xml:space="preserve"> الهواة </w:t>
      </w:r>
      <w:r>
        <w:rPr>
          <w:rFonts w:hint="cs"/>
          <w:rtl/>
        </w:rPr>
        <w:t>و</w:t>
      </w:r>
      <w:r w:rsidRPr="00BB1192">
        <w:rPr>
          <w:rtl/>
        </w:rPr>
        <w:t xml:space="preserve">الهواة الساتلية في نطاق التردد </w:t>
      </w:r>
      <w:r>
        <w:t>MHz 1 300-1 240</w:t>
      </w:r>
      <w:r w:rsidRPr="00BB1192">
        <w:rPr>
          <w:rtl/>
        </w:rPr>
        <w:t xml:space="preserve">. </w:t>
      </w:r>
      <w:r>
        <w:rPr>
          <w:rFonts w:hint="cs"/>
          <w:rtl/>
        </w:rPr>
        <w:t>ويدعو</w:t>
      </w:r>
      <w:r w:rsidRPr="00BB1192">
        <w:rPr>
          <w:rtl/>
        </w:rPr>
        <w:t xml:space="preserve"> القرار قطاع الاتصالات الراديوية إلى استعراض التطبيقات المختلفة المستخدمة في خدمة الهواة ودراسة التدابير التقنية والتشغيلية الممكنة، دون النظر في </w:t>
      </w:r>
      <w:r w:rsidR="00550178">
        <w:rPr>
          <w:rFonts w:hint="cs"/>
          <w:rtl/>
        </w:rPr>
        <w:t>إلغاء توزيعات خدمتي</w:t>
      </w:r>
      <w:r w:rsidRPr="00BB1192">
        <w:rPr>
          <w:rtl/>
        </w:rPr>
        <w:t xml:space="preserve"> </w:t>
      </w:r>
      <w:r w:rsidR="00550178">
        <w:rPr>
          <w:rFonts w:hint="cs"/>
          <w:rtl/>
        </w:rPr>
        <w:t>الهواة و</w:t>
      </w:r>
      <w:r w:rsidRPr="00BB1192">
        <w:rPr>
          <w:rtl/>
        </w:rPr>
        <w:t>الهواة الساتلية</w:t>
      </w:r>
      <w:r w:rsidR="00550178">
        <w:rPr>
          <w:rFonts w:hint="cs"/>
          <w:rtl/>
        </w:rPr>
        <w:t xml:space="preserve"> تلك</w:t>
      </w:r>
      <w:r w:rsidRPr="00BB1192">
        <w:rPr>
          <w:rtl/>
        </w:rPr>
        <w:t>.</w:t>
      </w:r>
    </w:p>
    <w:p w14:paraId="555B8CE1" w14:textId="3EBF42A8" w:rsidR="00AD1833" w:rsidRDefault="00E37A02" w:rsidP="00AD1833">
      <w:pPr>
        <w:rPr>
          <w:rtl/>
        </w:rPr>
      </w:pPr>
      <w:r>
        <w:rPr>
          <w:rFonts w:hint="cs"/>
          <w:rtl/>
        </w:rPr>
        <w:t xml:space="preserve">واستناداً إلى نتائج الدراسات، </w:t>
      </w:r>
      <w:r w:rsidR="00AD1833">
        <w:rPr>
          <w:rtl/>
        </w:rPr>
        <w:t xml:space="preserve">يقوم قطاع الاتصالات الراديوية بإعداد التوصية </w:t>
      </w:r>
      <w:r w:rsidR="00AD1833">
        <w:t xml:space="preserve">ITU-R </w:t>
      </w:r>
      <w:proofErr w:type="gramStart"/>
      <w:r w:rsidR="00AD1833">
        <w:t>M.[</w:t>
      </w:r>
      <w:proofErr w:type="gramEnd"/>
      <w:r w:rsidR="00AD1833">
        <w:t>AS.GUIDANCE]</w:t>
      </w:r>
      <w:r w:rsidR="00AD1833">
        <w:rPr>
          <w:rtl/>
        </w:rPr>
        <w:t xml:space="preserve"> التي تقدم مبادئ توجيهية لتجنب مثل هذه الحالات من التداخل الضار </w:t>
      </w:r>
      <w:r>
        <w:rPr>
          <w:rFonts w:hint="cs"/>
          <w:rtl/>
        </w:rPr>
        <w:t xml:space="preserve">على </w:t>
      </w:r>
      <w:r w:rsidR="00AD1833">
        <w:rPr>
          <w:rtl/>
        </w:rPr>
        <w:t>مستقبلات</w:t>
      </w:r>
      <w:r>
        <w:rPr>
          <w:rFonts w:hint="cs"/>
          <w:rtl/>
        </w:rPr>
        <w:t xml:space="preserve"> الخدمة</w:t>
      </w:r>
      <w:r w:rsidR="00AD1833">
        <w:rPr>
          <w:rtl/>
        </w:rPr>
        <w:t xml:space="preserve"> </w:t>
      </w:r>
      <w:r w:rsidR="00AD1833">
        <w:t>RNSS</w:t>
      </w:r>
      <w:r w:rsidR="00AD1833">
        <w:rPr>
          <w:rtl/>
        </w:rPr>
        <w:t xml:space="preserve"> في المستقبل. ويمكن أن تشمل هذه التوصية، </w:t>
      </w:r>
      <w:r w:rsidR="00AD1833" w:rsidRPr="00273B95">
        <w:rPr>
          <w:i/>
          <w:iCs/>
          <w:rtl/>
        </w:rPr>
        <w:t>ضمن جملة أمور</w:t>
      </w:r>
      <w:r w:rsidR="00AD1833">
        <w:rPr>
          <w:rtl/>
        </w:rPr>
        <w:t>، تشجيع استعمال نطاقات فرعية محددة بتخالفات تردد كافية من الفصوص الرئيسية للطيف في</w:t>
      </w:r>
      <w:r w:rsidR="005F2E1A">
        <w:rPr>
          <w:rFonts w:hint="cs"/>
          <w:rtl/>
        </w:rPr>
        <w:t> </w:t>
      </w:r>
      <w:r w:rsidR="00AD1833">
        <w:rPr>
          <w:rtl/>
        </w:rPr>
        <w:t xml:space="preserve">الإشارات </w:t>
      </w:r>
      <w:r w:rsidR="00AD1833">
        <w:t>RNSS</w:t>
      </w:r>
      <w:r w:rsidR="00AD1833">
        <w:rPr>
          <w:rtl/>
        </w:rPr>
        <w:t xml:space="preserve"> لتعزيز حماية المستقبلات </w:t>
      </w:r>
      <w:r w:rsidR="00AD1833">
        <w:t>RNSS</w:t>
      </w:r>
      <w:r w:rsidR="00AD1833">
        <w:rPr>
          <w:rtl/>
        </w:rPr>
        <w:t xml:space="preserve"> في النطاقات قيد النظر.</w:t>
      </w:r>
      <w:r w:rsidR="00AD1833">
        <w:rPr>
          <w:rFonts w:hint="cs"/>
          <w:rtl/>
        </w:rPr>
        <w:t xml:space="preserve"> </w:t>
      </w:r>
      <w:r w:rsidR="00AD1833">
        <w:rPr>
          <w:rtl/>
        </w:rPr>
        <w:t>وتهدف هذه المبادئ التوجيهية إلى مساعدة الإدارات وخدمة الهواة وخدمة الهواة الساتلية على ضمان حماية خدمة الملاحة الراديوية الساتلية (فضاء-أرض) في نطاق التردد</w:t>
      </w:r>
      <w:r w:rsidR="005F2E1A">
        <w:rPr>
          <w:rFonts w:hint="cs"/>
          <w:rtl/>
        </w:rPr>
        <w:t> </w:t>
      </w:r>
      <w:r w:rsidR="00AD1833">
        <w:t>MHz 1 300-1 240</w:t>
      </w:r>
      <w:r w:rsidR="00AD1833">
        <w:rPr>
          <w:rFonts w:hint="cs"/>
          <w:rtl/>
        </w:rPr>
        <w:t>.</w:t>
      </w:r>
    </w:p>
    <w:p w14:paraId="78BD0ABC" w14:textId="7724706F" w:rsidR="00AD1833" w:rsidRDefault="00B95C7A" w:rsidP="005F2E1A">
      <w:r>
        <w:rPr>
          <w:rFonts w:hint="cs"/>
          <w:rtl/>
        </w:rPr>
        <w:t>و</w:t>
      </w:r>
      <w:r w:rsidR="00E37A02" w:rsidRPr="00E37A02">
        <w:rPr>
          <w:rtl/>
        </w:rPr>
        <w:t>يكلف القرار مدير مكتب الاتصالات الراديوية بإدراج نتائج الدراسات في تقريره إلى المؤتمر</w:t>
      </w:r>
      <w:r w:rsidR="00E37A02">
        <w:rPr>
          <w:rFonts w:hint="cs"/>
          <w:rtl/>
        </w:rPr>
        <w:t xml:space="preserve"> العالمي للاتصالات الراديوية لعام</w:t>
      </w:r>
      <w:r w:rsidR="005F2E1A">
        <w:rPr>
          <w:rFonts w:hint="eastAsia"/>
          <w:rtl/>
        </w:rPr>
        <w:t> </w:t>
      </w:r>
      <w:r w:rsidR="00E37A02">
        <w:rPr>
          <w:rFonts w:hint="cs"/>
          <w:rtl/>
        </w:rPr>
        <w:t>2023</w:t>
      </w:r>
      <w:r w:rsidR="005F2E1A">
        <w:rPr>
          <w:rFonts w:hint="cs"/>
          <w:rtl/>
        </w:rPr>
        <w:t> </w:t>
      </w:r>
      <w:r w:rsidR="00E37A02">
        <w:t>(</w:t>
      </w:r>
      <w:r w:rsidR="00E37A02" w:rsidRPr="00E37A02">
        <w:t>WRC-23</w:t>
      </w:r>
      <w:r w:rsidR="00E37A02">
        <w:t>)</w:t>
      </w:r>
      <w:r w:rsidR="00E37A02" w:rsidRPr="00E37A02">
        <w:rPr>
          <w:rtl/>
        </w:rPr>
        <w:t xml:space="preserve">. </w:t>
      </w:r>
      <w:r w:rsidR="00E37A02">
        <w:rPr>
          <w:rFonts w:hint="cs"/>
          <w:rtl/>
          <w:lang w:bidi="ar-EG"/>
        </w:rPr>
        <w:t>و</w:t>
      </w:r>
      <w:r w:rsidR="00E37A02" w:rsidRPr="00E37A02">
        <w:rPr>
          <w:rtl/>
        </w:rPr>
        <w:t xml:space="preserve">هذه الدراسات، أسفرت عن تقارير وتوصيات أو إرشادات، </w:t>
      </w:r>
      <w:r w:rsidR="00E37A02">
        <w:rPr>
          <w:rFonts w:hint="cs"/>
          <w:rtl/>
        </w:rPr>
        <w:t xml:space="preserve">وكانت قد أُجريت </w:t>
      </w:r>
      <w:r w:rsidR="00E37A02" w:rsidRPr="00E37A02">
        <w:rPr>
          <w:rtl/>
        </w:rPr>
        <w:t xml:space="preserve">في إطار موضوع </w:t>
      </w:r>
      <w:r w:rsidR="00E37A02">
        <w:rPr>
          <w:rFonts w:hint="cs"/>
          <w:rtl/>
        </w:rPr>
        <w:t xml:space="preserve">البند </w:t>
      </w:r>
      <w:r w:rsidR="00E37A02">
        <w:t>1.9</w:t>
      </w:r>
      <w:r w:rsidR="00E37A02" w:rsidRPr="00E37A02">
        <w:rPr>
          <w:rtl/>
        </w:rPr>
        <w:t xml:space="preserve"> </w:t>
      </w:r>
      <w:r w:rsidR="00E37A02">
        <w:rPr>
          <w:rFonts w:hint="cs"/>
          <w:rtl/>
        </w:rPr>
        <w:t>و</w:t>
      </w:r>
      <w:r w:rsidR="00E37A02" w:rsidRPr="00E37A02">
        <w:rPr>
          <w:rtl/>
        </w:rPr>
        <w:t>لا يُقصد</w:t>
      </w:r>
      <w:r w:rsidR="005F2E1A">
        <w:rPr>
          <w:rFonts w:hint="cs"/>
          <w:rtl/>
        </w:rPr>
        <w:t> </w:t>
      </w:r>
      <w:r w:rsidR="00E37A02" w:rsidRPr="00E37A02">
        <w:rPr>
          <w:rtl/>
        </w:rPr>
        <w:t>به</w:t>
      </w:r>
      <w:r w:rsidR="00E37A02">
        <w:rPr>
          <w:rFonts w:hint="cs"/>
          <w:rtl/>
        </w:rPr>
        <w:t>ا</w:t>
      </w:r>
      <w:r w:rsidR="00E37A02" w:rsidRPr="00E37A02">
        <w:rPr>
          <w:rtl/>
        </w:rPr>
        <w:t xml:space="preserve"> أن </w:t>
      </w:r>
      <w:r w:rsidR="00E37A02">
        <w:rPr>
          <w:rFonts w:hint="cs"/>
          <w:rtl/>
        </w:rPr>
        <w:t>ت</w:t>
      </w:r>
      <w:r w:rsidR="00E37A02" w:rsidRPr="00E37A02">
        <w:rPr>
          <w:rtl/>
        </w:rPr>
        <w:t xml:space="preserve">نطوي على </w:t>
      </w:r>
      <w:r w:rsidR="00E37A02">
        <w:rPr>
          <w:rFonts w:hint="cs"/>
          <w:rtl/>
        </w:rPr>
        <w:t xml:space="preserve">فرض </w:t>
      </w:r>
      <w:r w:rsidR="00E37A02" w:rsidRPr="00E37A02">
        <w:rPr>
          <w:rtl/>
        </w:rPr>
        <w:t xml:space="preserve">أي إجراء تنظيمي </w:t>
      </w:r>
      <w:r w:rsidR="00E37A02">
        <w:rPr>
          <w:rFonts w:hint="cs"/>
          <w:rtl/>
        </w:rPr>
        <w:t>على ا</w:t>
      </w:r>
      <w:r w:rsidR="00E37A02" w:rsidRPr="00E37A02">
        <w:rPr>
          <w:rtl/>
        </w:rPr>
        <w:t xml:space="preserve">لإدارات، ولا </w:t>
      </w:r>
      <w:r w:rsidR="00E37A02">
        <w:rPr>
          <w:rFonts w:hint="cs"/>
          <w:rtl/>
        </w:rPr>
        <w:t>على إدخال</w:t>
      </w:r>
      <w:r w:rsidR="00E37A02" w:rsidRPr="00E37A02">
        <w:rPr>
          <w:rtl/>
        </w:rPr>
        <w:t xml:space="preserve"> أي تغيير على أي جزء من لوائح الراديو (المجلد</w:t>
      </w:r>
      <w:r w:rsidR="00E37A02">
        <w:rPr>
          <w:rFonts w:hint="cs"/>
          <w:rtl/>
        </w:rPr>
        <w:t>ات من</w:t>
      </w:r>
      <w:r w:rsidR="00E37A02" w:rsidRPr="00E37A02">
        <w:rPr>
          <w:rtl/>
        </w:rPr>
        <w:t xml:space="preserve"> 1 إلى 4).</w:t>
      </w:r>
    </w:p>
    <w:p w14:paraId="6A6CAF7A" w14:textId="3AB08C64" w:rsidR="00AD1833" w:rsidRDefault="003267C8" w:rsidP="005F2E1A">
      <w:pPr>
        <w:rPr>
          <w:rtl/>
        </w:rPr>
      </w:pPr>
      <w:r>
        <w:rPr>
          <w:rFonts w:hint="cs"/>
          <w:rtl/>
        </w:rPr>
        <w:t>و</w:t>
      </w:r>
      <w:r w:rsidRPr="003267C8">
        <w:rPr>
          <w:rtl/>
        </w:rPr>
        <w:t>بالنظر إلى حالة التوزيع الثانوي للخدمة، ليست هناك حاجة حاليا</w:t>
      </w:r>
      <w:r>
        <w:rPr>
          <w:rFonts w:hint="cs"/>
          <w:rtl/>
        </w:rPr>
        <w:t>ً</w:t>
      </w:r>
      <w:r w:rsidRPr="003267C8">
        <w:rPr>
          <w:rtl/>
        </w:rPr>
        <w:t xml:space="preserve"> </w:t>
      </w:r>
      <w:r>
        <w:rPr>
          <w:rFonts w:hint="cs"/>
          <w:rtl/>
        </w:rPr>
        <w:t xml:space="preserve">لإدراج </w:t>
      </w:r>
      <w:r w:rsidRPr="003267C8">
        <w:rPr>
          <w:rtl/>
        </w:rPr>
        <w:t>أي شروط تنظيمية أو تشغيلية أو تقنية إضافية في</w:t>
      </w:r>
      <w:r w:rsidR="005F2E1A">
        <w:rPr>
          <w:rFonts w:hint="cs"/>
          <w:rtl/>
        </w:rPr>
        <w:t> </w:t>
      </w:r>
      <w:r w:rsidRPr="003267C8">
        <w:rPr>
          <w:rtl/>
        </w:rPr>
        <w:t xml:space="preserve">لوائح الراديو. </w:t>
      </w:r>
      <w:r>
        <w:rPr>
          <w:rFonts w:hint="cs"/>
          <w:rtl/>
        </w:rPr>
        <w:t>و</w:t>
      </w:r>
      <w:r w:rsidRPr="003267C8">
        <w:rPr>
          <w:rtl/>
        </w:rPr>
        <w:t>يمكن لقطاع الاتصالات الراديوية أن يعالج ويسهل التوافق بين خدم</w:t>
      </w:r>
      <w:r>
        <w:rPr>
          <w:rFonts w:hint="cs"/>
          <w:rtl/>
        </w:rPr>
        <w:t>تي</w:t>
      </w:r>
      <w:r w:rsidRPr="003267C8">
        <w:rPr>
          <w:rtl/>
        </w:rPr>
        <w:t xml:space="preserve"> الهواة </w:t>
      </w:r>
      <w:r>
        <w:rPr>
          <w:rFonts w:hint="cs"/>
          <w:rtl/>
        </w:rPr>
        <w:t>و</w:t>
      </w:r>
      <w:r w:rsidRPr="003267C8">
        <w:rPr>
          <w:rtl/>
        </w:rPr>
        <w:t xml:space="preserve">الهواة الساتلية </w:t>
      </w:r>
      <w:r>
        <w:rPr>
          <w:rFonts w:hint="cs"/>
          <w:rtl/>
        </w:rPr>
        <w:t xml:space="preserve">الثانويتين </w:t>
      </w:r>
      <w:r w:rsidRPr="003267C8">
        <w:rPr>
          <w:rtl/>
        </w:rPr>
        <w:t xml:space="preserve">والخدمات </w:t>
      </w:r>
      <w:r>
        <w:rPr>
          <w:rFonts w:hint="cs"/>
          <w:rtl/>
        </w:rPr>
        <w:t>الأولية</w:t>
      </w:r>
      <w:r w:rsidRPr="003267C8">
        <w:rPr>
          <w:rtl/>
        </w:rPr>
        <w:t xml:space="preserve"> القائمة على </w:t>
      </w:r>
      <w:r>
        <w:rPr>
          <w:rFonts w:hint="cs"/>
          <w:rtl/>
        </w:rPr>
        <w:t xml:space="preserve">نفس </w:t>
      </w:r>
      <w:r w:rsidRPr="003267C8">
        <w:rPr>
          <w:rtl/>
        </w:rPr>
        <w:t>التردد من خلال تقارير أو توصيات</w:t>
      </w:r>
      <w:r>
        <w:rPr>
          <w:rFonts w:hint="cs"/>
          <w:rtl/>
        </w:rPr>
        <w:t xml:space="preserve"> للاتحاد</w:t>
      </w:r>
      <w:r w:rsidRPr="003267C8">
        <w:rPr>
          <w:rtl/>
        </w:rPr>
        <w:t xml:space="preserve"> توفر معلومات إضافية للإدارات بشأن المسائل التشغيلية والتقنية التي يمكن النظر فيها على أساس وطني. </w:t>
      </w:r>
      <w:r>
        <w:rPr>
          <w:rFonts w:hint="cs"/>
          <w:rtl/>
        </w:rPr>
        <w:t>و</w:t>
      </w:r>
      <w:r w:rsidRPr="003267C8">
        <w:rPr>
          <w:rtl/>
        </w:rPr>
        <w:t xml:space="preserve">لا يلزم إدخال أي تغييرات على لوائح الراديو، بما في ذلك </w:t>
      </w:r>
      <w:r>
        <w:rPr>
          <w:rFonts w:hint="cs"/>
          <w:rtl/>
        </w:rPr>
        <w:t>تغيير حالة توزيع</w:t>
      </w:r>
      <w:r w:rsidRPr="003267C8">
        <w:rPr>
          <w:rtl/>
        </w:rPr>
        <w:t xml:space="preserve"> خدمتي الهواة والهواة الساتلية، أو على</w:t>
      </w:r>
      <w:r>
        <w:rPr>
          <w:rFonts w:hint="cs"/>
          <w:rtl/>
        </w:rPr>
        <w:t xml:space="preserve"> الخدمة</w:t>
      </w:r>
      <w:r w:rsidRPr="003267C8">
        <w:rPr>
          <w:rtl/>
        </w:rPr>
        <w:t xml:space="preserve"> </w:t>
      </w:r>
      <w:r w:rsidRPr="003267C8">
        <w:t>RNSS</w:t>
      </w:r>
      <w:r w:rsidRPr="003267C8">
        <w:rPr>
          <w:rtl/>
        </w:rPr>
        <w:t xml:space="preserve">، في إطار هذا الموضوع. </w:t>
      </w:r>
      <w:r>
        <w:rPr>
          <w:rFonts w:hint="cs"/>
          <w:rtl/>
        </w:rPr>
        <w:t>و</w:t>
      </w:r>
      <w:r w:rsidRPr="003267C8">
        <w:rPr>
          <w:rtl/>
        </w:rPr>
        <w:t xml:space="preserve">يمكن </w:t>
      </w:r>
      <w:r>
        <w:rPr>
          <w:rFonts w:hint="cs"/>
          <w:rtl/>
        </w:rPr>
        <w:t>ل</w:t>
      </w:r>
      <w:r w:rsidRPr="003267C8">
        <w:rPr>
          <w:rtl/>
        </w:rPr>
        <w:t xml:space="preserve">لإدارات </w:t>
      </w:r>
      <w:r>
        <w:rPr>
          <w:rFonts w:hint="cs"/>
          <w:rtl/>
        </w:rPr>
        <w:t xml:space="preserve">أن تستخدم </w:t>
      </w:r>
      <w:r w:rsidRPr="003267C8">
        <w:rPr>
          <w:rtl/>
        </w:rPr>
        <w:t xml:space="preserve">أفضل ممارسات إدارة الطيف </w:t>
      </w:r>
      <w:r>
        <w:rPr>
          <w:rFonts w:hint="cs"/>
          <w:rtl/>
        </w:rPr>
        <w:t>إلى جانب</w:t>
      </w:r>
      <w:r w:rsidRPr="003267C8">
        <w:rPr>
          <w:rtl/>
        </w:rPr>
        <w:t xml:space="preserve"> تدابير تقنية وتشغيلية لضمان حماية</w:t>
      </w:r>
      <w:r>
        <w:rPr>
          <w:rFonts w:hint="cs"/>
          <w:rtl/>
        </w:rPr>
        <w:t xml:space="preserve"> الخدمة</w:t>
      </w:r>
      <w:r w:rsidRPr="003267C8">
        <w:rPr>
          <w:rtl/>
        </w:rPr>
        <w:t xml:space="preserve"> </w:t>
      </w:r>
      <w:r w:rsidRPr="003267C8">
        <w:t>RNSS</w:t>
      </w:r>
      <w:r w:rsidRPr="003267C8">
        <w:rPr>
          <w:rtl/>
        </w:rPr>
        <w:t xml:space="preserve"> دون الحاجة إلى </w:t>
      </w:r>
      <w:r>
        <w:rPr>
          <w:rFonts w:hint="cs"/>
          <w:rtl/>
        </w:rPr>
        <w:t xml:space="preserve">فرض </w:t>
      </w:r>
      <w:r w:rsidRPr="003267C8">
        <w:rPr>
          <w:rtl/>
        </w:rPr>
        <w:t xml:space="preserve">أي قيود تنظيمية إضافية على خدمتي الهواة والهواة الساتلية في نطاق التردد </w:t>
      </w:r>
      <w:r>
        <w:rPr>
          <w:rFonts w:hint="cs"/>
          <w:rtl/>
        </w:rPr>
        <w:t>قيد الدراسة</w:t>
      </w:r>
      <w:r w:rsidRPr="003267C8">
        <w:rPr>
          <w:rtl/>
        </w:rPr>
        <w:t>.</w:t>
      </w:r>
    </w:p>
    <w:p w14:paraId="75F81532" w14:textId="5B1C2CB5" w:rsidR="00AD1833" w:rsidRDefault="007C3302" w:rsidP="005F2E1A">
      <w:pPr>
        <w:rPr>
          <w:rtl/>
        </w:rPr>
      </w:pPr>
      <w:r w:rsidRPr="007C3302">
        <w:rPr>
          <w:rtl/>
        </w:rPr>
        <w:t>و</w:t>
      </w:r>
      <w:r>
        <w:rPr>
          <w:rFonts w:hint="cs"/>
          <w:rtl/>
        </w:rPr>
        <w:t>من هنا</w:t>
      </w:r>
      <w:r w:rsidRPr="007C3302">
        <w:rPr>
          <w:rtl/>
        </w:rPr>
        <w:t>، فإن ال</w:t>
      </w:r>
      <w:r>
        <w:rPr>
          <w:rFonts w:hint="cs"/>
          <w:rtl/>
        </w:rPr>
        <w:t>م</w:t>
      </w:r>
      <w:r w:rsidRPr="007C3302">
        <w:rPr>
          <w:rtl/>
        </w:rPr>
        <w:t xml:space="preserve">قترحات التالية </w:t>
      </w:r>
      <w:r>
        <w:rPr>
          <w:rFonts w:hint="cs"/>
          <w:rtl/>
        </w:rPr>
        <w:t>المتمثلة في عدم إدخال أي تغييرات</w:t>
      </w:r>
      <w:r w:rsidRPr="007C3302">
        <w:rPr>
          <w:rtl/>
        </w:rPr>
        <w:t xml:space="preserve"> </w:t>
      </w:r>
      <w:r>
        <w:t>(</w:t>
      </w:r>
      <w:r w:rsidRPr="005F2E1A">
        <w:rPr>
          <w:u w:val="single"/>
        </w:rPr>
        <w:t>NOC</w:t>
      </w:r>
      <w:r>
        <w:t>)</w:t>
      </w:r>
      <w:r w:rsidRPr="007C3302">
        <w:rPr>
          <w:rtl/>
        </w:rPr>
        <w:t xml:space="preserve"> و</w:t>
      </w:r>
      <w:r>
        <w:rPr>
          <w:rFonts w:hint="cs"/>
          <w:rtl/>
        </w:rPr>
        <w:t>إلغاء</w:t>
      </w:r>
      <w:r w:rsidRPr="007C3302">
        <w:rPr>
          <w:rtl/>
        </w:rPr>
        <w:t xml:space="preserve"> </w:t>
      </w:r>
      <w:r>
        <w:t>(</w:t>
      </w:r>
      <w:r w:rsidRPr="007C3302">
        <w:t>SUP</w:t>
      </w:r>
      <w:r>
        <w:t>)</w:t>
      </w:r>
      <w:r w:rsidRPr="007C3302">
        <w:rPr>
          <w:rtl/>
        </w:rPr>
        <w:t xml:space="preserve"> للقرار ال</w:t>
      </w:r>
      <w:r>
        <w:rPr>
          <w:rFonts w:hint="cs"/>
          <w:rtl/>
        </w:rPr>
        <w:t>حالي</w:t>
      </w:r>
      <w:r w:rsidRPr="007C3302">
        <w:rPr>
          <w:rtl/>
        </w:rPr>
        <w:t>، والتي تعرض التطورات والمراجعات للتقارير والتوصيات ذات الصلة، يمكن أن تستمر من خلال الأنشطة العادية للج</w:t>
      </w:r>
      <w:r w:rsidR="005729AA">
        <w:rPr>
          <w:rFonts w:hint="cs"/>
          <w:rtl/>
        </w:rPr>
        <w:t>ان</w:t>
      </w:r>
      <w:r w:rsidRPr="007C3302">
        <w:rPr>
          <w:rtl/>
        </w:rPr>
        <w:t xml:space="preserve"> الدراسات التابعة لقطاع الاتصالات</w:t>
      </w:r>
      <w:r w:rsidR="005F2E1A">
        <w:rPr>
          <w:rFonts w:hint="cs"/>
          <w:rtl/>
        </w:rPr>
        <w:t> </w:t>
      </w:r>
      <w:r w:rsidRPr="007C3302">
        <w:rPr>
          <w:rtl/>
        </w:rPr>
        <w:t>الراديوية.</w:t>
      </w:r>
    </w:p>
    <w:p w14:paraId="74AE41E6" w14:textId="6FD5A4DE" w:rsidR="00AD1833" w:rsidRDefault="00AD1833" w:rsidP="00AD1833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6DBA3C0C" w14:textId="77777777" w:rsidR="007D2354" w:rsidRDefault="004773F6">
      <w:pPr>
        <w:pStyle w:val="Proposal"/>
      </w:pPr>
      <w:r>
        <w:rPr>
          <w:u w:val="single"/>
        </w:rPr>
        <w:t>NOC</w:t>
      </w:r>
      <w:r>
        <w:tab/>
        <w:t>IAP/44A24A2/1</w:t>
      </w:r>
    </w:p>
    <w:p w14:paraId="1C9E8648" w14:textId="77777777" w:rsidR="00675555" w:rsidRPr="002B699D" w:rsidRDefault="00675555" w:rsidP="00675555">
      <w:pPr>
        <w:pStyle w:val="Volumetitle"/>
        <w:rPr>
          <w:sz w:val="48"/>
          <w:szCs w:val="48"/>
        </w:rPr>
      </w:pPr>
      <w:r w:rsidRPr="002B699D">
        <w:rPr>
          <w:rFonts w:hint="cs"/>
          <w:sz w:val="48"/>
          <w:szCs w:val="48"/>
          <w:rtl/>
        </w:rPr>
        <w:t>المــواد</w:t>
      </w:r>
    </w:p>
    <w:p w14:paraId="08923D9E" w14:textId="49E0F899" w:rsidR="007D2354" w:rsidRPr="009251C3" w:rsidRDefault="004773F6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5729AA" w:rsidRPr="005729AA">
        <w:rPr>
          <w:b w:val="0"/>
          <w:bCs w:val="0"/>
          <w:rtl/>
        </w:rPr>
        <w:t>لا يلزم إدخال أي تغييرات على مواد لوائح الراديو في إطار هذا الموضوع من البند 1.9 من جدول الأعمال، بما</w:t>
      </w:r>
      <w:r w:rsidR="008B2804">
        <w:rPr>
          <w:rFonts w:hint="cs"/>
          <w:b w:val="0"/>
          <w:bCs w:val="0"/>
          <w:rtl/>
        </w:rPr>
        <w:t> </w:t>
      </w:r>
      <w:r w:rsidR="005729AA" w:rsidRPr="005729AA">
        <w:rPr>
          <w:b w:val="0"/>
          <w:bCs w:val="0"/>
          <w:rtl/>
        </w:rPr>
        <w:t>في</w:t>
      </w:r>
      <w:r w:rsidR="009251C3">
        <w:rPr>
          <w:rFonts w:hint="cs"/>
          <w:b w:val="0"/>
          <w:bCs w:val="0"/>
          <w:rtl/>
        </w:rPr>
        <w:t> </w:t>
      </w:r>
      <w:r w:rsidR="005729AA" w:rsidRPr="005729AA">
        <w:rPr>
          <w:b w:val="0"/>
          <w:bCs w:val="0"/>
          <w:rtl/>
        </w:rPr>
        <w:t>ذلك أي تغيير في حالة خدم</w:t>
      </w:r>
      <w:r w:rsidR="005729AA">
        <w:rPr>
          <w:rFonts w:hint="cs"/>
          <w:b w:val="0"/>
          <w:bCs w:val="0"/>
          <w:rtl/>
        </w:rPr>
        <w:t>تي</w:t>
      </w:r>
      <w:r w:rsidR="005729AA" w:rsidRPr="005729AA">
        <w:rPr>
          <w:b w:val="0"/>
          <w:bCs w:val="0"/>
          <w:rtl/>
        </w:rPr>
        <w:t xml:space="preserve"> الهواة </w:t>
      </w:r>
      <w:r w:rsidR="005729AA">
        <w:rPr>
          <w:rFonts w:hint="cs"/>
          <w:b w:val="0"/>
          <w:bCs w:val="0"/>
          <w:rtl/>
        </w:rPr>
        <w:t>و</w:t>
      </w:r>
      <w:r w:rsidR="005729AA" w:rsidRPr="005729AA">
        <w:rPr>
          <w:b w:val="0"/>
          <w:bCs w:val="0"/>
          <w:rtl/>
        </w:rPr>
        <w:t xml:space="preserve">الهواة الساتلية. </w:t>
      </w:r>
      <w:r w:rsidR="005729AA">
        <w:rPr>
          <w:rFonts w:hint="cs"/>
          <w:b w:val="0"/>
          <w:bCs w:val="0"/>
          <w:rtl/>
        </w:rPr>
        <w:t>و</w:t>
      </w:r>
      <w:r w:rsidR="005729AA" w:rsidRPr="005729AA">
        <w:rPr>
          <w:b w:val="0"/>
          <w:bCs w:val="0"/>
          <w:rtl/>
        </w:rPr>
        <w:t xml:space="preserve">تُشجع الإدارات على مراعاة تقارير/توصيات قطاع الاتصالات الراديوية قيد الإعداد بشأن كيفية تعايش توزيعات الهواة مع الخدمات الأولية في النطاق </w:t>
      </w:r>
      <w:r w:rsidR="005729AA" w:rsidRPr="005729AA">
        <w:rPr>
          <w:b w:val="0"/>
          <w:bCs w:val="0"/>
        </w:rPr>
        <w:t xml:space="preserve">MHz 1 </w:t>
      </w:r>
      <w:r w:rsidR="005729AA">
        <w:rPr>
          <w:b w:val="0"/>
          <w:bCs w:val="0"/>
        </w:rPr>
        <w:t>30</w:t>
      </w:r>
      <w:r w:rsidR="005729AA" w:rsidRPr="005729AA">
        <w:rPr>
          <w:b w:val="0"/>
          <w:bCs w:val="0"/>
        </w:rPr>
        <w:t xml:space="preserve">0-1 </w:t>
      </w:r>
      <w:r w:rsidR="005729AA">
        <w:rPr>
          <w:b w:val="0"/>
          <w:bCs w:val="0"/>
        </w:rPr>
        <w:t>240</w:t>
      </w:r>
      <w:r w:rsidR="005729AA" w:rsidRPr="005729AA">
        <w:rPr>
          <w:b w:val="0"/>
          <w:bCs w:val="0"/>
          <w:rtl/>
        </w:rPr>
        <w:t xml:space="preserve">. ويمكن للإدارات أن تستخدم أفضل ممارسات إدارة الطيف إلى جانب تدابير تقنية وتشغيلية لضمان حماية الخدمة </w:t>
      </w:r>
      <w:r w:rsidR="005729AA" w:rsidRPr="005729AA">
        <w:rPr>
          <w:b w:val="0"/>
          <w:bCs w:val="0"/>
        </w:rPr>
        <w:t>RNSS</w:t>
      </w:r>
      <w:r w:rsidR="005729AA" w:rsidRPr="005729AA">
        <w:rPr>
          <w:b w:val="0"/>
          <w:bCs w:val="0"/>
          <w:rtl/>
        </w:rPr>
        <w:t xml:space="preserve"> دون الحاجة إلى فرض أي قيود تنظيمية إضافية على خدمتي الهواة والهواة الساتلية في نطاق التردد هذا.</w:t>
      </w:r>
    </w:p>
    <w:p w14:paraId="6D52987C" w14:textId="77777777" w:rsidR="007D2354" w:rsidRDefault="004773F6">
      <w:pPr>
        <w:pStyle w:val="Proposal"/>
      </w:pPr>
      <w:r>
        <w:rPr>
          <w:u w:val="single"/>
        </w:rPr>
        <w:t>NOC</w:t>
      </w:r>
      <w:r>
        <w:tab/>
        <w:t>IAP/44A24A2/2</w:t>
      </w:r>
    </w:p>
    <w:p w14:paraId="14B0AED5" w14:textId="77777777" w:rsidR="00B679C3" w:rsidRPr="00E67D2F" w:rsidRDefault="004773F6" w:rsidP="0013337C">
      <w:pPr>
        <w:pStyle w:val="Volumetitle"/>
        <w:rPr>
          <w:sz w:val="48"/>
          <w:szCs w:val="48"/>
          <w:rtl/>
        </w:rPr>
      </w:pPr>
      <w:r w:rsidRPr="00E67D2F">
        <w:rPr>
          <w:rFonts w:hint="cs"/>
          <w:sz w:val="48"/>
          <w:szCs w:val="48"/>
          <w:rtl/>
        </w:rPr>
        <w:t>التذييـلات</w:t>
      </w:r>
    </w:p>
    <w:p w14:paraId="592FD680" w14:textId="0A01481F" w:rsidR="007D2354" w:rsidRPr="009251C3" w:rsidRDefault="004773F6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5729AA" w:rsidRPr="005729AA">
        <w:rPr>
          <w:b w:val="0"/>
          <w:bCs w:val="0"/>
          <w:rtl/>
        </w:rPr>
        <w:t xml:space="preserve">لا يلزم إدخال أي تغييرات على </w:t>
      </w:r>
      <w:r w:rsidR="005729AA">
        <w:rPr>
          <w:rFonts w:hint="cs"/>
          <w:b w:val="0"/>
          <w:bCs w:val="0"/>
          <w:rtl/>
        </w:rPr>
        <w:t>تذييلات</w:t>
      </w:r>
      <w:r w:rsidR="005729AA" w:rsidRPr="005729AA">
        <w:rPr>
          <w:b w:val="0"/>
          <w:bCs w:val="0"/>
          <w:rtl/>
        </w:rPr>
        <w:t xml:space="preserve"> لوائح الراديو في إطار هذا الموضوع من البند 1.9 من جدول الأعمال، بما</w:t>
      </w:r>
      <w:r w:rsidR="00040C88">
        <w:rPr>
          <w:rFonts w:hint="cs"/>
          <w:b w:val="0"/>
          <w:bCs w:val="0"/>
          <w:rtl/>
        </w:rPr>
        <w:t> </w:t>
      </w:r>
      <w:r w:rsidR="005729AA" w:rsidRPr="005729AA">
        <w:rPr>
          <w:b w:val="0"/>
          <w:bCs w:val="0"/>
          <w:rtl/>
        </w:rPr>
        <w:t>في</w:t>
      </w:r>
      <w:r w:rsidR="00040C88">
        <w:rPr>
          <w:rFonts w:hint="cs"/>
          <w:b w:val="0"/>
          <w:bCs w:val="0"/>
          <w:rtl/>
        </w:rPr>
        <w:t> </w:t>
      </w:r>
      <w:r w:rsidR="005729AA" w:rsidRPr="005729AA">
        <w:rPr>
          <w:b w:val="0"/>
          <w:bCs w:val="0"/>
          <w:rtl/>
        </w:rPr>
        <w:t xml:space="preserve">ذلك أي تغيير في حالة خدمتي الهواة والهواة الساتلية. وتُشجع الإدارات على مراعاة تقارير/توصيات قطاع الاتصالات الراديوية قيد الإعداد بشأن كيفية تعايش توزيعات الهواة مع الخدمات الأولية في النطاق </w:t>
      </w:r>
      <w:r w:rsidR="005729AA" w:rsidRPr="005729AA">
        <w:rPr>
          <w:b w:val="0"/>
          <w:bCs w:val="0"/>
        </w:rPr>
        <w:t>MHz 1 300-1 240</w:t>
      </w:r>
      <w:r w:rsidR="005729AA" w:rsidRPr="005729AA">
        <w:rPr>
          <w:b w:val="0"/>
          <w:bCs w:val="0"/>
          <w:rtl/>
        </w:rPr>
        <w:t xml:space="preserve">. ويمكن للإدارات أن تستخدم أفضل ممارسات إدارة الطيف إلى جانب تدابير تقنية وتشغيلية لضمان حماية الخدمة </w:t>
      </w:r>
      <w:r w:rsidR="005729AA" w:rsidRPr="005729AA">
        <w:rPr>
          <w:b w:val="0"/>
          <w:bCs w:val="0"/>
        </w:rPr>
        <w:t>RNSS</w:t>
      </w:r>
      <w:r w:rsidR="005729AA" w:rsidRPr="005729AA">
        <w:rPr>
          <w:b w:val="0"/>
          <w:bCs w:val="0"/>
          <w:rtl/>
        </w:rPr>
        <w:t xml:space="preserve"> دون الحاجة إلى فرض أي قيود تنظيمية إضافية على خدمتي الهواة والهواة الساتلية في نطاق التردد هذا.</w:t>
      </w:r>
    </w:p>
    <w:p w14:paraId="1B44E463" w14:textId="77777777" w:rsidR="007D2354" w:rsidRDefault="004773F6">
      <w:pPr>
        <w:pStyle w:val="Proposal"/>
      </w:pPr>
      <w:r>
        <w:t>SUP</w:t>
      </w:r>
      <w:r>
        <w:tab/>
        <w:t>IAP/44A24A2/3</w:t>
      </w:r>
    </w:p>
    <w:p w14:paraId="3CFA756B" w14:textId="77777777" w:rsidR="0043489B" w:rsidRPr="00FE2CFF" w:rsidRDefault="004773F6" w:rsidP="0043489B">
      <w:pPr>
        <w:pStyle w:val="ResNo"/>
      </w:pPr>
      <w:bookmarkStart w:id="1" w:name="_Toc36038463"/>
      <w:bookmarkStart w:id="2" w:name="_Toc40075985"/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774</w:t>
      </w:r>
      <w:r w:rsidRPr="00FE2CFF">
        <w:rPr>
          <w:lang w:val="en-GB"/>
        </w:rPr>
        <w:t xml:space="preserve"> (WRC-19)</w:t>
      </w:r>
      <w:bookmarkEnd w:id="1"/>
      <w:bookmarkEnd w:id="2"/>
    </w:p>
    <w:p w14:paraId="6F776056" w14:textId="77777777" w:rsidR="0043489B" w:rsidRPr="00FE2CFF" w:rsidRDefault="004773F6" w:rsidP="0043489B">
      <w:pPr>
        <w:pStyle w:val="Restitle"/>
        <w:rPr>
          <w:lang w:val="en-GB"/>
        </w:rPr>
      </w:pPr>
      <w:bookmarkStart w:id="3" w:name="_Toc36038464"/>
      <w:bookmarkStart w:id="4" w:name="_Toc40075986"/>
      <w:r w:rsidRPr="00FE2CFF">
        <w:rPr>
          <w:rFonts w:hint="cs"/>
          <w:rtl/>
          <w:lang w:bidi="ar"/>
        </w:rPr>
        <w:t>دراسات بشأن التدابير التقنية والتشغيلية التي يتعين تطبيقها في نطاق التردد</w:t>
      </w:r>
      <w:r>
        <w:rPr>
          <w:rFonts w:hint="eastAsia"/>
          <w:rtl/>
          <w:lang w:bidi="ar"/>
        </w:rPr>
        <w:t> </w:t>
      </w:r>
      <w:r w:rsidRPr="00FE2CFF">
        <w:t>MHz 1 300</w:t>
      </w:r>
      <w:r w:rsidRPr="00FE2CFF">
        <w:noBreakHyphen/>
        <w:t>1 240</w:t>
      </w:r>
      <w:r w:rsidRPr="00FE2CFF">
        <w:rPr>
          <w:rFonts w:hint="cs"/>
          <w:rtl/>
        </w:rPr>
        <w:t xml:space="preserve"> </w:t>
      </w:r>
      <w:r w:rsidRPr="00FE2CFF">
        <w:rPr>
          <w:rFonts w:asciiTheme="minorHAnsi" w:hAnsiTheme="minorHAnsi" w:hint="cs"/>
          <w:rtl/>
        </w:rPr>
        <w:t xml:space="preserve">لضمان حماية </w:t>
      </w:r>
      <w:r w:rsidRPr="00FE2CFF">
        <w:rPr>
          <w:rFonts w:hint="cs"/>
          <w:rtl/>
          <w:lang w:bidi="ar"/>
        </w:rPr>
        <w:t>خدمة الملاحة الراديوية الساتلية (فضاء-أرض)</w:t>
      </w:r>
      <w:bookmarkEnd w:id="3"/>
      <w:bookmarkEnd w:id="4"/>
    </w:p>
    <w:p w14:paraId="0F9897C5" w14:textId="08E71771" w:rsidR="007D2354" w:rsidRPr="009251C3" w:rsidRDefault="004773F6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729AA" w:rsidRPr="005729AA">
        <w:rPr>
          <w:b w:val="0"/>
          <w:bCs w:val="0"/>
          <w:rtl/>
        </w:rPr>
        <w:t xml:space="preserve">إجراء </w:t>
      </w:r>
      <w:r w:rsidR="005729AA">
        <w:rPr>
          <w:rFonts w:hint="cs"/>
          <w:b w:val="0"/>
          <w:bCs w:val="0"/>
          <w:rtl/>
        </w:rPr>
        <w:t>مترتب</w:t>
      </w:r>
      <w:r w:rsidR="005729AA" w:rsidRPr="005729AA">
        <w:rPr>
          <w:b w:val="0"/>
          <w:bCs w:val="0"/>
          <w:rtl/>
        </w:rPr>
        <w:t xml:space="preserve"> حيث لا يلزم أي إجراء آخر من قبل </w:t>
      </w:r>
      <w:r w:rsidR="005729AA">
        <w:rPr>
          <w:rFonts w:hint="cs"/>
          <w:b w:val="0"/>
          <w:bCs w:val="0"/>
          <w:rtl/>
        </w:rPr>
        <w:t xml:space="preserve">أي </w:t>
      </w:r>
      <w:r w:rsidR="005729AA" w:rsidRPr="005729AA">
        <w:rPr>
          <w:b w:val="0"/>
          <w:bCs w:val="0"/>
          <w:rtl/>
        </w:rPr>
        <w:t xml:space="preserve">مؤتمر عالمي للاتصالات الراديوية لمعالجة هذا الموضوع. </w:t>
      </w:r>
      <w:r w:rsidR="005729AA">
        <w:rPr>
          <w:rFonts w:hint="cs"/>
          <w:b w:val="0"/>
          <w:bCs w:val="0"/>
          <w:rtl/>
        </w:rPr>
        <w:t>و</w:t>
      </w:r>
      <w:r w:rsidR="005729AA" w:rsidRPr="005729AA">
        <w:rPr>
          <w:b w:val="0"/>
          <w:bCs w:val="0"/>
          <w:rtl/>
        </w:rPr>
        <w:t xml:space="preserve">يمكن لقطاع الاتصالات الراديوية، من خلال الأنشطة العادية للجان الدراسات </w:t>
      </w:r>
      <w:r w:rsidR="005729AA">
        <w:rPr>
          <w:rFonts w:hint="cs"/>
          <w:b w:val="0"/>
          <w:bCs w:val="0"/>
          <w:rtl/>
        </w:rPr>
        <w:t>التابعة له</w:t>
      </w:r>
      <w:r w:rsidR="005729AA" w:rsidRPr="005729AA">
        <w:rPr>
          <w:b w:val="0"/>
          <w:bCs w:val="0"/>
          <w:rtl/>
        </w:rPr>
        <w:t>، مواصلة الدراسات لمراجعة التقارير والتوصيات الحالية.</w:t>
      </w:r>
    </w:p>
    <w:p w14:paraId="12F5EE46" w14:textId="2E2C9F0D" w:rsidR="00AD1833" w:rsidRPr="00AD1833" w:rsidRDefault="00AD1833" w:rsidP="004773F6">
      <w:pPr>
        <w:spacing w:before="600"/>
        <w:jc w:val="center"/>
        <w:rPr>
          <w:lang w:eastAsia="zh-CN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D1833" w:rsidRPr="00AD1833" w:rsidSect="004773F6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16CB" w14:textId="77777777" w:rsidR="001A6F04" w:rsidRDefault="001A6F04" w:rsidP="002919E1">
      <w:r>
        <w:separator/>
      </w:r>
    </w:p>
    <w:p w14:paraId="067634C1" w14:textId="77777777" w:rsidR="001A6F04" w:rsidRDefault="001A6F04" w:rsidP="002919E1"/>
    <w:p w14:paraId="7FD27CC4" w14:textId="77777777" w:rsidR="001A6F04" w:rsidRDefault="001A6F04" w:rsidP="002919E1"/>
    <w:p w14:paraId="4909754C" w14:textId="77777777" w:rsidR="001A6F04" w:rsidRDefault="001A6F04"/>
    <w:p w14:paraId="0AE5B576" w14:textId="77777777" w:rsidR="001A6F04" w:rsidRDefault="001A6F04"/>
  </w:endnote>
  <w:endnote w:type="continuationSeparator" w:id="0">
    <w:p w14:paraId="279D594A" w14:textId="77777777" w:rsidR="001A6F04" w:rsidRDefault="001A6F04" w:rsidP="002919E1">
      <w:r>
        <w:continuationSeparator/>
      </w:r>
    </w:p>
    <w:p w14:paraId="5A773383" w14:textId="77777777" w:rsidR="001A6F04" w:rsidRDefault="001A6F04" w:rsidP="002919E1"/>
    <w:p w14:paraId="2A001B4F" w14:textId="77777777" w:rsidR="001A6F04" w:rsidRDefault="001A6F04" w:rsidP="002919E1"/>
    <w:p w14:paraId="61245CB2" w14:textId="77777777" w:rsidR="001A6F04" w:rsidRDefault="001A6F04"/>
    <w:p w14:paraId="4B04FEF1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94E5" w14:textId="151AA7EE" w:rsidR="00D63A6F" w:rsidRPr="00573140" w:rsidRDefault="004773F6" w:rsidP="004773F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573140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573140">
      <w:rPr>
        <w:noProof/>
        <w:sz w:val="16"/>
        <w:szCs w:val="16"/>
        <w:lang w:val="pt-PT"/>
      </w:rPr>
      <w:t>P:\TRAD\A\ITU-R\CONF-R\CMR23\000\044ADD24ADD02A (Montage).docx</w:t>
    </w:r>
    <w:r w:rsidRPr="0026373E">
      <w:rPr>
        <w:sz w:val="16"/>
        <w:szCs w:val="16"/>
      </w:rPr>
      <w:fldChar w:fldCharType="end"/>
    </w:r>
    <w:r w:rsidRPr="00573140">
      <w:rPr>
        <w:sz w:val="16"/>
        <w:szCs w:val="16"/>
        <w:lang w:val="pt-PT"/>
      </w:rPr>
      <w:t xml:space="preserve">   (525334)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BAFB" w14:textId="535823DD" w:rsidR="004773F6" w:rsidRPr="00573140" w:rsidRDefault="004773F6" w:rsidP="004773F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573140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F2E1A" w:rsidRPr="00573140">
      <w:rPr>
        <w:noProof/>
        <w:sz w:val="16"/>
        <w:szCs w:val="16"/>
        <w:lang w:val="pt-PT"/>
      </w:rPr>
      <w:t>P:\ARA\ITU-R\CONF-R\CMR23\000\044ADD24ADD02A.docx</w:t>
    </w:r>
    <w:r w:rsidRPr="0026373E">
      <w:rPr>
        <w:sz w:val="16"/>
        <w:szCs w:val="16"/>
      </w:rPr>
      <w:fldChar w:fldCharType="end"/>
    </w:r>
    <w:r w:rsidRPr="00573140">
      <w:rPr>
        <w:sz w:val="16"/>
        <w:szCs w:val="16"/>
        <w:lang w:val="pt-PT"/>
      </w:rPr>
      <w:t xml:space="preserve">   (525334)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1FF6" w14:textId="1C60341B" w:rsidR="004773F6" w:rsidRPr="00573140" w:rsidRDefault="004773F6" w:rsidP="004773F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573140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F2E1A" w:rsidRPr="00573140">
      <w:rPr>
        <w:noProof/>
        <w:sz w:val="16"/>
        <w:szCs w:val="16"/>
        <w:lang w:val="pt-PT"/>
      </w:rPr>
      <w:t>P:\ARA\ITU-R\CONF-R\CMR23\000\044ADD24ADD02A.docx</w:t>
    </w:r>
    <w:r w:rsidRPr="0026373E">
      <w:rPr>
        <w:sz w:val="16"/>
        <w:szCs w:val="16"/>
      </w:rPr>
      <w:fldChar w:fldCharType="end"/>
    </w:r>
    <w:r w:rsidRPr="00573140">
      <w:rPr>
        <w:sz w:val="16"/>
        <w:szCs w:val="16"/>
        <w:lang w:val="pt-PT"/>
      </w:rPr>
      <w:t xml:space="preserve">   (525334)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CC98" w14:textId="77777777" w:rsidR="001A6F04" w:rsidRDefault="001A6F04" w:rsidP="00C45930">
      <w:r>
        <w:separator/>
      </w:r>
    </w:p>
  </w:footnote>
  <w:footnote w:type="continuationSeparator" w:id="0">
    <w:p w14:paraId="1BB573A8" w14:textId="77777777" w:rsidR="001A6F04" w:rsidRDefault="001A6F04" w:rsidP="002919E1">
      <w:r>
        <w:continuationSeparator/>
      </w:r>
    </w:p>
    <w:p w14:paraId="1B22BF30" w14:textId="77777777" w:rsidR="001A6F04" w:rsidRDefault="001A6F04" w:rsidP="002919E1"/>
    <w:p w14:paraId="1F0D4F09" w14:textId="77777777" w:rsidR="001A6F04" w:rsidRDefault="001A6F04" w:rsidP="002919E1"/>
    <w:p w14:paraId="5C9DC164" w14:textId="77777777" w:rsidR="001A6F04" w:rsidRDefault="001A6F04"/>
    <w:p w14:paraId="2B111137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1C8" w14:textId="44B2BD74" w:rsidR="00D63A6F" w:rsidRPr="00AD1833" w:rsidRDefault="005E5F16" w:rsidP="00AD1833">
    <w:pPr>
      <w:bidi w:val="0"/>
      <w:spacing w:after="360" w:line="240" w:lineRule="auto"/>
      <w:jc w:val="center"/>
    </w:pPr>
    <w:r w:rsidRPr="00AD1833">
      <w:rPr>
        <w:rStyle w:val="PageNumber"/>
        <w:rFonts w:ascii="Dubai" w:hAnsi="Dubai" w:cs="Dubai"/>
      </w:rPr>
      <w:fldChar w:fldCharType="begin"/>
    </w:r>
    <w:r w:rsidRPr="00AD1833">
      <w:rPr>
        <w:rStyle w:val="PageNumber"/>
        <w:rFonts w:ascii="Dubai" w:hAnsi="Dubai" w:cs="Dubai"/>
      </w:rPr>
      <w:instrText xml:space="preserve"> PAGE </w:instrText>
    </w:r>
    <w:r w:rsidRPr="00AD1833">
      <w:rPr>
        <w:rStyle w:val="PageNumber"/>
        <w:rFonts w:ascii="Dubai" w:hAnsi="Dubai" w:cs="Dubai"/>
      </w:rPr>
      <w:fldChar w:fldCharType="separate"/>
    </w:r>
    <w:r w:rsidRPr="00AD1833">
      <w:rPr>
        <w:rStyle w:val="PageNumber"/>
        <w:rFonts w:ascii="Dubai" w:hAnsi="Dubai" w:cs="Dubai"/>
      </w:rPr>
      <w:t>2</w:t>
    </w:r>
    <w:r w:rsidRPr="00AD1833">
      <w:rPr>
        <w:rStyle w:val="PageNumber"/>
        <w:rFonts w:ascii="Dubai" w:hAnsi="Dubai" w:cs="Dubai"/>
      </w:rPr>
      <w:fldChar w:fldCharType="end"/>
    </w:r>
    <w:r w:rsidRPr="00AD1833">
      <w:rPr>
        <w:rStyle w:val="PageNumber"/>
        <w:rFonts w:ascii="Dubai" w:hAnsi="Dubai" w:cs="Dubai"/>
        <w:rtl/>
      </w:rPr>
      <w:br/>
    </w:r>
    <w:r w:rsidR="004F5F29" w:rsidRPr="00AD1833">
      <w:rPr>
        <w:rStyle w:val="PageNumber"/>
        <w:rFonts w:ascii="Dubai" w:hAnsi="Dubai" w:cs="Dubai"/>
      </w:rPr>
      <w:t>WRC</w:t>
    </w:r>
    <w:r w:rsidRPr="00AD1833">
      <w:rPr>
        <w:rStyle w:val="PageNumber"/>
        <w:rFonts w:ascii="Dubai" w:hAnsi="Dubai" w:cs="Dubai"/>
      </w:rPr>
      <w:t>23/44(Add.</w:t>
    </w:r>
    <w:proofErr w:type="gramStart"/>
    <w:r w:rsidRPr="00AD1833">
      <w:rPr>
        <w:rStyle w:val="PageNumber"/>
        <w:rFonts w:ascii="Dubai" w:hAnsi="Dubai" w:cs="Dubai"/>
      </w:rPr>
      <w:t>24)(</w:t>
    </w:r>
    <w:proofErr w:type="gramEnd"/>
    <w:r w:rsidRPr="00AD1833">
      <w:rPr>
        <w:rStyle w:val="PageNumber"/>
        <w:rFonts w:ascii="Dubai" w:hAnsi="Dubai" w:cs="Dubai"/>
      </w:rPr>
      <w:t>Add.2)-A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53C1" w14:textId="7B25096C" w:rsidR="004773F6" w:rsidRDefault="004773F6" w:rsidP="004773F6">
    <w:pPr>
      <w:bidi w:val="0"/>
      <w:spacing w:after="360" w:line="240" w:lineRule="auto"/>
      <w:jc w:val="center"/>
    </w:pPr>
    <w:r w:rsidRPr="00AD1833">
      <w:rPr>
        <w:rStyle w:val="PageNumber"/>
        <w:rFonts w:ascii="Dubai" w:hAnsi="Dubai" w:cs="Dubai"/>
      </w:rPr>
      <w:fldChar w:fldCharType="begin"/>
    </w:r>
    <w:r w:rsidRPr="00AD1833">
      <w:rPr>
        <w:rStyle w:val="PageNumber"/>
        <w:rFonts w:ascii="Dubai" w:hAnsi="Dubai" w:cs="Dubai"/>
      </w:rPr>
      <w:instrText xml:space="preserve"> PAGE </w:instrText>
    </w:r>
    <w:r w:rsidRPr="00AD1833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2</w:t>
    </w:r>
    <w:r w:rsidRPr="00AD1833">
      <w:rPr>
        <w:rStyle w:val="PageNumber"/>
        <w:rFonts w:ascii="Dubai" w:hAnsi="Dubai" w:cs="Dubai"/>
      </w:rPr>
      <w:fldChar w:fldCharType="end"/>
    </w:r>
    <w:r w:rsidRPr="00AD1833">
      <w:rPr>
        <w:rStyle w:val="PageNumber"/>
        <w:rFonts w:ascii="Dubai" w:hAnsi="Dubai" w:cs="Dubai"/>
        <w:rtl/>
      </w:rPr>
      <w:br/>
    </w:r>
    <w:r w:rsidRPr="00AD1833">
      <w:rPr>
        <w:rStyle w:val="PageNumber"/>
        <w:rFonts w:ascii="Dubai" w:hAnsi="Dubai" w:cs="Dubai"/>
      </w:rPr>
      <w:t>WRC23/44(Add.</w:t>
    </w:r>
    <w:proofErr w:type="gramStart"/>
    <w:r w:rsidRPr="00AD1833">
      <w:rPr>
        <w:rStyle w:val="PageNumber"/>
        <w:rFonts w:ascii="Dubai" w:hAnsi="Dubai" w:cs="Dubai"/>
      </w:rPr>
      <w:t>24)(</w:t>
    </w:r>
    <w:proofErr w:type="gramEnd"/>
    <w:r w:rsidRPr="00AD1833">
      <w:rPr>
        <w:rStyle w:val="PageNumber"/>
        <w:rFonts w:ascii="Dubai" w:hAnsi="Dubai" w:cs="Dubai"/>
      </w:rPr>
      <w:t>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8C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0884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143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700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9132167">
    <w:abstractNumId w:val="9"/>
  </w:num>
  <w:num w:numId="2" w16cid:durableId="1657879958">
    <w:abstractNumId w:val="13"/>
  </w:num>
  <w:num w:numId="3" w16cid:durableId="394940301">
    <w:abstractNumId w:val="11"/>
  </w:num>
  <w:num w:numId="4" w16cid:durableId="1373580636">
    <w:abstractNumId w:val="14"/>
  </w:num>
  <w:num w:numId="5" w16cid:durableId="1526947113">
    <w:abstractNumId w:val="7"/>
  </w:num>
  <w:num w:numId="6" w16cid:durableId="1388188067">
    <w:abstractNumId w:val="6"/>
  </w:num>
  <w:num w:numId="7" w16cid:durableId="930553000">
    <w:abstractNumId w:val="5"/>
  </w:num>
  <w:num w:numId="8" w16cid:durableId="845050001">
    <w:abstractNumId w:val="4"/>
  </w:num>
  <w:num w:numId="9" w16cid:durableId="20979620">
    <w:abstractNumId w:val="8"/>
  </w:num>
  <w:num w:numId="10" w16cid:durableId="677274943">
    <w:abstractNumId w:val="3"/>
  </w:num>
  <w:num w:numId="11" w16cid:durableId="558437630">
    <w:abstractNumId w:val="2"/>
  </w:num>
  <w:num w:numId="12" w16cid:durableId="97913365">
    <w:abstractNumId w:val="1"/>
  </w:num>
  <w:num w:numId="13" w16cid:durableId="2113546219">
    <w:abstractNumId w:val="0"/>
  </w:num>
  <w:num w:numId="14" w16cid:durableId="682056434">
    <w:abstractNumId w:val="10"/>
  </w:num>
  <w:num w:numId="15" w16cid:durableId="111023551">
    <w:abstractNumId w:val="15"/>
  </w:num>
  <w:num w:numId="16" w16cid:durableId="1630014985">
    <w:abstractNumId w:val="12"/>
  </w:num>
  <w:num w:numId="17" w16cid:durableId="434330524">
    <w:abstractNumId w:val="6"/>
  </w:num>
  <w:num w:numId="18" w16cid:durableId="1577206292">
    <w:abstractNumId w:val="5"/>
  </w:num>
  <w:num w:numId="19" w16cid:durableId="1868444423">
    <w:abstractNumId w:val="3"/>
  </w:num>
  <w:num w:numId="20" w16cid:durableId="2030521189">
    <w:abstractNumId w:val="2"/>
  </w:num>
  <w:num w:numId="21" w16cid:durableId="1136530491">
    <w:abstractNumId w:val="6"/>
  </w:num>
  <w:num w:numId="22" w16cid:durableId="2100330449">
    <w:abstractNumId w:val="5"/>
  </w:num>
  <w:num w:numId="23" w16cid:durableId="502478425">
    <w:abstractNumId w:val="3"/>
  </w:num>
  <w:num w:numId="24" w16cid:durableId="352152769">
    <w:abstractNumId w:val="2"/>
  </w:num>
  <w:num w:numId="25" w16cid:durableId="605310606">
    <w:abstractNumId w:val="6"/>
  </w:num>
  <w:num w:numId="26" w16cid:durableId="1216623047">
    <w:abstractNumId w:val="5"/>
  </w:num>
  <w:num w:numId="27" w16cid:durableId="1668748929">
    <w:abstractNumId w:val="3"/>
  </w:num>
  <w:num w:numId="28" w16cid:durableId="42500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88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773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16C6"/>
    <w:rsid w:val="002F3E46"/>
    <w:rsid w:val="002F524B"/>
    <w:rsid w:val="002F5C2C"/>
    <w:rsid w:val="002F6B9D"/>
    <w:rsid w:val="00301B24"/>
    <w:rsid w:val="00304DBA"/>
    <w:rsid w:val="00305971"/>
    <w:rsid w:val="00311E3F"/>
    <w:rsid w:val="00314B1E"/>
    <w:rsid w:val="00323DAA"/>
    <w:rsid w:val="003267C8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3F7397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773F6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169C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0178"/>
    <w:rsid w:val="00553411"/>
    <w:rsid w:val="00554AE7"/>
    <w:rsid w:val="00556590"/>
    <w:rsid w:val="00564746"/>
    <w:rsid w:val="00564FCF"/>
    <w:rsid w:val="0056512C"/>
    <w:rsid w:val="005716C8"/>
    <w:rsid w:val="005729AA"/>
    <w:rsid w:val="00573140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2E1A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8707C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471EA"/>
    <w:rsid w:val="00751251"/>
    <w:rsid w:val="00752552"/>
    <w:rsid w:val="0075482A"/>
    <w:rsid w:val="007579F6"/>
    <w:rsid w:val="007610E7"/>
    <w:rsid w:val="00764079"/>
    <w:rsid w:val="00765CB2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302"/>
    <w:rsid w:val="007C3CFA"/>
    <w:rsid w:val="007C7603"/>
    <w:rsid w:val="007D173C"/>
    <w:rsid w:val="007D2354"/>
    <w:rsid w:val="007D2E6C"/>
    <w:rsid w:val="007D66A4"/>
    <w:rsid w:val="007E0E8B"/>
    <w:rsid w:val="007E48CC"/>
    <w:rsid w:val="007E6847"/>
    <w:rsid w:val="007E6B0A"/>
    <w:rsid w:val="007E74F1"/>
    <w:rsid w:val="007E7696"/>
    <w:rsid w:val="007F08CA"/>
    <w:rsid w:val="007F4998"/>
    <w:rsid w:val="007F6A4D"/>
    <w:rsid w:val="007F7FC3"/>
    <w:rsid w:val="00800790"/>
    <w:rsid w:val="00801B56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2804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51C3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2481"/>
    <w:rsid w:val="00A9645C"/>
    <w:rsid w:val="00AA0F46"/>
    <w:rsid w:val="00AB2A33"/>
    <w:rsid w:val="00AB5370"/>
    <w:rsid w:val="00AC1275"/>
    <w:rsid w:val="00AC7395"/>
    <w:rsid w:val="00AD0B2C"/>
    <w:rsid w:val="00AD10F3"/>
    <w:rsid w:val="00AD1267"/>
    <w:rsid w:val="00AD162B"/>
    <w:rsid w:val="00AD1833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0A98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331C"/>
    <w:rsid w:val="00B95C7A"/>
    <w:rsid w:val="00B97131"/>
    <w:rsid w:val="00B9727C"/>
    <w:rsid w:val="00BA2033"/>
    <w:rsid w:val="00BA5669"/>
    <w:rsid w:val="00BA7D44"/>
    <w:rsid w:val="00BB1192"/>
    <w:rsid w:val="00BB6E21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34FB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599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37A02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E6C63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A3902"/>
    <w:rsid w:val="00FB049A"/>
    <w:rsid w:val="00FB0753"/>
    <w:rsid w:val="00FB0F38"/>
    <w:rsid w:val="00FB15D0"/>
    <w:rsid w:val="00FB1EC4"/>
    <w:rsid w:val="00FB2926"/>
    <w:rsid w:val="00FB4A1C"/>
    <w:rsid w:val="00FB5CC8"/>
    <w:rsid w:val="00FC04EE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D5678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833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a2d6caa-01e7-4d48-8186-25fc342043d6">DPM</DPM_x0020_Author>
    <DPM_x0020_File_x0020_name xmlns="0a2d6caa-01e7-4d48-8186-25fc342043d6">R23-WRC23-C-0044!A24-A2!MSW-A</DPM_x0020_File_x0020_name>
    <DPM_x0020_Version xmlns="0a2d6caa-01e7-4d48-8186-25fc342043d6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a2d6caa-01e7-4d48-8186-25fc342043d6" targetNamespace="http://schemas.microsoft.com/office/2006/metadata/properties" ma:root="true" ma:fieldsID="d41af5c836d734370eb92e7ee5f83852" ns2:_="" ns3:_="">
    <xsd:import namespace="996b2e75-67fd-4955-a3b0-5ab9934cb50b"/>
    <xsd:import namespace="0a2d6caa-01e7-4d48-8186-25fc342043d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d6caa-01e7-4d48-8186-25fc342043d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d6caa-01e7-4d48-8186-25fc3420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a2d6caa-01e7-4d48-8186-25fc3420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1140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R23-WRC23-C-0044!A24-A2!MSW-A</vt:lpstr>
    </vt:vector>
  </TitlesOfParts>
  <Manager>General Secretariat - Pool</Manager>
  <Company>International Telecommunication Union (ITU)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R23-WRC23-C-0044!A24-A2!MSW-A</dc:title>
  <dc:creator>Documents Proposals Manager (DPM)</dc:creator>
  <cp:keywords>DPM_v2023.5.24.1_prod</cp:keywords>
  <cp:lastModifiedBy>Arabic-SA</cp:lastModifiedBy>
  <cp:revision>21</cp:revision>
  <cp:lastPrinted>2020-08-11T14:28:00Z</cp:lastPrinted>
  <dcterms:created xsi:type="dcterms:W3CDTF">2023-07-12T16:37:00Z</dcterms:created>
  <dcterms:modified xsi:type="dcterms:W3CDTF">2023-07-12T18:11:00Z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