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B4303F" w14:paraId="4ABA9ADA" w14:textId="77777777" w:rsidTr="004C6D0B">
        <w:trPr>
          <w:cantSplit/>
        </w:trPr>
        <w:tc>
          <w:tcPr>
            <w:tcW w:w="1418" w:type="dxa"/>
            <w:vAlign w:val="center"/>
          </w:tcPr>
          <w:p w14:paraId="10E9FDD8" w14:textId="77777777" w:rsidR="004C6D0B" w:rsidRPr="00B4303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4303F">
              <w:rPr>
                <w:lang w:bidi="ru-RU"/>
              </w:rPr>
              <w:drawing>
                <wp:inline distT="0" distB="0" distL="0" distR="0" wp14:anchorId="54709613" wp14:editId="7E3A268C">
                  <wp:extent cx="712470" cy="785495"/>
                  <wp:effectExtent l="0" t="0" r="0" b="0"/>
                  <wp:docPr id="2" name="Picture 2" descr="A close up of a sign&#10;&#10;A close up of a sig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A close up of a sign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BBC049B" w14:textId="77777777" w:rsidR="004C6D0B" w:rsidRPr="00B4303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4303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4303F">
              <w:rPr>
                <w:rFonts w:ascii="Verdana" w:hAnsi="Verdana"/>
                <w:b/>
                <w:bCs/>
                <w:szCs w:val="22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709B6E6" w14:textId="77777777" w:rsidR="004C6D0B" w:rsidRPr="00B4303F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B4303F">
              <w:rPr>
                <w:lang w:bidi="ru-RU"/>
              </w:rPr>
              <w:drawing>
                <wp:inline distT="0" distB="0" distL="0" distR="0" wp14:anchorId="17E5CC49" wp14:editId="65DAD71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4303F" w14:paraId="66437037" w14:textId="77777777" w:rsidTr="00F9087D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73D37C6D" w14:textId="77777777" w:rsidR="005651C9" w:rsidRPr="00B4303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13595CA2" w14:textId="77777777" w:rsidR="005651C9" w:rsidRPr="00B4303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4303F" w14:paraId="78053601" w14:textId="77777777" w:rsidTr="00F9087D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434E51E" w14:textId="77777777" w:rsidR="005651C9" w:rsidRPr="00B4303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C468265" w14:textId="77777777" w:rsidR="005651C9" w:rsidRPr="00B4303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4303F" w14:paraId="7BE63AC7" w14:textId="77777777" w:rsidTr="00F9087D">
        <w:trPr>
          <w:cantSplit/>
        </w:trPr>
        <w:tc>
          <w:tcPr>
            <w:tcW w:w="6521" w:type="dxa"/>
            <w:gridSpan w:val="2"/>
          </w:tcPr>
          <w:p w14:paraId="7AF5B1FB" w14:textId="77777777" w:rsidR="005651C9" w:rsidRPr="00B4303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4303F">
              <w:rPr>
                <w:rFonts w:ascii="Verdana" w:hAnsi="Verdana"/>
                <w:b/>
                <w:smallCaps/>
                <w:sz w:val="18"/>
                <w:lang w:bidi="ru-RU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3EB9E07F" w14:textId="77777777" w:rsidR="005651C9" w:rsidRPr="00B4303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303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B4303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44(Add.27)-R</w:t>
            </w:r>
          </w:p>
        </w:tc>
      </w:tr>
      <w:tr w:rsidR="000F33D8" w:rsidRPr="00B4303F" w14:paraId="01AD81C3" w14:textId="77777777" w:rsidTr="00F9087D">
        <w:trPr>
          <w:cantSplit/>
        </w:trPr>
        <w:tc>
          <w:tcPr>
            <w:tcW w:w="6521" w:type="dxa"/>
            <w:gridSpan w:val="2"/>
          </w:tcPr>
          <w:p w14:paraId="4A69F1E8" w14:textId="77777777" w:rsidR="000F33D8" w:rsidRPr="00B4303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D7236CF" w14:textId="77777777" w:rsidR="000F33D8" w:rsidRPr="00B4303F" w:rsidRDefault="000F33D8" w:rsidP="00751CCA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303F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B4303F" w14:paraId="3F4650A6" w14:textId="77777777" w:rsidTr="00F9087D">
        <w:trPr>
          <w:cantSplit/>
        </w:trPr>
        <w:tc>
          <w:tcPr>
            <w:tcW w:w="6521" w:type="dxa"/>
            <w:gridSpan w:val="2"/>
          </w:tcPr>
          <w:p w14:paraId="7857D227" w14:textId="77777777" w:rsidR="000F33D8" w:rsidRPr="00B4303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C262AD7" w14:textId="77777777" w:rsidR="000F33D8" w:rsidRPr="00B4303F" w:rsidRDefault="000F33D8" w:rsidP="00751CCA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303F">
              <w:rPr>
                <w:rFonts w:ascii="Verdana" w:hAnsi="Verdana"/>
                <w:b/>
                <w:bCs/>
                <w:sz w:val="18"/>
                <w:szCs w:val="18"/>
              </w:rPr>
              <w:t>Оригинал: английский</w:t>
            </w:r>
          </w:p>
        </w:tc>
      </w:tr>
      <w:tr w:rsidR="000F33D8" w:rsidRPr="00B4303F" w14:paraId="5779ECB1" w14:textId="77777777" w:rsidTr="009546EA">
        <w:trPr>
          <w:cantSplit/>
        </w:trPr>
        <w:tc>
          <w:tcPr>
            <w:tcW w:w="10031" w:type="dxa"/>
            <w:gridSpan w:val="4"/>
          </w:tcPr>
          <w:p w14:paraId="0790C248" w14:textId="77777777" w:rsidR="000F33D8" w:rsidRPr="00B4303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4303F" w14:paraId="18203109" w14:textId="77777777">
        <w:trPr>
          <w:cantSplit/>
        </w:trPr>
        <w:tc>
          <w:tcPr>
            <w:tcW w:w="10031" w:type="dxa"/>
            <w:gridSpan w:val="4"/>
          </w:tcPr>
          <w:p w14:paraId="7B7A2667" w14:textId="77777777" w:rsidR="000F33D8" w:rsidRPr="00B4303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4303F">
              <w:rPr>
                <w:lang w:bidi="ru-RU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B4303F" w14:paraId="4B11B3F4" w14:textId="77777777">
        <w:trPr>
          <w:cantSplit/>
        </w:trPr>
        <w:tc>
          <w:tcPr>
            <w:tcW w:w="10031" w:type="dxa"/>
            <w:gridSpan w:val="4"/>
          </w:tcPr>
          <w:p w14:paraId="2605E43D" w14:textId="77777777" w:rsidR="000F33D8" w:rsidRPr="00B4303F" w:rsidRDefault="00D5339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4303F">
              <w:rPr>
                <w:lang w:bidi="ru-RU"/>
              </w:rPr>
              <w:t>предложения для работы конференции</w:t>
            </w:r>
          </w:p>
        </w:tc>
      </w:tr>
      <w:tr w:rsidR="000F33D8" w:rsidRPr="00B4303F" w14:paraId="609090B7" w14:textId="77777777">
        <w:trPr>
          <w:cantSplit/>
        </w:trPr>
        <w:tc>
          <w:tcPr>
            <w:tcW w:w="10031" w:type="dxa"/>
            <w:gridSpan w:val="4"/>
          </w:tcPr>
          <w:p w14:paraId="01316F89" w14:textId="77777777" w:rsidR="000F33D8" w:rsidRPr="00B4303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4303F" w14:paraId="736D7131" w14:textId="77777777">
        <w:trPr>
          <w:cantSplit/>
        </w:trPr>
        <w:tc>
          <w:tcPr>
            <w:tcW w:w="10031" w:type="dxa"/>
            <w:gridSpan w:val="4"/>
          </w:tcPr>
          <w:p w14:paraId="250CB44B" w14:textId="77777777" w:rsidR="000F33D8" w:rsidRPr="00B4303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4303F">
              <w:rPr>
                <w:lang w:val="ru-RU" w:bidi="ru-RU"/>
              </w:rPr>
              <w:t>Пункт 10 повестки дня</w:t>
            </w:r>
          </w:p>
        </w:tc>
      </w:tr>
    </w:tbl>
    <w:bookmarkEnd w:id="7"/>
    <w:p w14:paraId="489C5DBC" w14:textId="77777777" w:rsidR="000B60BC" w:rsidRPr="00B4303F" w:rsidRDefault="0053611C" w:rsidP="00D5339F">
      <w:pPr>
        <w:pStyle w:val="Normalaftertitle"/>
      </w:pPr>
      <w:r w:rsidRPr="00B4303F">
        <w:rPr>
          <w:lang w:bidi="ru-RU"/>
        </w:rPr>
        <w:t>10</w:t>
      </w:r>
      <w:r w:rsidRPr="00B4303F">
        <w:rPr>
          <w:lang w:bidi="ru-RU"/>
        </w:rPr>
        <w:tab/>
        <w:t xml:space="preserve">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 МСЭ и Резолюцией </w:t>
      </w:r>
      <w:r w:rsidRPr="00B4303F">
        <w:rPr>
          <w:b/>
          <w:lang w:bidi="ru-RU"/>
        </w:rPr>
        <w:t>804 (Пересм. ВКР-19)</w:t>
      </w:r>
      <w:r w:rsidRPr="00B4303F">
        <w:rPr>
          <w:lang w:bidi="ru-RU"/>
        </w:rPr>
        <w:t>,</w:t>
      </w:r>
    </w:p>
    <w:p w14:paraId="31C4D5BB" w14:textId="77777777" w:rsidR="000213BE" w:rsidRPr="00B4303F" w:rsidRDefault="000213BE" w:rsidP="007364D2">
      <w:pPr>
        <w:pStyle w:val="Part1"/>
        <w:rPr>
          <w:lang w:val="ru-RU"/>
        </w:rPr>
      </w:pPr>
      <w:r w:rsidRPr="00B4303F">
        <w:rPr>
          <w:lang w:val="ru-RU" w:bidi="ru-RU"/>
        </w:rPr>
        <w:t>Часть 12</w:t>
      </w:r>
    </w:p>
    <w:p w14:paraId="67483801" w14:textId="77777777" w:rsidR="000213BE" w:rsidRPr="00B4303F" w:rsidRDefault="000213BE" w:rsidP="00C01922">
      <w:pPr>
        <w:pStyle w:val="Headingb"/>
        <w:rPr>
          <w:lang w:val="ru-RU"/>
        </w:rPr>
      </w:pPr>
      <w:r w:rsidRPr="00B4303F">
        <w:rPr>
          <w:lang w:val="ru-RU" w:bidi="ru-RU"/>
        </w:rPr>
        <w:t>Базовая информация</w:t>
      </w:r>
    </w:p>
    <w:p w14:paraId="58996CBB" w14:textId="06B3F104" w:rsidR="000213BE" w:rsidRPr="00B4303F" w:rsidRDefault="000213BE" w:rsidP="000213BE">
      <w:pPr>
        <w:rPr>
          <w:bCs/>
        </w:rPr>
      </w:pPr>
      <w:r w:rsidRPr="00B4303F">
        <w:rPr>
          <w:lang w:bidi="ru-RU"/>
        </w:rPr>
        <w:t>Сегодня, когда вертикальные экосистемы услуг подвижной связи, а также более широкие вертикальные экосистемы приступают к фундаментальным технологическим исследованиям в рамках подготовки к следующему десятилетию развития инноваций, начинает формироваться раннее видение технологии 6G, известной также как IMT-2030. Хотя до коммерческого запуска платформы 6G еще много лет, мы знаем, что 6G обеспечит технологический скачок, новые возможности и сценарии использования, которые сегодня сложно себе представить.</w:t>
      </w:r>
    </w:p>
    <w:p w14:paraId="10ED3121" w14:textId="77777777" w:rsidR="000213BE" w:rsidRPr="00B4303F" w:rsidRDefault="000213BE" w:rsidP="000213BE">
      <w:pPr>
        <w:rPr>
          <w:bCs/>
        </w:rPr>
      </w:pPr>
      <w:r w:rsidRPr="00B4303F">
        <w:rPr>
          <w:lang w:bidi="ru-RU"/>
        </w:rPr>
        <w:t xml:space="preserve">В общем случае необходимость развития 6G обусловлена тремя основными движущими факторами: </w:t>
      </w:r>
    </w:p>
    <w:p w14:paraId="768287BE" w14:textId="77777777" w:rsidR="000213BE" w:rsidRPr="00B4303F" w:rsidRDefault="000213BE" w:rsidP="00C01922">
      <w:pPr>
        <w:pStyle w:val="enumlev1"/>
      </w:pPr>
      <w:r w:rsidRPr="00B4303F">
        <w:rPr>
          <w:lang w:bidi="ru-RU"/>
        </w:rPr>
        <w:t>1</w:t>
      </w:r>
      <w:r w:rsidRPr="00B4303F">
        <w:rPr>
          <w:lang w:bidi="ru-RU"/>
        </w:rPr>
        <w:tab/>
        <w:t>Использование основных технологических достижений (в области беспроводной связи и смежных областях, таких как полупроводники и материаловедение).</w:t>
      </w:r>
    </w:p>
    <w:p w14:paraId="089E6C2D" w14:textId="77777777" w:rsidR="000213BE" w:rsidRPr="00B4303F" w:rsidRDefault="000213BE" w:rsidP="00C01922">
      <w:pPr>
        <w:pStyle w:val="enumlev1"/>
      </w:pPr>
      <w:r w:rsidRPr="00B4303F">
        <w:rPr>
          <w:lang w:bidi="ru-RU"/>
        </w:rPr>
        <w:t>2</w:t>
      </w:r>
      <w:r w:rsidRPr="00B4303F">
        <w:rPr>
          <w:lang w:bidi="ru-RU"/>
        </w:rPr>
        <w:tab/>
        <w:t xml:space="preserve">Удовлетворение потребностей общества в устойчивом развитии (например, экономический рост, цифровой доступ и "зеленые" инициативы). </w:t>
      </w:r>
    </w:p>
    <w:p w14:paraId="40A8C068" w14:textId="77777777" w:rsidR="000213BE" w:rsidRPr="00B4303F" w:rsidRDefault="000213BE" w:rsidP="00C01922">
      <w:pPr>
        <w:pStyle w:val="enumlev1"/>
      </w:pPr>
      <w:r w:rsidRPr="00B4303F">
        <w:rPr>
          <w:lang w:bidi="ru-RU"/>
        </w:rPr>
        <w:t>3</w:t>
      </w:r>
      <w:r w:rsidRPr="00B4303F">
        <w:rPr>
          <w:lang w:bidi="ru-RU"/>
        </w:rPr>
        <w:tab/>
        <w:t>Удовлетворение новых потребностей в опыте нового уровня, который невозможно обеспечить с помощью 5G.</w:t>
      </w:r>
    </w:p>
    <w:p w14:paraId="24EA2941" w14:textId="47F03C94" w:rsidR="000213BE" w:rsidRPr="00B4303F" w:rsidRDefault="000213BE" w:rsidP="000213BE">
      <w:pPr>
        <w:rPr>
          <w:bCs/>
        </w:rPr>
      </w:pPr>
      <w:r w:rsidRPr="00B4303F">
        <w:rPr>
          <w:lang w:bidi="ru-RU"/>
        </w:rPr>
        <w:t xml:space="preserve">Для эффективного решения этих задач 6G </w:t>
      </w:r>
      <w:r w:rsidR="00E65BBC" w:rsidRPr="00B4303F">
        <w:rPr>
          <w:lang w:bidi="ru-RU"/>
        </w:rPr>
        <w:t>будет представлять собой</w:t>
      </w:r>
      <w:r w:rsidRPr="00B4303F">
        <w:rPr>
          <w:lang w:bidi="ru-RU"/>
        </w:rPr>
        <w:t xml:space="preserve"> более "умн</w:t>
      </w:r>
      <w:r w:rsidR="00E65BBC" w:rsidRPr="00B4303F">
        <w:rPr>
          <w:lang w:bidi="ru-RU"/>
        </w:rPr>
        <w:t>ую</w:t>
      </w:r>
      <w:r w:rsidRPr="00B4303F">
        <w:rPr>
          <w:lang w:bidi="ru-RU"/>
        </w:rPr>
        <w:t>" платформ</w:t>
      </w:r>
      <w:r w:rsidR="00E65BBC" w:rsidRPr="00B4303F">
        <w:rPr>
          <w:lang w:bidi="ru-RU"/>
        </w:rPr>
        <w:t>у</w:t>
      </w:r>
      <w:r w:rsidRPr="00B4303F">
        <w:rPr>
          <w:lang w:bidi="ru-RU"/>
        </w:rPr>
        <w:t xml:space="preserve">, которая </w:t>
      </w:r>
      <w:r w:rsidR="00E65BBC" w:rsidRPr="00B4303F">
        <w:rPr>
          <w:lang w:bidi="ru-RU"/>
        </w:rPr>
        <w:t>обеспечит</w:t>
      </w:r>
      <w:r w:rsidRPr="00B4303F">
        <w:rPr>
          <w:lang w:bidi="ru-RU"/>
        </w:rPr>
        <w:t xml:space="preserve"> не только новые принципы проектирования радиоустройств. Предполагается, что она будет включать в себя более широкий спектр технологий, которые будут способствовать дальнейшему масштабному расширению границ </w:t>
      </w:r>
      <w:r w:rsidR="00E65BBC" w:rsidRPr="00B4303F">
        <w:rPr>
          <w:lang w:bidi="ru-RU"/>
        </w:rPr>
        <w:t>подключенных интеллектуальных систем</w:t>
      </w:r>
      <w:r w:rsidRPr="00B4303F">
        <w:rPr>
          <w:lang w:bidi="ru-RU"/>
        </w:rPr>
        <w:t xml:space="preserve">. </w:t>
      </w:r>
      <w:r w:rsidR="00E65BBC" w:rsidRPr="00B4303F">
        <w:rPr>
          <w:lang w:bidi="ru-RU"/>
        </w:rPr>
        <w:t xml:space="preserve">Технология </w:t>
      </w:r>
      <w:r w:rsidRPr="00B4303F">
        <w:rPr>
          <w:lang w:bidi="ru-RU"/>
        </w:rPr>
        <w:t>6G должна полностью раскрыть совокупный потенциал связи, искусственного интеллекта (ИИ), интегрированных систем измерения, отказоустойчивости систем и более экологичных сетей.</w:t>
      </w:r>
    </w:p>
    <w:p w14:paraId="463D636D" w14:textId="77777777" w:rsidR="000213BE" w:rsidRPr="00B4303F" w:rsidRDefault="000213BE" w:rsidP="000213BE">
      <w:pPr>
        <w:rPr>
          <w:bCs/>
        </w:rPr>
      </w:pPr>
      <w:r w:rsidRPr="00B4303F">
        <w:rPr>
          <w:lang w:bidi="ru-RU"/>
        </w:rPr>
        <w:lastRenderedPageBreak/>
        <w:t>В связи с этим возникает необходимость изучения новых полос частот и применения новых методов совместного использования частот, позволяющих более эффективно использовать имеющийся спектр. Кроме того, открытие нового спектра для возможности установления соединений в сетях подвижной связи в сочетании с уже выделенным спектром в полосах более низких и высоких частот позволит, с одной стороны, реализовать новые сценарии использования и развертывания, требующие как покрытия, так и пропускной способности, а с другой стороны удовлетворить потребности в росте сетей последнего поколения, а также их эволюции.</w:t>
      </w:r>
    </w:p>
    <w:p w14:paraId="3C1C2B02" w14:textId="2061764E" w:rsidR="000213BE" w:rsidRPr="00B4303F" w:rsidRDefault="000213BE" w:rsidP="000213BE">
      <w:pPr>
        <w:rPr>
          <w:bCs/>
        </w:rPr>
      </w:pPr>
      <w:r w:rsidRPr="00B4303F">
        <w:rPr>
          <w:lang w:bidi="ru-RU"/>
        </w:rPr>
        <w:t>В настоящее время на международном, региональном и национальном уровнях наблюдается активизация динамики развития технологии 6G и планирования соответствующей политики. Рабочая группа 5D МСЭ-R недавно завершила разработку</w:t>
      </w:r>
      <w:r w:rsidR="00FA25B2">
        <w:rPr>
          <w:lang w:bidi="ru-RU"/>
        </w:rPr>
        <w:t xml:space="preserve"> основы</w:t>
      </w:r>
      <w:r w:rsidR="00FA25B2">
        <w:rPr>
          <w:rStyle w:val="FootnoteReference"/>
        </w:rPr>
        <w:footnoteReference w:id="1"/>
      </w:r>
      <w:r w:rsidR="00FA25B2">
        <w:t xml:space="preserve"> д</w:t>
      </w:r>
      <w:r w:rsidRPr="00B4303F">
        <w:rPr>
          <w:lang w:bidi="ru-RU"/>
        </w:rPr>
        <w:t>ля определения IMT на период до 2030</w:t>
      </w:r>
      <w:r w:rsidR="00FA25B2">
        <w:rPr>
          <w:lang w:bidi="ru-RU"/>
        </w:rPr>
        <w:t> </w:t>
      </w:r>
      <w:r w:rsidRPr="00B4303F">
        <w:rPr>
          <w:lang w:bidi="ru-RU"/>
        </w:rPr>
        <w:t>года. Ожидается, что разработка новой Рекомендации МСЭ-R, содержащая подробные стандарты, будет завершена в 2030 году. Регуляторные органы в регионе также начали процедуру регуляторного производства, чтобы решить вопрос о необходимости принятия обязательных нормативных актов для следующего поколения беспроводных технологий. Кроме того, такие инициативы, как Next G Alliance, в состав которой входят представители промышленности, научных кругов и правительства, активно работают над созданием следующего поколения беспроводных технологий, стремясь обеспечить лидерство и конкурентоспособность в этой области.</w:t>
      </w:r>
    </w:p>
    <w:p w14:paraId="1FAAC079" w14:textId="59243AB9" w:rsidR="000213BE" w:rsidRPr="00B4303F" w:rsidRDefault="000213BE" w:rsidP="000213BE">
      <w:pPr>
        <w:rPr>
          <w:bCs/>
        </w:rPr>
      </w:pPr>
      <w:r w:rsidRPr="00B4303F">
        <w:rPr>
          <w:lang w:bidi="ru-RU"/>
        </w:rPr>
        <w:t xml:space="preserve">Для решения проблемы роста трафика в сетях подвижной связи необходимы непрерывные широкие полосы спектра, отличные от имеющихся в настоящее время. В связи с этим уже начались дискуссии по определению наиболее подходящих полос частот для IMT с целью удовлетворения потребностей в расширенном покрытии и высокой пропускной способности сетей 5G и 6G. Хотя ни один частотный диапазон не удовлетворяет всем критериям, необходимым для полной реализации сетей 6G и их применений, а также для дополнительного развития сетей 5G, спектр в верхнем среднечастотном диапазоне может дополнить текущее предложение спектра, определенного для IMT, чтобы способствовать развитию следующих поколений, включая сценарии использования IMT-2030, требующие </w:t>
      </w:r>
      <w:r w:rsidR="002261C1" w:rsidRPr="00B4303F">
        <w:rPr>
          <w:lang w:bidi="ru-RU"/>
        </w:rPr>
        <w:t>расширения</w:t>
      </w:r>
      <w:r w:rsidRPr="00B4303F">
        <w:rPr>
          <w:lang w:bidi="ru-RU"/>
        </w:rPr>
        <w:t xml:space="preserve"> </w:t>
      </w:r>
      <w:r w:rsidR="002261C1" w:rsidRPr="00B4303F">
        <w:rPr>
          <w:lang w:bidi="ru-RU"/>
        </w:rPr>
        <w:t>покрытия</w:t>
      </w:r>
      <w:r w:rsidRPr="00B4303F">
        <w:rPr>
          <w:lang w:bidi="ru-RU"/>
        </w:rPr>
        <w:t xml:space="preserve"> и </w:t>
      </w:r>
      <w:r w:rsidR="002261C1" w:rsidRPr="00B4303F">
        <w:rPr>
          <w:lang w:bidi="ru-RU"/>
        </w:rPr>
        <w:t>повышения</w:t>
      </w:r>
      <w:r w:rsidRPr="00B4303F">
        <w:rPr>
          <w:lang w:bidi="ru-RU"/>
        </w:rPr>
        <w:t xml:space="preserve"> пропускной способности. </w:t>
      </w:r>
    </w:p>
    <w:p w14:paraId="74A6A624" w14:textId="560458D0" w:rsidR="000213BE" w:rsidRPr="00B4303F" w:rsidRDefault="001F61F5" w:rsidP="000213BE">
      <w:r w:rsidRPr="00B4303F">
        <w:rPr>
          <w:lang w:bidi="ru-RU"/>
        </w:rPr>
        <w:t>Несмотря на то что до</w:t>
      </w:r>
      <w:r w:rsidR="000213BE" w:rsidRPr="00B4303F">
        <w:rPr>
          <w:lang w:bidi="ru-RU"/>
        </w:rPr>
        <w:t xml:space="preserve"> коммерческого запуска систем IMT-2030 еще много лет, мы уже знаем, что эти технологии принесут значительный технологический прогресс, новый опыт и сценарии использования, которые позволят повысить производительность в различных отраслях промышленности по всему миру, став фундаментальной частью цифровой трансформации на пути к индустрии 5.0.</w:t>
      </w:r>
    </w:p>
    <w:p w14:paraId="38409828" w14:textId="434BF014" w:rsidR="000213BE" w:rsidRPr="00B4303F" w:rsidRDefault="000213BE" w:rsidP="000213BE">
      <w:r w:rsidRPr="00B4303F">
        <w:rPr>
          <w:lang w:bidi="ru-RU"/>
        </w:rPr>
        <w:t xml:space="preserve">В этом смысле существует настоятельная необходимость исследования полос частот в </w:t>
      </w:r>
      <w:r w:rsidR="001F61F5" w:rsidRPr="00B4303F">
        <w:rPr>
          <w:lang w:bidi="ru-RU"/>
        </w:rPr>
        <w:t>средневысоких</w:t>
      </w:r>
      <w:r w:rsidRPr="00B4303F">
        <w:rPr>
          <w:lang w:bidi="ru-RU"/>
        </w:rPr>
        <w:t xml:space="preserve"> диапазонах на предмет их возможного определения для IMT с целью оказания помощи администрациям, имеющим полный набор полос частот, для удовлетворения всех потребностей роста сетей последнего поколения и эволюции, которая просматривается в краткосрочной и долгосрочной перспективе.</w:t>
      </w:r>
    </w:p>
    <w:p w14:paraId="211A11B9" w14:textId="77777777" w:rsidR="000213BE" w:rsidRPr="00B4303F" w:rsidRDefault="000213BE" w:rsidP="000213BE">
      <w:r w:rsidRPr="00B4303F">
        <w:rPr>
          <w:lang w:bidi="ru-RU"/>
        </w:rPr>
        <w:t>Наконец, важно признать, что действующие службы в кандидатных полосах частот предоставляют важные системы для обеспечения общественной безопасности, работы авиации и других видов использования, и такие операции должны быть защищены. Для изучения возможности внедрения IMT в этих полосах необходимо провести исследования совместного использования частот и совместимости, обеспечив при этом защиту действующих операторов, работающих в той же или смежной полосе в зависимости от обстоятельств.</w:t>
      </w:r>
    </w:p>
    <w:p w14:paraId="00269BDC" w14:textId="2D4393BC" w:rsidR="0003535B" w:rsidRPr="00B4303F" w:rsidRDefault="00DB747B" w:rsidP="00DB747B">
      <w:pPr>
        <w:pStyle w:val="Headingb"/>
        <w:rPr>
          <w:lang w:val="ru-RU"/>
        </w:rPr>
      </w:pPr>
      <w:r w:rsidRPr="00B4303F">
        <w:rPr>
          <w:lang w:val="ru-RU" w:bidi="ru-RU"/>
        </w:rPr>
        <w:t>Предложения</w:t>
      </w:r>
    </w:p>
    <w:p w14:paraId="6435FC7E" w14:textId="77777777" w:rsidR="009B5CC2" w:rsidRPr="00B4303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4303F">
        <w:rPr>
          <w:lang w:bidi="ru-RU"/>
        </w:rPr>
        <w:br w:type="page"/>
      </w:r>
    </w:p>
    <w:p w14:paraId="0624691C" w14:textId="77777777" w:rsidR="00AF29AC" w:rsidRPr="00B4303F" w:rsidRDefault="0053611C">
      <w:pPr>
        <w:pStyle w:val="Proposal"/>
      </w:pPr>
      <w:r w:rsidRPr="00B4303F">
        <w:rPr>
          <w:lang w:bidi="ru-RU"/>
        </w:rPr>
        <w:lastRenderedPageBreak/>
        <w:t>ADD</w:t>
      </w:r>
      <w:r w:rsidRPr="00B4303F">
        <w:rPr>
          <w:lang w:bidi="ru-RU"/>
        </w:rPr>
        <w:tab/>
        <w:t>IAP/44A27A12/1</w:t>
      </w:r>
    </w:p>
    <w:p w14:paraId="3DE11849" w14:textId="16349102" w:rsidR="00AF29AC" w:rsidRPr="00B4303F" w:rsidRDefault="0053611C">
      <w:pPr>
        <w:pStyle w:val="ResNo"/>
      </w:pPr>
      <w:r w:rsidRPr="00B4303F">
        <w:rPr>
          <w:lang w:bidi="ru-RU"/>
        </w:rPr>
        <w:t>Проект новой Резолюции [IAP</w:t>
      </w:r>
      <w:r w:rsidR="00C01922" w:rsidRPr="00B4303F">
        <w:rPr>
          <w:lang w:bidi="ru-RU"/>
        </w:rPr>
        <w:noBreakHyphen/>
      </w:r>
      <w:r w:rsidRPr="00B4303F">
        <w:rPr>
          <w:lang w:bidi="ru-RU"/>
        </w:rPr>
        <w:t>WRC</w:t>
      </w:r>
      <w:r w:rsidR="007364D2" w:rsidRPr="00B4303F">
        <w:rPr>
          <w:lang w:bidi="ru-RU"/>
        </w:rPr>
        <w:noBreakHyphen/>
      </w:r>
      <w:r w:rsidRPr="00B4303F">
        <w:rPr>
          <w:lang w:bidi="ru-RU"/>
        </w:rPr>
        <w:t>27 AGENDA] (ВКР-23)</w:t>
      </w:r>
    </w:p>
    <w:p w14:paraId="7F6D7C70" w14:textId="77777777" w:rsidR="00AF29AC" w:rsidRPr="00B4303F" w:rsidRDefault="000213BE">
      <w:pPr>
        <w:pStyle w:val="Restitle"/>
      </w:pPr>
      <w:r w:rsidRPr="00B4303F">
        <w:rPr>
          <w:lang w:bidi="ru-RU"/>
        </w:rPr>
        <w:t>Повестка дня Всемирной конференции радиосвязи 2027 года</w:t>
      </w:r>
    </w:p>
    <w:p w14:paraId="264BBF50" w14:textId="77777777" w:rsidR="00AF29AC" w:rsidRPr="00B4303F" w:rsidRDefault="000213BE">
      <w:pPr>
        <w:pStyle w:val="Normalaftertitle"/>
      </w:pPr>
      <w:r w:rsidRPr="00B4303F">
        <w:rPr>
          <w:lang w:bidi="ru-RU"/>
        </w:rPr>
        <w:t>Всемирная конференция радиосвязи (Дубай, 2023 г.),</w:t>
      </w:r>
    </w:p>
    <w:p w14:paraId="42F725D2" w14:textId="77777777" w:rsidR="000213BE" w:rsidRPr="00B4303F" w:rsidRDefault="000213BE" w:rsidP="000213BE">
      <w:r w:rsidRPr="00B4303F">
        <w:rPr>
          <w:lang w:bidi="ru-RU"/>
        </w:rPr>
        <w:t>…</w:t>
      </w:r>
    </w:p>
    <w:p w14:paraId="1E72C740" w14:textId="77777777" w:rsidR="000213BE" w:rsidRPr="00B4303F" w:rsidRDefault="000213BE" w:rsidP="00762180">
      <w:pPr>
        <w:pStyle w:val="Call"/>
      </w:pPr>
      <w:r w:rsidRPr="00B4303F">
        <w:rPr>
          <w:lang w:bidi="ru-RU"/>
        </w:rPr>
        <w:t>решает</w:t>
      </w:r>
    </w:p>
    <w:p w14:paraId="3452B38C" w14:textId="77777777" w:rsidR="000213BE" w:rsidRPr="00B4303F" w:rsidRDefault="000213BE" w:rsidP="000213BE">
      <w:r w:rsidRPr="00B4303F">
        <w:rPr>
          <w:lang w:bidi="ru-RU"/>
        </w:rPr>
        <w:t>рекомендовать Совету провести Всемирную конференцию радиосвязи в 2027 году продолжительностью четыре недели со следующей повесткой дня:</w:t>
      </w:r>
    </w:p>
    <w:p w14:paraId="63BEDEC5" w14:textId="183C712B" w:rsidR="000213BE" w:rsidRPr="00B4303F" w:rsidRDefault="000213BE" w:rsidP="000213BE">
      <w:r w:rsidRPr="00B4303F">
        <w:rPr>
          <w:lang w:bidi="ru-RU"/>
        </w:rPr>
        <w:t>1</w:t>
      </w:r>
      <w:r w:rsidRPr="00B4303F">
        <w:rPr>
          <w:lang w:bidi="ru-RU"/>
        </w:rPr>
        <w:tab/>
        <w:t>на основании предложений администраций и отчета Подготовительного собрания к Конференции, а также принимая во внимание потребности существующих и будущих служб в полосах частот:</w:t>
      </w:r>
    </w:p>
    <w:p w14:paraId="2C750E66" w14:textId="77777777" w:rsidR="000213BE" w:rsidRPr="00B4303F" w:rsidRDefault="000213BE" w:rsidP="000213BE">
      <w:r w:rsidRPr="00B4303F">
        <w:rPr>
          <w:lang w:bidi="ru-RU"/>
        </w:rPr>
        <w:t>…</w:t>
      </w:r>
    </w:p>
    <w:p w14:paraId="21B628F0" w14:textId="6F216766" w:rsidR="000213BE" w:rsidRPr="00B4303F" w:rsidRDefault="000213BE" w:rsidP="000213BE">
      <w:r w:rsidRPr="00B4303F">
        <w:rPr>
          <w:lang w:bidi="ru-RU"/>
        </w:rPr>
        <w:t>1.[X]</w:t>
      </w:r>
      <w:r w:rsidRPr="00B4303F">
        <w:rPr>
          <w:lang w:bidi="ru-RU"/>
        </w:rPr>
        <w:tab/>
      </w:r>
      <w:r w:rsidR="00141DB8" w:rsidRPr="00B4303F">
        <w:rPr>
          <w:lang w:bidi="ru-RU"/>
        </w:rPr>
        <w:t xml:space="preserve">в соответствии с Резолюцией </w:t>
      </w:r>
      <w:r w:rsidR="00141DB8" w:rsidRPr="00B4303F">
        <w:rPr>
          <w:b/>
          <w:lang w:bidi="ru-RU"/>
        </w:rPr>
        <w:t>[IAP-AI10-IMT] (ВКР-23)</w:t>
      </w:r>
      <w:r w:rsidR="00141DB8" w:rsidRPr="00B4303F">
        <w:rPr>
          <w:bCs/>
          <w:lang w:bidi="ru-RU"/>
        </w:rPr>
        <w:t xml:space="preserve"> </w:t>
      </w:r>
      <w:r w:rsidRPr="00B4303F">
        <w:rPr>
          <w:lang w:bidi="ru-RU"/>
        </w:rPr>
        <w:t>рассмотреть определение полос частот для будущего развития наземного сегмента Международной подвижной электросвязи (IMT), включая возможные дополнительные распределения подвижной службе на первичной основе;</w:t>
      </w:r>
    </w:p>
    <w:p w14:paraId="644D3668" w14:textId="77777777" w:rsidR="000213BE" w:rsidRPr="00B4303F" w:rsidRDefault="000213BE" w:rsidP="000213BE">
      <w:pPr>
        <w:rPr>
          <w:b/>
          <w:i/>
        </w:rPr>
      </w:pPr>
      <w:r w:rsidRPr="00B4303F">
        <w:rPr>
          <w:lang w:bidi="ru-RU"/>
        </w:rPr>
        <w:t>…</w:t>
      </w:r>
    </w:p>
    <w:p w14:paraId="012D2EF8" w14:textId="4C6DBB0D" w:rsidR="00AF29AC" w:rsidRPr="00B4303F" w:rsidRDefault="0053611C">
      <w:pPr>
        <w:pStyle w:val="Reasons"/>
      </w:pPr>
      <w:r w:rsidRPr="00B4303F">
        <w:rPr>
          <w:b/>
          <w:lang w:bidi="ru-RU"/>
        </w:rPr>
        <w:t>Основания</w:t>
      </w:r>
      <w:r w:rsidRPr="00B4303F">
        <w:rPr>
          <w:lang w:bidi="ru-RU"/>
        </w:rPr>
        <w:t>:</w:t>
      </w:r>
      <w:r w:rsidRPr="00B4303F">
        <w:rPr>
          <w:lang w:bidi="ru-RU"/>
        </w:rPr>
        <w:tab/>
        <w:t xml:space="preserve">Спрос на доступ к спектру IMT высок и растет. Для решения проблемы роста трафика в сетях подвижной связи необходимы непрерывные широкие полосы спектра, отличные от имеющихся в настоящее время. Спектр в полосах частот, исследованных в рамках Резолюции </w:t>
      </w:r>
      <w:r w:rsidRPr="00B4303F">
        <w:rPr>
          <w:b/>
          <w:lang w:bidi="ru-RU"/>
        </w:rPr>
        <w:t>[IAP</w:t>
      </w:r>
      <w:r w:rsidR="007364D2" w:rsidRPr="00B4303F">
        <w:rPr>
          <w:b/>
          <w:lang w:bidi="ru-RU"/>
        </w:rPr>
        <w:noBreakHyphen/>
      </w:r>
      <w:r w:rsidRPr="00B4303F">
        <w:rPr>
          <w:b/>
          <w:lang w:bidi="ru-RU"/>
        </w:rPr>
        <w:t>AI10-IMT] (ВКР-23)</w:t>
      </w:r>
      <w:r w:rsidRPr="00B4303F">
        <w:rPr>
          <w:lang w:bidi="ru-RU"/>
        </w:rPr>
        <w:t xml:space="preserve">, мог бы способствовать реализации связанных с пропускной способностью сценариев использования IMT-2030 для расширения </w:t>
      </w:r>
      <w:r w:rsidR="002261C1" w:rsidRPr="00B4303F">
        <w:rPr>
          <w:lang w:bidi="ru-RU"/>
        </w:rPr>
        <w:t>покрытия</w:t>
      </w:r>
      <w:r w:rsidRPr="00B4303F">
        <w:rPr>
          <w:lang w:bidi="ru-RU"/>
        </w:rPr>
        <w:t xml:space="preserve"> и повышения пропускной способности, в качестве дополнения к спектру, уже определенному для IMT, а также для удовлетворения спроса на пропускную способность, предусмотренную для IMT-2030.</w:t>
      </w:r>
    </w:p>
    <w:p w14:paraId="3D6F84E2" w14:textId="77777777" w:rsidR="00AF29AC" w:rsidRPr="00B4303F" w:rsidRDefault="0053611C">
      <w:pPr>
        <w:pStyle w:val="Proposal"/>
      </w:pPr>
      <w:r w:rsidRPr="00B4303F">
        <w:rPr>
          <w:lang w:bidi="ru-RU"/>
        </w:rPr>
        <w:t>ADD</w:t>
      </w:r>
      <w:r w:rsidRPr="00B4303F">
        <w:rPr>
          <w:lang w:bidi="ru-RU"/>
        </w:rPr>
        <w:tab/>
        <w:t>IAP/44A27A12/2</w:t>
      </w:r>
    </w:p>
    <w:p w14:paraId="7A49B30F" w14:textId="77777777" w:rsidR="00AF29AC" w:rsidRPr="00B4303F" w:rsidRDefault="0053611C">
      <w:pPr>
        <w:pStyle w:val="ResNo"/>
      </w:pPr>
      <w:r w:rsidRPr="00B4303F">
        <w:rPr>
          <w:lang w:bidi="ru-RU"/>
        </w:rPr>
        <w:t>Проект новой Резолюции [IAP</w:t>
      </w:r>
      <w:r w:rsidR="00C01922" w:rsidRPr="00B4303F">
        <w:rPr>
          <w:lang w:bidi="ru-RU"/>
        </w:rPr>
        <w:noBreakHyphen/>
      </w:r>
      <w:r w:rsidRPr="00B4303F">
        <w:rPr>
          <w:lang w:bidi="ru-RU"/>
        </w:rPr>
        <w:t>AI10</w:t>
      </w:r>
      <w:r w:rsidR="00C01922" w:rsidRPr="00B4303F">
        <w:rPr>
          <w:lang w:bidi="ru-RU"/>
        </w:rPr>
        <w:noBreakHyphen/>
      </w:r>
      <w:r w:rsidRPr="00B4303F">
        <w:rPr>
          <w:lang w:bidi="ru-RU"/>
        </w:rPr>
        <w:t>IMT] (ВКР-23)</w:t>
      </w:r>
    </w:p>
    <w:p w14:paraId="78672D66" w14:textId="3CFF885D" w:rsidR="00762180" w:rsidRPr="00B4303F" w:rsidRDefault="00762180" w:rsidP="00762180">
      <w:pPr>
        <w:pStyle w:val="Restitle"/>
      </w:pPr>
      <w:r w:rsidRPr="00B4303F">
        <w:rPr>
          <w:lang w:bidi="ru-RU"/>
        </w:rPr>
        <w:t>Исследования возможности определения полос частот 3100−3300 МГц, 7125−8500 МГц и 14,75−15,35 ГГц для наземного сегмента IMT</w:t>
      </w:r>
    </w:p>
    <w:p w14:paraId="29459213" w14:textId="77777777" w:rsidR="00AF29AC" w:rsidRPr="00B4303F" w:rsidRDefault="00762180">
      <w:pPr>
        <w:pStyle w:val="Normalaftertitle"/>
      </w:pPr>
      <w:r w:rsidRPr="00B4303F">
        <w:rPr>
          <w:lang w:bidi="ru-RU"/>
        </w:rPr>
        <w:t>Всемирная конференция радиосвязи (Дубай, 2023 г.),</w:t>
      </w:r>
    </w:p>
    <w:p w14:paraId="6D01ABA8" w14:textId="042E42C3" w:rsidR="00762180" w:rsidRPr="00B4303F" w:rsidRDefault="00762180" w:rsidP="00FA25B2">
      <w:pPr>
        <w:pStyle w:val="Call"/>
        <w:tabs>
          <w:tab w:val="clear" w:pos="2268"/>
          <w:tab w:val="left" w:pos="2820"/>
        </w:tabs>
      </w:pPr>
      <w:r w:rsidRPr="00B4303F">
        <w:rPr>
          <w:lang w:bidi="ru-RU"/>
        </w:rPr>
        <w:t>учитывая</w:t>
      </w:r>
      <w:r w:rsidR="00FA25B2" w:rsidRPr="00FA25B2">
        <w:rPr>
          <w:i w:val="0"/>
          <w:iCs/>
          <w:lang w:bidi="ru-RU"/>
        </w:rPr>
        <w:t>,</w:t>
      </w:r>
    </w:p>
    <w:p w14:paraId="7423342E" w14:textId="37F0419C" w:rsidR="00762180" w:rsidRPr="00B4303F" w:rsidRDefault="00762180" w:rsidP="00762180">
      <w:r w:rsidRPr="00B4303F">
        <w:rPr>
          <w:i/>
          <w:lang w:bidi="ru-RU"/>
        </w:rPr>
        <w:t>a)</w:t>
      </w:r>
      <w:r w:rsidRPr="00B4303F">
        <w:rPr>
          <w:lang w:bidi="ru-RU"/>
        </w:rPr>
        <w:tab/>
        <w:t>что Международная подвижная электросвязь (IMT)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0595B523" w14:textId="1711D99D" w:rsidR="00762180" w:rsidRPr="00B4303F" w:rsidRDefault="00762180" w:rsidP="00762180">
      <w:r w:rsidRPr="00B4303F">
        <w:rPr>
          <w:i/>
          <w:lang w:bidi="ru-RU"/>
        </w:rPr>
        <w:t>b)</w:t>
      </w:r>
      <w:r w:rsidRPr="00B4303F">
        <w:rPr>
          <w:lang w:bidi="ru-RU"/>
        </w:rPr>
        <w:tab/>
        <w:t>что системы IMT способствуют глобальному социально-экономическому развитию;</w:t>
      </w:r>
    </w:p>
    <w:p w14:paraId="5B52ACE5" w14:textId="77777777" w:rsidR="00762180" w:rsidRPr="00B4303F" w:rsidRDefault="00762180" w:rsidP="00762180">
      <w:r w:rsidRPr="00B4303F">
        <w:rPr>
          <w:i/>
          <w:lang w:bidi="ru-RU"/>
        </w:rPr>
        <w:t>c)</w:t>
      </w:r>
      <w:r w:rsidRPr="00B4303F">
        <w:rPr>
          <w:lang w:bidi="ru-RU"/>
        </w:rPr>
        <w:tab/>
        <w:t>что развитие систем IMT в настоящее время направлено на обеспечение различных сценариев использования, таких как усовершенствованная подвижная широкополосная связь, интенсивный межмашинный обмен и сверхнадежная передача данных с малой задержкой, а также применений, включая фиксированную широкополосную связь;</w:t>
      </w:r>
    </w:p>
    <w:p w14:paraId="0DBFBB57" w14:textId="22D60AA5" w:rsidR="00762180" w:rsidRPr="00B4303F" w:rsidRDefault="00762180" w:rsidP="00762180">
      <w:r w:rsidRPr="00B4303F">
        <w:rPr>
          <w:i/>
          <w:lang w:bidi="ru-RU"/>
        </w:rPr>
        <w:lastRenderedPageBreak/>
        <w:t>d)</w:t>
      </w:r>
      <w:r w:rsidRPr="00B4303F">
        <w:rPr>
          <w:lang w:bidi="ru-RU"/>
        </w:rPr>
        <w:tab/>
        <w:t>что для применений IMT со сверхмалой задержкой и очень высокой скоростью передачи потребуются непрерывные блоки спектра для использования администрациями, которые намереваются внедрить IMT;</w:t>
      </w:r>
    </w:p>
    <w:p w14:paraId="0F82AC89" w14:textId="65CDBF6B" w:rsidR="00762180" w:rsidRPr="00B4303F" w:rsidRDefault="00762180" w:rsidP="00762180">
      <w:r w:rsidRPr="00B4303F">
        <w:rPr>
          <w:i/>
          <w:lang w:bidi="ru-RU"/>
        </w:rPr>
        <w:t>e)</w:t>
      </w:r>
      <w:r w:rsidRPr="00B4303F">
        <w:rPr>
          <w:lang w:bidi="ru-RU"/>
        </w:rPr>
        <w:tab/>
        <w:t>что по сравнению с полосами более низких</w:t>
      </w:r>
      <w:r w:rsidR="00861FA9" w:rsidRPr="00B4303F">
        <w:rPr>
          <w:lang w:bidi="ru-RU"/>
        </w:rPr>
        <w:t>, средне</w:t>
      </w:r>
      <w:r w:rsidR="00141DB8" w:rsidRPr="00B4303F">
        <w:rPr>
          <w:lang w:bidi="ru-RU"/>
        </w:rPr>
        <w:t>-</w:t>
      </w:r>
      <w:r w:rsidR="00861FA9" w:rsidRPr="00B4303F">
        <w:rPr>
          <w:lang w:bidi="ru-RU"/>
        </w:rPr>
        <w:t>низких</w:t>
      </w:r>
      <w:r w:rsidRPr="00B4303F">
        <w:rPr>
          <w:lang w:bidi="ru-RU"/>
        </w:rPr>
        <w:t xml:space="preserve"> и более высоких частот среднеполосной спектр может более сбалансированно удовлетворять потребности в покрытии и пропускной способности;</w:t>
      </w:r>
    </w:p>
    <w:p w14:paraId="2321B287" w14:textId="77777777" w:rsidR="00762180" w:rsidRPr="00B4303F" w:rsidRDefault="00762180" w:rsidP="00762180">
      <w:r w:rsidRPr="00B4303F">
        <w:rPr>
          <w:i/>
          <w:lang w:bidi="ru-RU"/>
        </w:rPr>
        <w:t>f)</w:t>
      </w:r>
      <w:r w:rsidRPr="00B4303F">
        <w:rPr>
          <w:i/>
          <w:lang w:bidi="ru-RU"/>
        </w:rPr>
        <w:tab/>
      </w:r>
      <w:r w:rsidRPr="00B4303F">
        <w:rPr>
          <w:lang w:bidi="ru-RU"/>
        </w:rPr>
        <w:t>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спектру;</w:t>
      </w:r>
    </w:p>
    <w:p w14:paraId="5ECAA5B4" w14:textId="77777777" w:rsidR="00762180" w:rsidRPr="00B4303F" w:rsidRDefault="00762180" w:rsidP="00762180">
      <w:r w:rsidRPr="00B4303F">
        <w:rPr>
          <w:i/>
          <w:lang w:bidi="ru-RU"/>
        </w:rPr>
        <w:t>g)</w:t>
      </w:r>
      <w:r w:rsidRPr="00B4303F">
        <w:rPr>
          <w:lang w:bidi="ru-RU"/>
        </w:rPr>
        <w:tab/>
        <w:t>что развитие IMT-2030 будет способствовать дальнейшему совершенствованию беспроводной связи, обеспечивая преимущества для качества жизни населения, и расширит свои цели в направлении социально-экономической, экологической и культурной устойчивости;</w:t>
      </w:r>
    </w:p>
    <w:p w14:paraId="1F43E13B" w14:textId="6E8A67F7" w:rsidR="00762180" w:rsidRPr="00B4303F" w:rsidRDefault="00762180" w:rsidP="00762180">
      <w:r w:rsidRPr="00B4303F">
        <w:rPr>
          <w:i/>
          <w:lang w:bidi="ru-RU"/>
        </w:rPr>
        <w:t>h)</w:t>
      </w:r>
      <w:r w:rsidRPr="00B4303F">
        <w:rPr>
          <w:lang w:bidi="ru-RU"/>
        </w:rPr>
        <w:tab/>
        <w:t>что своевременное наличие достаточного объема спектра и соответствующие регламентарные положения имеют существенное значение для поддержки будущего развития</w:t>
      </w:r>
      <w:r w:rsidR="003717B6" w:rsidRPr="00B4303F">
        <w:rPr>
          <w:lang w:bidi="ru-RU"/>
        </w:rPr>
        <w:t xml:space="preserve"> и решения общих задач</w:t>
      </w:r>
      <w:r w:rsidRPr="00B4303F">
        <w:rPr>
          <w:lang w:bidi="ru-RU"/>
        </w:rPr>
        <w:t xml:space="preserve"> IMT;</w:t>
      </w:r>
    </w:p>
    <w:p w14:paraId="0A244B0F" w14:textId="77777777" w:rsidR="00762180" w:rsidRPr="00B4303F" w:rsidRDefault="00762180" w:rsidP="00762180">
      <w:r w:rsidRPr="00B4303F">
        <w:rPr>
          <w:i/>
          <w:lang w:bidi="ru-RU"/>
        </w:rPr>
        <w:t>i)</w:t>
      </w:r>
      <w:r w:rsidRPr="00B4303F">
        <w:rPr>
          <w:lang w:bidi="ru-RU"/>
        </w:rPr>
        <w:tab/>
        <w:t>что весьма желательно согласование на всемирной основе полос частот и планов размещения частот для IMT в целях обеспечения глобального роуминга и преимуществ, обусловленных экономией от масштаба;</w:t>
      </w:r>
    </w:p>
    <w:p w14:paraId="2D6041E3" w14:textId="216C2AE4" w:rsidR="00762180" w:rsidRPr="00B4303F" w:rsidRDefault="00762180" w:rsidP="00762180">
      <w:r w:rsidRPr="00B4303F">
        <w:rPr>
          <w:i/>
          <w:lang w:bidi="ru-RU"/>
        </w:rPr>
        <w:t>j)</w:t>
      </w:r>
      <w:r w:rsidRPr="00B4303F">
        <w:rPr>
          <w:lang w:bidi="ru-RU"/>
        </w:rPr>
        <w:tab/>
        <w:t>что существует необходимость обеспечения защиты существующих служб и возможности их постоянного развития при рассмотрении полос частот для возможных дополнительных распределений какой-либо службе</w:t>
      </w:r>
      <w:r w:rsidR="007364D2" w:rsidRPr="00B4303F">
        <w:rPr>
          <w:lang w:bidi="ru-RU"/>
        </w:rPr>
        <w:t>;</w:t>
      </w:r>
    </w:p>
    <w:p w14:paraId="60CC6739" w14:textId="28ADBA5D" w:rsidR="00762180" w:rsidRPr="00B4303F" w:rsidRDefault="00762180" w:rsidP="00762180">
      <w:r w:rsidRPr="00B4303F">
        <w:rPr>
          <w:i/>
          <w:lang w:bidi="ru-RU"/>
        </w:rPr>
        <w:t>k)</w:t>
      </w:r>
      <w:r w:rsidRPr="00B4303F">
        <w:rPr>
          <w:lang w:bidi="ru-RU"/>
        </w:rPr>
        <w:tab/>
        <w:t>что реализация IMT может отличаться в разных администрациях в различных полосах частот, определенных для IMT,</w:t>
      </w:r>
    </w:p>
    <w:p w14:paraId="1CA0D3AB" w14:textId="4DB636B5" w:rsidR="00762180" w:rsidRPr="00B4303F" w:rsidRDefault="00762180" w:rsidP="00762180">
      <w:pPr>
        <w:pStyle w:val="Call"/>
      </w:pPr>
      <w:r w:rsidRPr="00B4303F">
        <w:rPr>
          <w:lang w:bidi="ru-RU"/>
        </w:rPr>
        <w:t>отмечая</w:t>
      </w:r>
      <w:r w:rsidR="007364D2" w:rsidRPr="00B4303F">
        <w:rPr>
          <w:i w:val="0"/>
          <w:iCs/>
          <w:lang w:bidi="ru-RU"/>
        </w:rPr>
        <w:t>,</w:t>
      </w:r>
    </w:p>
    <w:p w14:paraId="60E5186B" w14:textId="1B3592E7" w:rsidR="00762180" w:rsidRPr="00B4303F" w:rsidRDefault="00762180" w:rsidP="00762180">
      <w:r w:rsidRPr="00B4303F">
        <w:rPr>
          <w:i/>
          <w:lang w:bidi="ru-RU"/>
        </w:rPr>
        <w:t>a)</w:t>
      </w:r>
      <w:r w:rsidRPr="00B4303F">
        <w:rPr>
          <w:lang w:bidi="ru-RU"/>
        </w:rPr>
        <w:tab/>
        <w:t>что в Резолюции МСЭ-R 65 определяются принципы процесса развития IMT на период до 2020 года и далее;</w:t>
      </w:r>
    </w:p>
    <w:p w14:paraId="4FE69DC8" w14:textId="4F8E8B78" w:rsidR="00762180" w:rsidRPr="00B4303F" w:rsidRDefault="00762180" w:rsidP="00762180">
      <w:r w:rsidRPr="00B4303F">
        <w:rPr>
          <w:i/>
          <w:lang w:bidi="ru-RU"/>
        </w:rPr>
        <w:t>b)</w:t>
      </w:r>
      <w:r w:rsidRPr="00B4303F">
        <w:rPr>
          <w:lang w:bidi="ru-RU"/>
        </w:rPr>
        <w:tab/>
        <w:t>что IMT охватывает одновременно IMT-2000, IMT-Advanced и IMT-2020, как описано в Резолюции МСЭ-R 56-2, и МСЭ проводит активное изучение развития и стандартизации IMT</w:t>
      </w:r>
      <w:r w:rsidRPr="00B4303F">
        <w:rPr>
          <w:lang w:bidi="ru-RU"/>
        </w:rPr>
        <w:noBreakHyphen/>
        <w:t>2030;</w:t>
      </w:r>
    </w:p>
    <w:p w14:paraId="5D3FE47C" w14:textId="3E27DDD0" w:rsidR="00762180" w:rsidRPr="00B4303F" w:rsidRDefault="00762180" w:rsidP="00762180">
      <w:r w:rsidRPr="00B4303F">
        <w:rPr>
          <w:i/>
          <w:lang w:bidi="ru-RU"/>
        </w:rPr>
        <w:t>c)</w:t>
      </w:r>
      <w:r w:rsidRPr="00B4303F">
        <w:rPr>
          <w:lang w:bidi="ru-RU"/>
        </w:rPr>
        <w:tab/>
        <w:t>что в Вопросе МСЭ-R 77-8/5 рассматриваются потребности развивающихся стран в области развития и внедрения IMT;</w:t>
      </w:r>
    </w:p>
    <w:p w14:paraId="772D5949" w14:textId="7727DE78" w:rsidR="00762180" w:rsidRPr="00B4303F" w:rsidRDefault="00762180" w:rsidP="00762180">
      <w:r w:rsidRPr="00B4303F">
        <w:rPr>
          <w:i/>
          <w:lang w:bidi="ru-RU"/>
        </w:rPr>
        <w:t>d)</w:t>
      </w:r>
      <w:r w:rsidRPr="00B4303F">
        <w:rPr>
          <w:lang w:bidi="ru-RU"/>
        </w:rPr>
        <w:tab/>
        <w:t>что Вопрос МСЭ-R 229/5 рассчитан на то, чтобы определить будущее развитие IMT;</w:t>
      </w:r>
    </w:p>
    <w:p w14:paraId="21C74978" w14:textId="74E5492F" w:rsidR="00762180" w:rsidRPr="00B4303F" w:rsidRDefault="00762180" w:rsidP="00762180">
      <w:r w:rsidRPr="00B4303F">
        <w:rPr>
          <w:i/>
          <w:lang w:bidi="ru-RU"/>
        </w:rPr>
        <w:t>e)</w:t>
      </w:r>
      <w:r w:rsidRPr="00B4303F">
        <w:rPr>
          <w:lang w:bidi="ru-RU"/>
        </w:rPr>
        <w:tab/>
        <w:t>что Вопрос МСЭ-R 262/5 касается исследования использования систем IMT для конкретных применений;</w:t>
      </w:r>
    </w:p>
    <w:p w14:paraId="755A557C" w14:textId="5412EB9A" w:rsidR="00762180" w:rsidRPr="00B4303F" w:rsidRDefault="00762180" w:rsidP="00762180">
      <w:r w:rsidRPr="00B4303F">
        <w:rPr>
          <w:i/>
          <w:lang w:bidi="ru-RU"/>
        </w:rPr>
        <w:t>f)</w:t>
      </w:r>
      <w:r w:rsidRPr="00B4303F">
        <w:rPr>
          <w:i/>
          <w:lang w:bidi="ru-RU"/>
        </w:rPr>
        <w:tab/>
      </w:r>
      <w:r w:rsidRPr="00B4303F">
        <w:rPr>
          <w:lang w:bidi="ru-RU"/>
        </w:rPr>
        <w:t>Рекомендацию МСЭ</w:t>
      </w:r>
      <w:r w:rsidR="00610F17" w:rsidRPr="00B4303F">
        <w:rPr>
          <w:lang w:bidi="ru-RU"/>
        </w:rPr>
        <w:noBreakHyphen/>
      </w:r>
      <w:r w:rsidRPr="00B4303F">
        <w:rPr>
          <w:lang w:bidi="ru-RU"/>
        </w:rPr>
        <w:t>R M.2083 по основам и задачам будущего развития IMT на период до 2020 года и далее;</w:t>
      </w:r>
    </w:p>
    <w:p w14:paraId="258E6E89" w14:textId="4C249928" w:rsidR="00762180" w:rsidRPr="00B4303F" w:rsidRDefault="00762180" w:rsidP="00762180">
      <w:r w:rsidRPr="00B4303F">
        <w:rPr>
          <w:i/>
          <w:lang w:bidi="ru-RU"/>
        </w:rPr>
        <w:t>g)</w:t>
      </w:r>
      <w:r w:rsidRPr="00B4303F">
        <w:rPr>
          <w:lang w:bidi="ru-RU"/>
        </w:rPr>
        <w:tab/>
        <w:t>Рекомендацию МСЭ-R M.[IMT.FRAMEWORK FOR 2030 AND BEYOND] по основам и задачам будущего развития IMT на период до 2020 года и далее;</w:t>
      </w:r>
    </w:p>
    <w:p w14:paraId="6433343E" w14:textId="6C63C59E" w:rsidR="00762180" w:rsidRPr="00B4303F" w:rsidRDefault="00762180" w:rsidP="00762180">
      <w:r w:rsidRPr="00B4303F">
        <w:rPr>
          <w:i/>
          <w:lang w:bidi="ru-RU"/>
        </w:rPr>
        <w:t>h</w:t>
      </w:r>
      <w:r w:rsidRPr="00B4303F">
        <w:rPr>
          <w:lang w:bidi="ru-RU"/>
        </w:rPr>
        <w:t>)</w:t>
      </w:r>
      <w:r w:rsidRPr="00B4303F">
        <w:rPr>
          <w:lang w:bidi="ru-RU"/>
        </w:rPr>
        <w:tab/>
        <w:t>Отчет МСЭ-R M.2516, посвященный будущим тенденциям в технологии наземных систем Международной подвижной электросвязи на период до 2030 года и далее,</w:t>
      </w:r>
    </w:p>
    <w:p w14:paraId="1B680A63" w14:textId="77777777" w:rsidR="00762180" w:rsidRPr="00B4303F" w:rsidRDefault="00762180" w:rsidP="00762180">
      <w:pPr>
        <w:pStyle w:val="Call"/>
        <w:rPr>
          <w:i w:val="0"/>
          <w:iCs/>
        </w:rPr>
      </w:pPr>
      <w:r w:rsidRPr="00B4303F">
        <w:rPr>
          <w:lang w:bidi="ru-RU"/>
        </w:rPr>
        <w:t>признавая</w:t>
      </w:r>
      <w:r w:rsidRPr="00B4303F">
        <w:rPr>
          <w:i w:val="0"/>
          <w:iCs/>
          <w:lang w:bidi="ru-RU"/>
        </w:rPr>
        <w:t>,</w:t>
      </w:r>
    </w:p>
    <w:p w14:paraId="016345F8" w14:textId="2A894766" w:rsidR="00762180" w:rsidRPr="00B4303F" w:rsidRDefault="00762180" w:rsidP="00762180">
      <w:r w:rsidRPr="00B4303F">
        <w:rPr>
          <w:i/>
          <w:lang w:bidi="ru-RU"/>
        </w:rPr>
        <w:t>a)</w:t>
      </w:r>
      <w:r w:rsidRPr="00B4303F">
        <w:rPr>
          <w:lang w:bidi="ru-RU"/>
        </w:rPr>
        <w:tab/>
        <w:t>что между распределением полос частот всемирными конференциями радиосвязи и развертыванием систем в этих полосах частот проходит довольно длительный период времени и что существенное значение для поддержки развития IMT на глобальном или региональном уровнях имеет своевременная доступность широких и непрерывных блоков спектра;</w:t>
      </w:r>
    </w:p>
    <w:p w14:paraId="587FF1F1" w14:textId="77777777" w:rsidR="00762180" w:rsidRPr="00B4303F" w:rsidRDefault="00762180" w:rsidP="00762180">
      <w:r w:rsidRPr="00B4303F">
        <w:rPr>
          <w:i/>
          <w:lang w:bidi="ru-RU"/>
        </w:rPr>
        <w:t>b)</w:t>
      </w:r>
      <w:r w:rsidRPr="00B4303F">
        <w:rPr>
          <w:lang w:bidi="ru-RU"/>
        </w:rPr>
        <w:tab/>
        <w:t>что для обеспечения будущего развития IMT важно обеспечить своевременное определение дополнительного спектра;</w:t>
      </w:r>
    </w:p>
    <w:p w14:paraId="3F7182E5" w14:textId="77777777" w:rsidR="00762180" w:rsidRPr="00B4303F" w:rsidRDefault="00762180" w:rsidP="00762180">
      <w:r w:rsidRPr="00B4303F">
        <w:rPr>
          <w:i/>
          <w:lang w:bidi="ru-RU"/>
        </w:rPr>
        <w:lastRenderedPageBreak/>
        <w:t>c)</w:t>
      </w:r>
      <w:r w:rsidRPr="00B4303F">
        <w:rPr>
          <w:lang w:bidi="ru-RU"/>
        </w:rPr>
        <w:tab/>
        <w:t>что при любом определении полос частот для IMT следует принимать во внимание использование этих полос частот другими службами и изменение потребностей этих служб;</w:t>
      </w:r>
    </w:p>
    <w:p w14:paraId="00B7500E" w14:textId="77777777" w:rsidR="00762180" w:rsidRPr="00B4303F" w:rsidRDefault="00762180" w:rsidP="00762180">
      <w:r w:rsidRPr="00B4303F">
        <w:rPr>
          <w:i/>
          <w:lang w:bidi="ru-RU"/>
        </w:rPr>
        <w:t>d)</w:t>
      </w:r>
      <w:r w:rsidRPr="00B4303F">
        <w:rPr>
          <w:lang w:bidi="ru-RU"/>
        </w:rPr>
        <w:tab/>
        <w:t>что эволюция технологий использования спектра, включая новые методы совместного использования спектра, будет способствовать развитию IMT;</w:t>
      </w:r>
    </w:p>
    <w:p w14:paraId="1386D9CB" w14:textId="2D7908EB" w:rsidR="00762180" w:rsidRPr="00B4303F" w:rsidRDefault="00762180" w:rsidP="00762180">
      <w:r w:rsidRPr="00B4303F">
        <w:rPr>
          <w:i/>
          <w:lang w:bidi="ru-RU"/>
        </w:rPr>
        <w:t>e)</w:t>
      </w:r>
      <w:r w:rsidRPr="00B4303F">
        <w:rPr>
          <w:lang w:bidi="ru-RU"/>
        </w:rPr>
        <w:tab/>
        <w:t xml:space="preserve">что не </w:t>
      </w:r>
      <w:r w:rsidR="003717B6" w:rsidRPr="00B4303F">
        <w:rPr>
          <w:lang w:bidi="ru-RU"/>
        </w:rPr>
        <w:t>следует налагать</w:t>
      </w:r>
      <w:r w:rsidRPr="00B4303F">
        <w:rPr>
          <w:lang w:bidi="ru-RU"/>
        </w:rPr>
        <w:t xml:space="preserve"> дополнительны</w:t>
      </w:r>
      <w:r w:rsidR="003717B6" w:rsidRPr="00B4303F">
        <w:rPr>
          <w:lang w:bidi="ru-RU"/>
        </w:rPr>
        <w:t>е</w:t>
      </w:r>
      <w:r w:rsidRPr="00B4303F">
        <w:rPr>
          <w:lang w:bidi="ru-RU"/>
        </w:rPr>
        <w:t xml:space="preserve"> регламентарны</w:t>
      </w:r>
      <w:r w:rsidR="003717B6" w:rsidRPr="00B4303F">
        <w:rPr>
          <w:lang w:bidi="ru-RU"/>
        </w:rPr>
        <w:t>е</w:t>
      </w:r>
      <w:r w:rsidRPr="00B4303F">
        <w:rPr>
          <w:lang w:bidi="ru-RU"/>
        </w:rPr>
        <w:t xml:space="preserve"> или технически</w:t>
      </w:r>
      <w:r w:rsidR="003717B6" w:rsidRPr="00B4303F">
        <w:rPr>
          <w:lang w:bidi="ru-RU"/>
        </w:rPr>
        <w:t>е</w:t>
      </w:r>
      <w:r w:rsidRPr="00B4303F">
        <w:rPr>
          <w:lang w:bidi="ru-RU"/>
        </w:rPr>
        <w:t xml:space="preserve"> ограничени</w:t>
      </w:r>
      <w:r w:rsidR="003717B6" w:rsidRPr="00B4303F">
        <w:rPr>
          <w:lang w:bidi="ru-RU"/>
        </w:rPr>
        <w:t xml:space="preserve">я </w:t>
      </w:r>
      <w:r w:rsidRPr="00B4303F">
        <w:rPr>
          <w:lang w:bidi="ru-RU"/>
        </w:rPr>
        <w:t>на службы, которым эти полосы частот в настоящее время распределены на первичной основе;</w:t>
      </w:r>
    </w:p>
    <w:p w14:paraId="375DF6C5" w14:textId="37638D90" w:rsidR="00762180" w:rsidRPr="00B4303F" w:rsidRDefault="00762180" w:rsidP="00762180">
      <w:r w:rsidRPr="00B4303F">
        <w:rPr>
          <w:i/>
          <w:lang w:bidi="ru-RU"/>
        </w:rPr>
        <w:t>f)</w:t>
      </w:r>
      <w:r w:rsidRPr="00B4303F">
        <w:rPr>
          <w:lang w:bidi="ru-RU"/>
        </w:rPr>
        <w:tab/>
        <w:t>что для того, чтобы иметь элементы, которые могли бы применяться к конкретным нормам регулирования в регионах, при исследовании различных полос частот необходимо учитывать конкретные вопросы в каждом из таких регионов;</w:t>
      </w:r>
    </w:p>
    <w:p w14:paraId="2AD0C77C" w14:textId="20CF1CC8" w:rsidR="00762180" w:rsidRPr="00B4303F" w:rsidRDefault="00762180" w:rsidP="00762180">
      <w:r w:rsidRPr="00B4303F">
        <w:rPr>
          <w:i/>
          <w:lang w:bidi="ru-RU"/>
        </w:rPr>
        <w:t>g)</w:t>
      </w:r>
      <w:r w:rsidRPr="00B4303F">
        <w:rPr>
          <w:lang w:bidi="ru-RU"/>
        </w:rPr>
        <w:tab/>
        <w:t xml:space="preserve">что у администраций, в зависимости от национальных условий и конкретных обстоятельств, могут быть </w:t>
      </w:r>
      <w:r w:rsidR="00501433" w:rsidRPr="00B4303F">
        <w:rPr>
          <w:lang w:bidi="ru-RU"/>
        </w:rPr>
        <w:t>различные потребности</w:t>
      </w:r>
      <w:r w:rsidRPr="00B4303F">
        <w:rPr>
          <w:lang w:bidi="ru-RU"/>
        </w:rPr>
        <w:t xml:space="preserve"> в спектре для IMT</w:t>
      </w:r>
      <w:r w:rsidR="007364D2" w:rsidRPr="00B4303F">
        <w:rPr>
          <w:lang w:bidi="ru-RU"/>
        </w:rPr>
        <w:t>,</w:t>
      </w:r>
    </w:p>
    <w:p w14:paraId="2681AF06" w14:textId="77777777" w:rsidR="00762180" w:rsidRPr="00B4303F" w:rsidRDefault="00762180" w:rsidP="00762180">
      <w:pPr>
        <w:pStyle w:val="Call"/>
      </w:pPr>
      <w:r w:rsidRPr="00B4303F">
        <w:rPr>
          <w:lang w:bidi="ru-RU"/>
        </w:rPr>
        <w:t>решает предложить Сектору радиосвязи МСЭ</w:t>
      </w:r>
    </w:p>
    <w:p w14:paraId="58243DE3" w14:textId="77777777" w:rsidR="00762180" w:rsidRPr="00B4303F" w:rsidRDefault="00762180" w:rsidP="00762180">
      <w:pPr>
        <w:rPr>
          <w:i/>
        </w:rPr>
      </w:pPr>
      <w:r w:rsidRPr="00B4303F">
        <w:rPr>
          <w:lang w:bidi="ru-RU"/>
        </w:rPr>
        <w:t>1</w:t>
      </w:r>
      <w:r w:rsidRPr="00B4303F">
        <w:rPr>
          <w:lang w:bidi="ru-RU"/>
        </w:rPr>
        <w:tab/>
        <w:t>провести и завершить своевременно до начала ВКР-27 соответствующие исследования технических, эксплуатационных и регламентарных вопросов, касающихся возможного использования наземного сегмента IMT в полосах частот, указанных в пункте 2 раздела р</w:t>
      </w:r>
      <w:r w:rsidRPr="00B4303F">
        <w:rPr>
          <w:i/>
          <w:lang w:bidi="ru-RU"/>
        </w:rPr>
        <w:t>ешает предложить Сектору радиосвязи МСЭ</w:t>
      </w:r>
      <w:r w:rsidRPr="00B4303F">
        <w:rPr>
          <w:lang w:bidi="ru-RU"/>
        </w:rPr>
        <w:t>, принимая во внимание:</w:t>
      </w:r>
    </w:p>
    <w:p w14:paraId="01671CF6" w14:textId="77777777" w:rsidR="00762180" w:rsidRPr="00B4303F" w:rsidRDefault="00762180" w:rsidP="002B099B">
      <w:pPr>
        <w:pStyle w:val="enumlev1"/>
        <w:rPr>
          <w:i/>
        </w:rPr>
      </w:pPr>
      <w:r w:rsidRPr="00B4303F">
        <w:rPr>
          <w:lang w:bidi="ru-RU"/>
        </w:rPr>
        <w:t>–</w:t>
      </w:r>
      <w:r w:rsidRPr="00B4303F">
        <w:rPr>
          <w:lang w:bidi="ru-RU"/>
        </w:rPr>
        <w:tab/>
        <w:t>меняющиеся потребности в целях удовлетворения возникающего спроса на IMT;</w:t>
      </w:r>
    </w:p>
    <w:p w14:paraId="6BCEC7A1" w14:textId="2398165F" w:rsidR="00762180" w:rsidRPr="00B4303F" w:rsidRDefault="00762180" w:rsidP="002B099B">
      <w:pPr>
        <w:pStyle w:val="enumlev1"/>
        <w:rPr>
          <w:i/>
        </w:rPr>
      </w:pPr>
      <w:r w:rsidRPr="00B4303F">
        <w:rPr>
          <w:lang w:bidi="ru-RU"/>
        </w:rPr>
        <w:t>–</w:t>
      </w:r>
      <w:r w:rsidRPr="00B4303F">
        <w:rPr>
          <w:lang w:bidi="ru-RU"/>
        </w:rPr>
        <w:tab/>
        <w:t>технические и эксплуатационные характеристики наземных систем IMT, которые будут работать в эт</w:t>
      </w:r>
      <w:r w:rsidR="00861FA9" w:rsidRPr="00B4303F">
        <w:rPr>
          <w:lang w:bidi="ru-RU"/>
        </w:rPr>
        <w:t>ой</w:t>
      </w:r>
      <w:r w:rsidRPr="00B4303F">
        <w:rPr>
          <w:lang w:bidi="ru-RU"/>
        </w:rPr>
        <w:t xml:space="preserve"> конкретн</w:t>
      </w:r>
      <w:r w:rsidR="00861FA9" w:rsidRPr="00B4303F">
        <w:rPr>
          <w:lang w:bidi="ru-RU"/>
        </w:rPr>
        <w:t>ой</w:t>
      </w:r>
      <w:r w:rsidRPr="00B4303F">
        <w:rPr>
          <w:lang w:bidi="ru-RU"/>
        </w:rPr>
        <w:t xml:space="preserve"> полос</w:t>
      </w:r>
      <w:r w:rsidR="00861FA9" w:rsidRPr="00B4303F">
        <w:rPr>
          <w:lang w:bidi="ru-RU"/>
        </w:rPr>
        <w:t>е</w:t>
      </w:r>
      <w:r w:rsidRPr="00B4303F">
        <w:rPr>
          <w:lang w:bidi="ru-RU"/>
        </w:rPr>
        <w:t xml:space="preserve"> частот, в том числе развитие IMT благодаря достижениям в области технологий и эффективного использования спектра;</w:t>
      </w:r>
    </w:p>
    <w:p w14:paraId="76CD6984" w14:textId="77777777" w:rsidR="00762180" w:rsidRPr="00B4303F" w:rsidRDefault="00762180" w:rsidP="002B099B">
      <w:pPr>
        <w:pStyle w:val="enumlev1"/>
      </w:pPr>
      <w:r w:rsidRPr="00B4303F">
        <w:rPr>
          <w:lang w:bidi="ru-RU"/>
        </w:rPr>
        <w:t>–</w:t>
      </w:r>
      <w:r w:rsidRPr="00B4303F">
        <w:rPr>
          <w:lang w:bidi="ru-RU"/>
        </w:rPr>
        <w:tab/>
        <w:t>сценарии развертывания, предусматриваемые для систем IMT, и связанные с ними требования к сбалансированному покрытию и пропускной способности;</w:t>
      </w:r>
    </w:p>
    <w:p w14:paraId="4155E643" w14:textId="77777777" w:rsidR="00762180" w:rsidRPr="00B4303F" w:rsidRDefault="00762180" w:rsidP="002B099B">
      <w:pPr>
        <w:pStyle w:val="enumlev1"/>
        <w:rPr>
          <w:i/>
        </w:rPr>
      </w:pPr>
      <w:r w:rsidRPr="00B4303F">
        <w:rPr>
          <w:lang w:bidi="ru-RU"/>
        </w:rPr>
        <w:t>–</w:t>
      </w:r>
      <w:r w:rsidRPr="00B4303F">
        <w:rPr>
          <w:lang w:bidi="ru-RU"/>
        </w:rPr>
        <w:tab/>
        <w:t>потребности развивающихся стран; и</w:t>
      </w:r>
    </w:p>
    <w:p w14:paraId="176F752E" w14:textId="6F84CE7F" w:rsidR="00762180" w:rsidRPr="00B4303F" w:rsidRDefault="00762180" w:rsidP="002B099B">
      <w:pPr>
        <w:pStyle w:val="enumlev1"/>
        <w:rPr>
          <w:i/>
        </w:rPr>
      </w:pPr>
      <w:r w:rsidRPr="00B4303F">
        <w:rPr>
          <w:lang w:bidi="ru-RU"/>
        </w:rPr>
        <w:t>–</w:t>
      </w:r>
      <w:r w:rsidRPr="00B4303F">
        <w:rPr>
          <w:lang w:bidi="ru-RU"/>
        </w:rPr>
        <w:tab/>
        <w:t>сроки, в которые потребуется спектр;</w:t>
      </w:r>
    </w:p>
    <w:p w14:paraId="29EF1B36" w14:textId="77777777" w:rsidR="00762180" w:rsidRPr="00B4303F" w:rsidRDefault="00762180" w:rsidP="00762180">
      <w:r w:rsidRPr="00B4303F">
        <w:rPr>
          <w:lang w:bidi="ru-RU"/>
        </w:rPr>
        <w:t>2</w:t>
      </w:r>
      <w:r w:rsidRPr="00B4303F">
        <w:rPr>
          <w:lang w:bidi="ru-RU"/>
        </w:rPr>
        <w:tab/>
        <w:t>провести и завершить своевременно до начала ВКР-27 исследования совместного использования частот и совместимости, при этом обеспечивая защиту служб, которым данная полоса частот распределена на первичной основе, без наложения дополнительных регламентарных и технических ограничений на эти службы, а также в соответствующих случаях на первичные службы в соседних полосах для следующих полос частот:</w:t>
      </w:r>
    </w:p>
    <w:p w14:paraId="54F3B49E" w14:textId="477B63FC" w:rsidR="00762180" w:rsidRPr="00B4303F" w:rsidRDefault="00762180" w:rsidP="002B099B">
      <w:pPr>
        <w:pStyle w:val="enumlev1"/>
      </w:pPr>
      <w:r w:rsidRPr="00B4303F">
        <w:rPr>
          <w:lang w:bidi="ru-RU"/>
        </w:rPr>
        <w:t>–</w:t>
      </w:r>
      <w:r w:rsidRPr="00B4303F">
        <w:rPr>
          <w:lang w:bidi="ru-RU"/>
        </w:rPr>
        <w:tab/>
        <w:t>3100–3300 МГц;</w:t>
      </w:r>
    </w:p>
    <w:p w14:paraId="2464EE9C" w14:textId="63B793F0" w:rsidR="00762180" w:rsidRPr="00B4303F" w:rsidRDefault="00762180" w:rsidP="002B099B">
      <w:pPr>
        <w:pStyle w:val="enumlev1"/>
      </w:pPr>
      <w:r w:rsidRPr="00B4303F">
        <w:rPr>
          <w:lang w:bidi="ru-RU"/>
        </w:rPr>
        <w:t>–</w:t>
      </w:r>
      <w:r w:rsidRPr="00B4303F">
        <w:rPr>
          <w:lang w:bidi="ru-RU"/>
        </w:rPr>
        <w:tab/>
        <w:t>7125–8500 МГц;</w:t>
      </w:r>
    </w:p>
    <w:p w14:paraId="4F22AF03" w14:textId="617F72B0" w:rsidR="00762180" w:rsidRPr="00B4303F" w:rsidRDefault="00762180" w:rsidP="002B099B">
      <w:pPr>
        <w:pStyle w:val="enumlev1"/>
        <w:rPr>
          <w:i/>
        </w:rPr>
      </w:pPr>
      <w:r w:rsidRPr="00B4303F">
        <w:rPr>
          <w:lang w:bidi="ru-RU"/>
        </w:rPr>
        <w:t>–</w:t>
      </w:r>
      <w:r w:rsidRPr="00B4303F">
        <w:rPr>
          <w:lang w:bidi="ru-RU"/>
        </w:rPr>
        <w:tab/>
        <w:t>14,75−15,35 ГГц</w:t>
      </w:r>
      <w:r w:rsidR="007364D2" w:rsidRPr="00B4303F">
        <w:rPr>
          <w:lang w:bidi="ru-RU"/>
        </w:rPr>
        <w:t>,</w:t>
      </w:r>
    </w:p>
    <w:p w14:paraId="00A0E5DA" w14:textId="77777777" w:rsidR="00762180" w:rsidRPr="00B4303F" w:rsidRDefault="00762180" w:rsidP="00762180">
      <w:pPr>
        <w:pStyle w:val="Call"/>
      </w:pPr>
      <w:r w:rsidRPr="00B4303F">
        <w:rPr>
          <w:lang w:bidi="ru-RU"/>
        </w:rPr>
        <w:t>решает</w:t>
      </w:r>
    </w:p>
    <w:p w14:paraId="379E94EB" w14:textId="77777777" w:rsidR="00762180" w:rsidRPr="00B4303F" w:rsidRDefault="00762180" w:rsidP="00762180">
      <w:pPr>
        <w:rPr>
          <w:i/>
        </w:rPr>
      </w:pPr>
      <w:r w:rsidRPr="00B4303F">
        <w:rPr>
          <w:lang w:bidi="ru-RU"/>
        </w:rPr>
        <w:t>1</w:t>
      </w:r>
      <w:r w:rsidRPr="00B4303F">
        <w:rPr>
          <w:lang w:bidi="ru-RU"/>
        </w:rPr>
        <w:tab/>
        <w:t xml:space="preserve">предложить первой сессии Подготовительного собрания к конференции для ВКР-27 определить дату, к которой следует представить технические и эксплуатационные характеристики, необходимые для исследований совместного использования частот и совместимости, для обеспечения того, чтобы исследования, о которых говорится в разделе </w:t>
      </w:r>
      <w:r w:rsidRPr="00B4303F">
        <w:rPr>
          <w:i/>
          <w:lang w:bidi="ru-RU"/>
        </w:rPr>
        <w:t>решает предложить Сектору радиосвязи МСЭ</w:t>
      </w:r>
      <w:r w:rsidRPr="00B4303F">
        <w:rPr>
          <w:lang w:bidi="ru-RU"/>
        </w:rPr>
        <w:t>, могли быть завершены своевременно для рассмотрения на ВКР</w:t>
      </w:r>
      <w:r w:rsidRPr="00B4303F">
        <w:rPr>
          <w:lang w:bidi="ru-RU"/>
        </w:rPr>
        <w:noBreakHyphen/>
        <w:t>27;</w:t>
      </w:r>
    </w:p>
    <w:p w14:paraId="59C3C21A" w14:textId="79FDFEEC" w:rsidR="00762180" w:rsidRPr="00B4303F" w:rsidRDefault="0053611C" w:rsidP="00762180">
      <w:pPr>
        <w:rPr>
          <w:i/>
        </w:rPr>
      </w:pPr>
      <w:r w:rsidRPr="00B4303F">
        <w:rPr>
          <w:lang w:bidi="ru-RU"/>
        </w:rPr>
        <w:t>2</w:t>
      </w:r>
      <w:r w:rsidRPr="00B4303F">
        <w:rPr>
          <w:lang w:bidi="ru-RU"/>
        </w:rPr>
        <w:tab/>
        <w:t xml:space="preserve">предложить ВКР-27 рассмотреть на основе результатов вышеупомянутых исследований вопрос о дополнительных распределениях спектра подвижной службе на первичной основе и вопрос об определении полос частот для наземного сегмента IMT, при условии ограничения полос частот, подлежащих рассмотрению, частью полос частот, перечисленных в </w:t>
      </w:r>
      <w:r w:rsidRPr="00B4303F">
        <w:rPr>
          <w:iCs/>
          <w:lang w:bidi="ru-RU"/>
        </w:rPr>
        <w:t>пункте 2</w:t>
      </w:r>
      <w:r w:rsidRPr="00B4303F">
        <w:rPr>
          <w:i/>
          <w:lang w:bidi="ru-RU"/>
        </w:rPr>
        <w:t xml:space="preserve"> раздела решает предложить Сектору радиосвязи МСЭ</w:t>
      </w:r>
      <w:r w:rsidRPr="00B4303F">
        <w:rPr>
          <w:lang w:bidi="ru-RU"/>
        </w:rPr>
        <w:t>, или всеми этими полосами,</w:t>
      </w:r>
    </w:p>
    <w:p w14:paraId="45FA56BB" w14:textId="77777777" w:rsidR="00762180" w:rsidRPr="00B4303F" w:rsidRDefault="00762180" w:rsidP="00762180">
      <w:pPr>
        <w:pStyle w:val="Call"/>
      </w:pPr>
      <w:r w:rsidRPr="00B4303F">
        <w:rPr>
          <w:lang w:bidi="ru-RU"/>
        </w:rPr>
        <w:t>предлагает администрациям</w:t>
      </w:r>
    </w:p>
    <w:p w14:paraId="2FDE245E" w14:textId="77777777" w:rsidR="00762180" w:rsidRPr="00B4303F" w:rsidRDefault="00762180" w:rsidP="00762180">
      <w:r w:rsidRPr="00B4303F">
        <w:rPr>
          <w:lang w:bidi="ru-RU"/>
        </w:rPr>
        <w:t>принять активное участие в этих исследованиях, представляя свои вклады в Сектор радиосвязи МСЭ.</w:t>
      </w:r>
    </w:p>
    <w:p w14:paraId="7825FB38" w14:textId="79129840" w:rsidR="00D5339F" w:rsidRPr="00B4303F" w:rsidRDefault="0053611C" w:rsidP="00411C49">
      <w:pPr>
        <w:pStyle w:val="Reasons"/>
        <w:rPr>
          <w:lang w:bidi="ru-RU"/>
        </w:rPr>
      </w:pPr>
      <w:r w:rsidRPr="00B4303F">
        <w:rPr>
          <w:b/>
          <w:lang w:bidi="ru-RU"/>
        </w:rPr>
        <w:lastRenderedPageBreak/>
        <w:t>Основания</w:t>
      </w:r>
      <w:r w:rsidRPr="00B4303F">
        <w:rPr>
          <w:lang w:bidi="ru-RU"/>
        </w:rPr>
        <w:t>:</w:t>
      </w:r>
      <w:r w:rsidRPr="00B4303F">
        <w:rPr>
          <w:lang w:bidi="ru-RU"/>
        </w:rPr>
        <w:tab/>
        <w:t xml:space="preserve">Спрос на доступ к спектру IMT высок и растет. Для решения проблемы роста трафика в сетях подвижной связи необходимы непрерывные широкие полосы спектра, отличные от имеющихся в настоящее время. Спектр в кандидатных полосах частот мог бы способствовать реализации связанных с пропускной способностью сценариев использования IMT-2030 для расширения </w:t>
      </w:r>
      <w:r w:rsidR="002261C1" w:rsidRPr="00B4303F">
        <w:rPr>
          <w:lang w:bidi="ru-RU"/>
        </w:rPr>
        <w:t>покрытия</w:t>
      </w:r>
      <w:r w:rsidRPr="00B4303F">
        <w:rPr>
          <w:lang w:bidi="ru-RU"/>
        </w:rPr>
        <w:t xml:space="preserve"> и повышения пропускной способности и дополнить спектр, уже определенный для IMT, за счет предложения дополнительных альтернативных вариантов для удовлетворения спроса на пропускную способность, предусмотренную для IMT-2030.</w:t>
      </w:r>
    </w:p>
    <w:p w14:paraId="642381B6" w14:textId="77777777" w:rsidR="00762180" w:rsidRPr="00B4303F" w:rsidRDefault="007621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4303F">
        <w:rPr>
          <w:lang w:bidi="ru-RU"/>
        </w:rPr>
        <w:br w:type="page"/>
      </w:r>
    </w:p>
    <w:p w14:paraId="41341263" w14:textId="77777777" w:rsidR="00762180" w:rsidRPr="00B4303F" w:rsidRDefault="00762180" w:rsidP="00762180">
      <w:pPr>
        <w:pStyle w:val="AnnexNo"/>
      </w:pPr>
      <w:r w:rsidRPr="00B4303F">
        <w:rPr>
          <w:lang w:bidi="ru-RU"/>
        </w:rPr>
        <w:lastRenderedPageBreak/>
        <w:t>ПРИЛОЖЕНИЕ</w:t>
      </w:r>
    </w:p>
    <w:p w14:paraId="05B22FB1" w14:textId="77777777" w:rsidR="00762180" w:rsidRPr="00B4303F" w:rsidRDefault="00762180" w:rsidP="00762180">
      <w:pPr>
        <w:pStyle w:val="Annextitle"/>
      </w:pPr>
      <w:r w:rsidRPr="00B4303F">
        <w:rPr>
          <w:lang w:bidi="ru-RU"/>
        </w:rPr>
        <w:t xml:space="preserve">Предложение по пункту повестки дня ВКР-27 по идентификации </w:t>
      </w:r>
      <w:r w:rsidRPr="00B4303F">
        <w:rPr>
          <w:lang w:bidi="ru-RU"/>
        </w:rPr>
        <w:br/>
        <w:t>новые частотные диапазоны для IMT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762180" w:rsidRPr="00B4303F" w14:paraId="63012E60" w14:textId="77777777" w:rsidTr="00631A1E">
        <w:trPr>
          <w:cantSplit/>
        </w:trPr>
        <w:tc>
          <w:tcPr>
            <w:tcW w:w="9723" w:type="dxa"/>
            <w:gridSpan w:val="2"/>
            <w:hideMark/>
          </w:tcPr>
          <w:p w14:paraId="1FDC56F8" w14:textId="77777777" w:rsidR="00762180" w:rsidRPr="00B4303F" w:rsidRDefault="00FE3FD2" w:rsidP="00DB747B">
            <w:pPr>
              <w:spacing w:before="60" w:after="60"/>
              <w:rPr>
                <w:b/>
                <w:bCs/>
              </w:rPr>
            </w:pPr>
            <w:bookmarkStart w:id="8" w:name="_Hlk148512416"/>
            <w:r w:rsidRPr="00B4303F">
              <w:rPr>
                <w:b/>
                <w:i/>
                <w:lang w:bidi="ru-RU"/>
              </w:rPr>
              <w:t>Предмет</w:t>
            </w:r>
            <w:r w:rsidRPr="00B4303F">
              <w:rPr>
                <w:lang w:bidi="ru-RU"/>
              </w:rPr>
              <w:t>: Предлагаемый пункт будущей повестки дня ВКР-2027 по определению нового спектра для IMT.</w:t>
            </w:r>
          </w:p>
        </w:tc>
      </w:tr>
      <w:tr w:rsidR="00762180" w:rsidRPr="00B4303F" w14:paraId="6E05CF10" w14:textId="77777777" w:rsidTr="00631A1E">
        <w:trPr>
          <w:cantSplit/>
        </w:trPr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5D0140" w14:textId="77777777" w:rsidR="00762180" w:rsidRPr="00B4303F" w:rsidRDefault="00FE3FD2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b/>
                <w:i/>
                <w:lang w:bidi="ru-RU"/>
              </w:rPr>
              <w:t>Источник</w:t>
            </w:r>
            <w:r w:rsidRPr="00B4303F">
              <w:rPr>
                <w:lang w:bidi="ru-RU"/>
              </w:rPr>
              <w:t>: СИТЕЛ</w:t>
            </w:r>
          </w:p>
        </w:tc>
      </w:tr>
      <w:tr w:rsidR="00762180" w:rsidRPr="00B4303F" w14:paraId="21242CA2" w14:textId="77777777" w:rsidTr="00631A1E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57858" w14:textId="77777777" w:rsidR="00762180" w:rsidRPr="00B4303F" w:rsidRDefault="00FE3FD2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b/>
                <w:i/>
                <w:lang w:bidi="ru-RU"/>
              </w:rPr>
              <w:t>Предложение</w:t>
            </w:r>
            <w:r w:rsidRPr="00B4303F">
              <w:rPr>
                <w:lang w:bidi="ru-RU"/>
              </w:rPr>
              <w:t>:</w:t>
            </w:r>
          </w:p>
          <w:p w14:paraId="5146B896" w14:textId="0EC0DF1F" w:rsidR="00762180" w:rsidRPr="00B4303F" w:rsidRDefault="00762180" w:rsidP="00DB747B">
            <w:pPr>
              <w:spacing w:before="60" w:after="60"/>
              <w:rPr>
                <w:b/>
                <w:iCs/>
              </w:rPr>
            </w:pPr>
            <w:r w:rsidRPr="00B4303F">
              <w:rPr>
                <w:lang w:bidi="ru-RU"/>
              </w:rPr>
              <w:t xml:space="preserve">Определить полосы частот </w:t>
            </w:r>
            <w:bookmarkStart w:id="9" w:name="_Hlk149066410"/>
            <w:r w:rsidRPr="00B4303F">
              <w:rPr>
                <w:lang w:bidi="ru-RU"/>
              </w:rPr>
              <w:t>3100</w:t>
            </w:r>
            <w:r w:rsidR="007364D2" w:rsidRPr="00B4303F">
              <w:rPr>
                <w:lang w:bidi="ru-RU"/>
              </w:rPr>
              <w:t>−</w:t>
            </w:r>
            <w:r w:rsidRPr="00B4303F">
              <w:rPr>
                <w:lang w:bidi="ru-RU"/>
              </w:rPr>
              <w:t>3300 МГц, 7125</w:t>
            </w:r>
            <w:r w:rsidR="007364D2" w:rsidRPr="00B4303F">
              <w:rPr>
                <w:lang w:bidi="ru-RU"/>
              </w:rPr>
              <w:t>−</w:t>
            </w:r>
            <w:r w:rsidRPr="00B4303F">
              <w:rPr>
                <w:lang w:bidi="ru-RU"/>
              </w:rPr>
              <w:t>8500 МГц и 14,75</w:t>
            </w:r>
            <w:r w:rsidR="007364D2" w:rsidRPr="00B4303F">
              <w:rPr>
                <w:lang w:bidi="ru-RU"/>
              </w:rPr>
              <w:t>−</w:t>
            </w:r>
            <w:r w:rsidRPr="00B4303F">
              <w:rPr>
                <w:lang w:bidi="ru-RU"/>
              </w:rPr>
              <w:t xml:space="preserve">15,35 ГГц </w:t>
            </w:r>
            <w:bookmarkEnd w:id="9"/>
            <w:r w:rsidRPr="00B4303F">
              <w:rPr>
                <w:lang w:bidi="ru-RU"/>
              </w:rPr>
              <w:t xml:space="preserve">для будущего развертывания IMT, включая возможные дополнительные </w:t>
            </w:r>
            <w:r w:rsidR="00435C5E" w:rsidRPr="00B4303F">
              <w:rPr>
                <w:lang w:bidi="ru-RU"/>
              </w:rPr>
              <w:t>распределения</w:t>
            </w:r>
            <w:r w:rsidRPr="00B4303F">
              <w:rPr>
                <w:lang w:bidi="ru-RU"/>
              </w:rPr>
              <w:t xml:space="preserve"> </w:t>
            </w:r>
            <w:r w:rsidR="00435C5E" w:rsidRPr="00B4303F">
              <w:rPr>
                <w:lang w:bidi="ru-RU"/>
              </w:rPr>
              <w:t>подвижной</w:t>
            </w:r>
            <w:r w:rsidRPr="00B4303F">
              <w:rPr>
                <w:lang w:bidi="ru-RU"/>
              </w:rPr>
              <w:t xml:space="preserve"> служб</w:t>
            </w:r>
            <w:r w:rsidR="00435C5E" w:rsidRPr="00B4303F">
              <w:rPr>
                <w:lang w:bidi="ru-RU"/>
              </w:rPr>
              <w:t>е</w:t>
            </w:r>
            <w:r w:rsidRPr="00B4303F">
              <w:rPr>
                <w:lang w:bidi="ru-RU"/>
              </w:rPr>
              <w:t xml:space="preserve"> на первичной основе, </w:t>
            </w:r>
            <w:r w:rsidR="00435C5E" w:rsidRPr="00B4303F">
              <w:rPr>
                <w:lang w:bidi="ru-RU"/>
              </w:rPr>
              <w:t>с тем чтобы обеспечить согласованность на региональном и глобальном уровнях</w:t>
            </w:r>
            <w:r w:rsidRPr="00B4303F">
              <w:rPr>
                <w:lang w:bidi="ru-RU"/>
              </w:rPr>
              <w:t>.</w:t>
            </w:r>
          </w:p>
        </w:tc>
      </w:tr>
      <w:tr w:rsidR="00762180" w:rsidRPr="00B4303F" w14:paraId="51C4C212" w14:textId="77777777" w:rsidTr="00631A1E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10A0A" w14:textId="77777777" w:rsidR="00762180" w:rsidRPr="00B4303F" w:rsidRDefault="00FE3FD2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b/>
                <w:i/>
                <w:lang w:bidi="ru-RU"/>
              </w:rPr>
              <w:t>Основание/причина</w:t>
            </w:r>
            <w:r w:rsidRPr="00B4303F">
              <w:rPr>
                <w:lang w:bidi="ru-RU"/>
              </w:rPr>
              <w:t>:</w:t>
            </w:r>
          </w:p>
          <w:p w14:paraId="057AC42E" w14:textId="384CF53D" w:rsidR="00762180" w:rsidRPr="00B4303F" w:rsidRDefault="00762180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lang w:bidi="ru-RU"/>
              </w:rPr>
              <w:t xml:space="preserve">Спрос на доступ к спектру IMT высок и растет. Для решения проблемы роста трафика в сетях подвижной связи необходимы непрерывные широкие полосы спектра, отличные от имеющихся в настоящее время. Спектр </w:t>
            </w:r>
            <w:r w:rsidR="000D75FF" w:rsidRPr="00B4303F">
              <w:rPr>
                <w:lang w:bidi="ru-RU"/>
              </w:rPr>
              <w:t>в кандидатных полосах частот</w:t>
            </w:r>
            <w:r w:rsidRPr="00B4303F">
              <w:rPr>
                <w:lang w:bidi="ru-RU"/>
              </w:rPr>
              <w:t xml:space="preserve"> </w:t>
            </w:r>
            <w:r w:rsidR="00947957" w:rsidRPr="00B4303F">
              <w:rPr>
                <w:lang w:bidi="ru-RU"/>
              </w:rPr>
              <w:t>мог бы</w:t>
            </w:r>
            <w:r w:rsidRPr="00B4303F">
              <w:rPr>
                <w:lang w:bidi="ru-RU"/>
              </w:rPr>
              <w:t xml:space="preserve"> содействовать решению задач IMT</w:t>
            </w:r>
            <w:r w:rsidR="002A2810">
              <w:rPr>
                <w:lang w:bidi="ru-RU"/>
              </w:rPr>
              <w:noBreakHyphen/>
            </w:r>
            <w:r w:rsidRPr="00B4303F">
              <w:rPr>
                <w:lang w:bidi="ru-RU"/>
              </w:rPr>
              <w:t xml:space="preserve">2030 по расширению </w:t>
            </w:r>
            <w:r w:rsidR="000D75FF" w:rsidRPr="00B4303F">
              <w:rPr>
                <w:lang w:bidi="ru-RU"/>
              </w:rPr>
              <w:t>покрытия</w:t>
            </w:r>
            <w:r w:rsidRPr="00B4303F">
              <w:rPr>
                <w:lang w:bidi="ru-RU"/>
              </w:rPr>
              <w:t xml:space="preserve"> и повышению пропускной способности, а также дополнить существующие предложения спектра для IMT, обеспечивая дополнительные альтернативы для удовлетворения спроса на пропускную способность, предусмотренного для IMT-2030.</w:t>
            </w:r>
          </w:p>
        </w:tc>
      </w:tr>
      <w:tr w:rsidR="00762180" w:rsidRPr="00B4303F" w14:paraId="7CDC6D29" w14:textId="77777777" w:rsidTr="00631A1E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61093" w14:textId="77777777" w:rsidR="00762180" w:rsidRPr="00B4303F" w:rsidRDefault="00FE3FD2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b/>
                <w:i/>
                <w:lang w:bidi="ru-RU"/>
              </w:rPr>
              <w:t>Затрагиваемые службы радиосвязи</w:t>
            </w:r>
            <w:r w:rsidRPr="00B4303F">
              <w:rPr>
                <w:lang w:bidi="ru-RU"/>
              </w:rPr>
              <w:t>:</w:t>
            </w:r>
          </w:p>
          <w:p w14:paraId="74C67752" w14:textId="77777777" w:rsidR="00762180" w:rsidRPr="00B4303F" w:rsidRDefault="00762180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lang w:bidi="ru-RU"/>
              </w:rPr>
              <w:t>Подвижная служба, радиовещательная служба, радиовещательная спутниковая служба, спутниковая служба исследования Земли, фиксированная служба, фиксированная спутниковая служба, подвижная спутниковая служба, пассивная служба, радиолокационная служба и радиоастрономическая служба.</w:t>
            </w:r>
          </w:p>
        </w:tc>
      </w:tr>
      <w:tr w:rsidR="00762180" w:rsidRPr="00B4303F" w14:paraId="6939EDD7" w14:textId="77777777" w:rsidTr="00631A1E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4BF26" w14:textId="77777777" w:rsidR="00762180" w:rsidRPr="00B4303F" w:rsidRDefault="00FE3FD2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b/>
                <w:i/>
                <w:lang w:bidi="ru-RU"/>
              </w:rPr>
              <w:t>Указание возможных трудностей</w:t>
            </w:r>
            <w:r w:rsidRPr="00B4303F">
              <w:rPr>
                <w:lang w:bidi="ru-RU"/>
              </w:rPr>
              <w:t>:</w:t>
            </w:r>
          </w:p>
          <w:p w14:paraId="6135D504" w14:textId="77777777" w:rsidR="00762180" w:rsidRPr="00B4303F" w:rsidRDefault="00762180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lang w:bidi="ru-RU"/>
              </w:rPr>
              <w:t>Предлагаемые полосы широко используются для наземных и космических служб и требуют проведения исследования совместного использования частот с существующими службами.</w:t>
            </w:r>
          </w:p>
        </w:tc>
      </w:tr>
      <w:tr w:rsidR="00762180" w:rsidRPr="00B4303F" w14:paraId="74A0CE5B" w14:textId="77777777" w:rsidTr="00631A1E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646D1" w14:textId="77777777" w:rsidR="00762180" w:rsidRPr="00B4303F" w:rsidRDefault="00FE3FD2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b/>
                <w:i/>
                <w:lang w:bidi="ru-RU"/>
              </w:rPr>
              <w:t>Ранее проведенные/текущие исследования по данному вопросу</w:t>
            </w:r>
            <w:r w:rsidRPr="00B4303F">
              <w:rPr>
                <w:lang w:bidi="ru-RU"/>
              </w:rPr>
              <w:t>:</w:t>
            </w:r>
          </w:p>
          <w:p w14:paraId="64B7A77A" w14:textId="77777777" w:rsidR="00762180" w:rsidRPr="00B4303F" w:rsidRDefault="00762180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lang w:bidi="ru-RU"/>
              </w:rPr>
              <w:t>Соответствующие исследования уже начаты в рамках Рабочей группы 5D МСЭ-R.</w:t>
            </w:r>
          </w:p>
        </w:tc>
      </w:tr>
      <w:tr w:rsidR="00762180" w:rsidRPr="00B4303F" w14:paraId="626195DB" w14:textId="77777777" w:rsidTr="00631A1E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96D7F" w14:textId="77777777" w:rsidR="00762180" w:rsidRPr="00B4303F" w:rsidRDefault="00FE3FD2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b/>
                <w:i/>
                <w:lang w:bidi="ru-RU"/>
              </w:rPr>
              <w:t>Кем будут проводиться исследования</w:t>
            </w:r>
            <w:r w:rsidRPr="00B4303F">
              <w:rPr>
                <w:lang w:bidi="ru-RU"/>
              </w:rPr>
              <w:t>:</w:t>
            </w:r>
          </w:p>
          <w:p w14:paraId="628A8577" w14:textId="77777777" w:rsidR="00762180" w:rsidRPr="00B4303F" w:rsidRDefault="00762180" w:rsidP="00DB747B">
            <w:pPr>
              <w:spacing w:before="60" w:after="60"/>
              <w:rPr>
                <w:bCs/>
                <w:iCs/>
              </w:rPr>
            </w:pPr>
            <w:r w:rsidRPr="00B4303F">
              <w:rPr>
                <w:lang w:bidi="ru-RU"/>
              </w:rPr>
              <w:t>Рабочая группа 5D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2F0862" w14:textId="4021075F" w:rsidR="00762180" w:rsidRPr="00B4303F" w:rsidRDefault="00FE3FD2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b/>
                <w:i/>
                <w:lang w:bidi="ru-RU"/>
              </w:rPr>
              <w:t>с участием</w:t>
            </w:r>
            <w:r w:rsidRPr="00B4303F">
              <w:rPr>
                <w:lang w:bidi="ru-RU"/>
              </w:rPr>
              <w:t>: Члены МСЭ-R</w:t>
            </w:r>
          </w:p>
        </w:tc>
      </w:tr>
      <w:tr w:rsidR="00762180" w:rsidRPr="00B4303F" w14:paraId="5FFE673E" w14:textId="77777777" w:rsidTr="00631A1E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ECEF2" w14:textId="77777777" w:rsidR="00762180" w:rsidRPr="00B4303F" w:rsidRDefault="00FE3FD2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b/>
                <w:i/>
                <w:lang w:bidi="ru-RU"/>
              </w:rPr>
              <w:t>Затрагиваемые исследовательские комиссии МСЭ-R</w:t>
            </w:r>
            <w:r w:rsidRPr="00B4303F">
              <w:rPr>
                <w:lang w:bidi="ru-RU"/>
              </w:rPr>
              <w:t>:</w:t>
            </w:r>
          </w:p>
          <w:p w14:paraId="3715F255" w14:textId="3EDF3EF8" w:rsidR="00762180" w:rsidRPr="00B4303F" w:rsidRDefault="00762180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lang w:bidi="ru-RU"/>
              </w:rPr>
              <w:t>4-я, 5-я и 7-я Исследовательские комиссии</w:t>
            </w:r>
          </w:p>
        </w:tc>
      </w:tr>
      <w:tr w:rsidR="00762180" w:rsidRPr="00B4303F" w14:paraId="6102FA40" w14:textId="77777777" w:rsidTr="00631A1E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B907D" w14:textId="77777777" w:rsidR="00762180" w:rsidRPr="00B4303F" w:rsidRDefault="00FE3FD2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b/>
                <w:i/>
                <w:lang w:bidi="ru-RU"/>
              </w:rPr>
              <w:t>Влияние на ресурсы МСЭ, включая финансовые последствия (см. K126)</w:t>
            </w:r>
            <w:r w:rsidRPr="00B4303F">
              <w:rPr>
                <w:lang w:bidi="ru-RU"/>
              </w:rPr>
              <w:t>:</w:t>
            </w:r>
          </w:p>
          <w:p w14:paraId="4572D284" w14:textId="77777777" w:rsidR="00762180" w:rsidRPr="00B4303F" w:rsidRDefault="00762180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i/>
                <w:lang w:bidi="ru-RU"/>
              </w:rPr>
              <w:t>Влияние на ресурсы МСЭ, включая финансовые последствия (см. CV126)</w:t>
            </w:r>
            <w:r w:rsidRPr="00B4303F">
              <w:rPr>
                <w:lang w:bidi="ru-RU"/>
              </w:rPr>
              <w:t>: Затраты минимальны или отсутствуют, поскольку исследования по предлагаемому пункту повестки дня должны проводиться РГ 5D МСЭ-R в рамках существующего графика собраний.</w:t>
            </w:r>
          </w:p>
        </w:tc>
      </w:tr>
      <w:tr w:rsidR="00762180" w:rsidRPr="00B4303F" w14:paraId="66B7DAA4" w14:textId="77777777" w:rsidTr="00631A1E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476375" w14:textId="04956BFC" w:rsidR="00762180" w:rsidRPr="00B4303F" w:rsidRDefault="00FE3FD2" w:rsidP="00DB747B">
            <w:pPr>
              <w:spacing w:before="60" w:after="60"/>
              <w:rPr>
                <w:b/>
                <w:iCs/>
              </w:rPr>
            </w:pPr>
            <w:r w:rsidRPr="00B4303F">
              <w:rPr>
                <w:b/>
                <w:i/>
                <w:lang w:bidi="ru-RU"/>
              </w:rPr>
              <w:t>Общее региональное предложение</w:t>
            </w:r>
            <w:r w:rsidRPr="00B4303F">
              <w:rPr>
                <w:lang w:bidi="ru-RU"/>
              </w:rPr>
              <w:t>: [Да/</w:t>
            </w:r>
            <w:r w:rsidR="007364D2" w:rsidRPr="00B4303F">
              <w:rPr>
                <w:lang w:bidi="ru-RU"/>
              </w:rPr>
              <w:t>Нет</w:t>
            </w:r>
            <w:r w:rsidRPr="00B4303F">
              <w:rPr>
                <w:lang w:bidi="ru-RU"/>
              </w:rPr>
              <w:t>]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F6329" w14:textId="00F7AE7B" w:rsidR="00762180" w:rsidRPr="00B4303F" w:rsidRDefault="00FE3FD2" w:rsidP="00DB747B">
            <w:pPr>
              <w:spacing w:before="60" w:after="60"/>
              <w:rPr>
                <w:b/>
                <w:iCs/>
              </w:rPr>
            </w:pPr>
            <w:r w:rsidRPr="00B4303F">
              <w:rPr>
                <w:b/>
                <w:i/>
                <w:lang w:bidi="ru-RU"/>
              </w:rPr>
              <w:t>Предложение группы стран</w:t>
            </w:r>
            <w:r w:rsidRPr="00B4303F">
              <w:rPr>
                <w:lang w:bidi="ru-RU"/>
              </w:rPr>
              <w:t xml:space="preserve">: </w:t>
            </w:r>
            <w:r w:rsidRPr="00B4303F">
              <w:rPr>
                <w:b/>
                <w:lang w:bidi="ru-RU"/>
              </w:rPr>
              <w:t>[</w:t>
            </w:r>
            <w:r w:rsidRPr="00B4303F">
              <w:rPr>
                <w:lang w:bidi="ru-RU"/>
              </w:rPr>
              <w:t>Да/</w:t>
            </w:r>
            <w:r w:rsidR="007364D2" w:rsidRPr="00B4303F">
              <w:rPr>
                <w:lang w:bidi="ru-RU"/>
              </w:rPr>
              <w:t>Нет</w:t>
            </w:r>
            <w:r w:rsidRPr="00B4303F">
              <w:rPr>
                <w:lang w:bidi="ru-RU"/>
              </w:rPr>
              <w:t>]</w:t>
            </w:r>
          </w:p>
          <w:p w14:paraId="5C4BE5B3" w14:textId="77777777" w:rsidR="00762180" w:rsidRPr="00B4303F" w:rsidRDefault="00FE3FD2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b/>
                <w:i/>
                <w:lang w:bidi="ru-RU"/>
              </w:rPr>
              <w:t>Количество стран</w:t>
            </w:r>
            <w:r w:rsidRPr="00B4303F">
              <w:rPr>
                <w:lang w:bidi="ru-RU"/>
              </w:rPr>
              <w:t>:</w:t>
            </w:r>
          </w:p>
        </w:tc>
      </w:tr>
      <w:tr w:rsidR="00762180" w:rsidRPr="00B4303F" w14:paraId="13CCDCE2" w14:textId="77777777" w:rsidTr="00631A1E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BC4E2" w14:textId="77777777" w:rsidR="00762180" w:rsidRPr="00B4303F" w:rsidRDefault="00FE3FD2" w:rsidP="00DB747B">
            <w:pPr>
              <w:spacing w:before="60" w:after="60"/>
              <w:rPr>
                <w:b/>
                <w:i/>
              </w:rPr>
            </w:pPr>
            <w:r w:rsidRPr="00B4303F">
              <w:rPr>
                <w:b/>
                <w:i/>
                <w:lang w:bidi="ru-RU"/>
              </w:rPr>
              <w:t>Примечания</w:t>
            </w:r>
          </w:p>
        </w:tc>
      </w:tr>
    </w:tbl>
    <w:bookmarkEnd w:id="8"/>
    <w:p w14:paraId="35428838" w14:textId="77777777" w:rsidR="00AF29AC" w:rsidRPr="00B4303F" w:rsidRDefault="00D5339F" w:rsidP="002A2810">
      <w:pPr>
        <w:spacing w:before="480"/>
        <w:jc w:val="center"/>
      </w:pPr>
      <w:r w:rsidRPr="00B4303F">
        <w:rPr>
          <w:lang w:bidi="ru-RU"/>
        </w:rPr>
        <w:t>______________</w:t>
      </w:r>
    </w:p>
    <w:sectPr w:rsidR="00AF29AC" w:rsidRPr="00B4303F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7AB5" w14:textId="77777777" w:rsidR="00546009" w:rsidRDefault="00546009">
      <w:r>
        <w:separator/>
      </w:r>
    </w:p>
  </w:endnote>
  <w:endnote w:type="continuationSeparator" w:id="0">
    <w:p w14:paraId="71D8B17F" w14:textId="77777777" w:rsidR="00546009" w:rsidRDefault="0054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B900" w14:textId="467F765B" w:rsidR="00567276" w:rsidRDefault="00567276">
    <w:pPr>
      <w:framePr w:wrap="around" w:vAnchor="text" w:hAnchor="margin" w:xAlign="right" w:y="1"/>
    </w:pPr>
    <w:r>
      <w:rPr>
        <w:lang w:bidi="ru-RU"/>
      </w:rPr>
      <w:fldChar w:fldCharType="begin"/>
    </w:r>
    <w:r>
      <w:rPr>
        <w:lang w:bidi="ru-RU"/>
      </w:rPr>
      <w:instrText xml:space="preserve">PAGE  </w:instrText>
    </w:r>
    <w:r>
      <w:rPr>
        <w:lang w:bidi="ru-RU"/>
      </w:rPr>
      <w:fldChar w:fldCharType="separate"/>
    </w:r>
    <w:r w:rsidR="00751CCA">
      <w:rPr>
        <w:noProof/>
        <w:lang w:bidi="ru-RU"/>
      </w:rPr>
      <w:t>2</w:t>
    </w:r>
    <w:r>
      <w:rPr>
        <w:lang w:bidi="ru-RU"/>
      </w:rPr>
      <w:fldChar w:fldCharType="end"/>
    </w:r>
  </w:p>
  <w:p w14:paraId="00A0F9B7" w14:textId="4461015C" w:rsidR="00567276" w:rsidRDefault="00567276">
    <w:pPr>
      <w:ind w:right="360"/>
      <w:rPr>
        <w:lang w:val="fr-FR"/>
      </w:rPr>
    </w:pPr>
    <w:r>
      <w:rPr>
        <w:lang w:bidi="ru-RU"/>
      </w:rPr>
      <w:fldChar w:fldCharType="begin"/>
    </w:r>
    <w:r>
      <w:rPr>
        <w:lang w:bidi="ru-RU"/>
      </w:rPr>
      <w:instrText xml:space="preserve"> FILENAME \p  \* MERGEFORMAT </w:instrText>
    </w:r>
    <w:r>
      <w:rPr>
        <w:lang w:bidi="ru-RU"/>
      </w:rPr>
      <w:fldChar w:fldCharType="separate"/>
    </w:r>
    <w:r w:rsidR="00751CCA">
      <w:rPr>
        <w:noProof/>
        <w:lang w:bidi="ru-RU"/>
      </w:rPr>
      <w:t>/Users/maria/Desktop/Word Bridges_Freelance/МСЭ/ВКР_октябрь-декабрь 2023/Октябрь/26.10/529503/перевод/044ADD27ADD12R.docx</w:t>
    </w:r>
    <w:r>
      <w:rPr>
        <w:lang w:bidi="ru-RU"/>
      </w:rPr>
      <w:fldChar w:fldCharType="end"/>
    </w:r>
    <w:r>
      <w:rPr>
        <w:lang w:bidi="ru-RU"/>
      </w:rPr>
      <w:tab/>
    </w:r>
    <w:r>
      <w:rPr>
        <w:lang w:bidi="ru-RU"/>
      </w:rPr>
      <w:fldChar w:fldCharType="begin"/>
    </w:r>
    <w:r>
      <w:rPr>
        <w:lang w:bidi="ru-RU"/>
      </w:rPr>
      <w:instrText xml:space="preserve"> SAVEDATE \@ DD.MM.YY </w:instrText>
    </w:r>
    <w:r>
      <w:rPr>
        <w:lang w:bidi="ru-RU"/>
      </w:rPr>
      <w:fldChar w:fldCharType="separate"/>
    </w:r>
    <w:r w:rsidR="007364D2">
      <w:rPr>
        <w:noProof/>
        <w:lang w:bidi="ru-RU"/>
      </w:rPr>
      <w:t>11.11.23</w:t>
    </w:r>
    <w:r>
      <w:rPr>
        <w:lang w:bidi="ru-RU"/>
      </w:rPr>
      <w:fldChar w:fldCharType="end"/>
    </w:r>
    <w:r>
      <w:rPr>
        <w:lang w:bidi="ru-RU"/>
      </w:rPr>
      <w:tab/>
    </w:r>
    <w:r>
      <w:rPr>
        <w:lang w:bidi="ru-RU"/>
      </w:rPr>
      <w:fldChar w:fldCharType="begin"/>
    </w:r>
    <w:r>
      <w:rPr>
        <w:lang w:bidi="ru-RU"/>
      </w:rPr>
      <w:instrText xml:space="preserve"> PRINTDATE \@ DD.MM.YY </w:instrText>
    </w:r>
    <w:r>
      <w:rPr>
        <w:lang w:bidi="ru-RU"/>
      </w:rPr>
      <w:fldChar w:fldCharType="separate"/>
    </w:r>
    <w:r w:rsidR="00751CCA">
      <w:rPr>
        <w:noProof/>
        <w:lang w:bidi="ru-RU"/>
      </w:rPr>
      <w:t>17.06.03</w:t>
    </w:r>
    <w:r>
      <w:rPr>
        <w:lang w:bidi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4985" w14:textId="3F515E21" w:rsidR="00567276" w:rsidRPr="007364D2" w:rsidRDefault="001F61F5" w:rsidP="001F61F5">
    <w:pPr>
      <w:pStyle w:val="Footer"/>
      <w:rPr>
        <w:lang w:val="pt-BR"/>
      </w:rPr>
    </w:pPr>
    <w:r>
      <w:fldChar w:fldCharType="begin"/>
    </w:r>
    <w:r w:rsidRPr="00DB747B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P:\RUS\ITU-R\CONF-R\CMR23\000\044ADD27ADD12R.docx</w:t>
    </w:r>
    <w:r>
      <w:fldChar w:fldCharType="end"/>
    </w:r>
    <w:r w:rsidRPr="00DB747B">
      <w:rPr>
        <w:lang w:val="pt-BR"/>
      </w:rPr>
      <w:t xml:space="preserve"> (529503)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9AB7" w14:textId="77777777" w:rsidR="00E65BBC" w:rsidRPr="00DB747B" w:rsidRDefault="00E65BBC" w:rsidP="00E65BBC">
    <w:pPr>
      <w:pStyle w:val="Footer"/>
      <w:rPr>
        <w:lang w:val="pt-BR"/>
      </w:rPr>
    </w:pPr>
    <w:r>
      <w:fldChar w:fldCharType="begin"/>
    </w:r>
    <w:r w:rsidRPr="00DB747B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P:\RUS\ITU-R\CONF-R\CMR23\000\044ADD27ADD12R.docx</w:t>
    </w:r>
    <w:r>
      <w:fldChar w:fldCharType="end"/>
    </w:r>
    <w:r w:rsidRPr="00DB747B">
      <w:rPr>
        <w:lang w:val="pt-BR"/>
      </w:rPr>
      <w:t xml:space="preserve"> (529503)</w:t>
    </w:r>
  </w:p>
  <w:p w14:paraId="13B47B62" w14:textId="1AC67E1B" w:rsidR="00567276" w:rsidRPr="00E65BBC" w:rsidRDefault="00567276" w:rsidP="00E65BBC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F729" w14:textId="77777777" w:rsidR="00546009" w:rsidRDefault="00546009">
      <w:r>
        <w:rPr>
          <w:b/>
        </w:rPr>
        <w:t>_______________</w:t>
      </w:r>
    </w:p>
  </w:footnote>
  <w:footnote w:type="continuationSeparator" w:id="0">
    <w:p w14:paraId="34BA755B" w14:textId="77777777" w:rsidR="00546009" w:rsidRDefault="00546009">
      <w:r>
        <w:continuationSeparator/>
      </w:r>
    </w:p>
  </w:footnote>
  <w:footnote w:id="1">
    <w:p w14:paraId="186BCDA1" w14:textId="70DF4D36" w:rsidR="00FA25B2" w:rsidRPr="00FA25B2" w:rsidRDefault="00FA25B2" w:rsidP="00FA25B2">
      <w:pPr>
        <w:pStyle w:val="FootnoteText"/>
        <w:rPr>
          <w:szCs w:val="22"/>
          <w:lang w:val="ru-RU"/>
        </w:rPr>
      </w:pPr>
      <w:r>
        <w:rPr>
          <w:rStyle w:val="FootnoteReference"/>
        </w:rPr>
        <w:footnoteRef/>
      </w:r>
      <w:r w:rsidRPr="00FA25B2">
        <w:rPr>
          <w:lang w:val="ru-RU"/>
        </w:rPr>
        <w:tab/>
      </w:r>
      <w:r w:rsidRPr="00FA25B2">
        <w:rPr>
          <w:szCs w:val="22"/>
          <w:lang w:val="ru-RU" w:bidi="ru-RU"/>
        </w:rPr>
        <w:t>Проект</w:t>
      </w:r>
      <w:r w:rsidRPr="00FA25B2">
        <w:rPr>
          <w:szCs w:val="22"/>
          <w:shd w:val="clear" w:color="auto" w:fill="FFFFFF"/>
          <w:lang w:val="ru-RU" w:bidi="ru-RU"/>
        </w:rPr>
        <w:t xml:space="preserve"> новой </w:t>
      </w:r>
      <w:r w:rsidRPr="00FA25B2">
        <w:rPr>
          <w:szCs w:val="22"/>
          <w:lang w:val="ru-RU"/>
        </w:rPr>
        <w:t>Рекомендации</w:t>
      </w:r>
      <w:r w:rsidRPr="00FA25B2">
        <w:rPr>
          <w:szCs w:val="22"/>
          <w:shd w:val="clear" w:color="auto" w:fill="FFFFFF"/>
          <w:lang w:val="ru-RU" w:bidi="ru-RU"/>
        </w:rPr>
        <w:t xml:space="preserve"> МСЭ-Р М.[IMT.FRAMEWORK FOR 2030 AND BEYOND] "Основы и общие задачи будущего развития IMT на период до 2030 года и далее" доступен по адресу</w:t>
      </w:r>
      <w:r w:rsidRPr="00FA25B2">
        <w:rPr>
          <w:szCs w:val="22"/>
          <w:shd w:val="clear" w:color="auto" w:fill="FFFFFF"/>
          <w:lang w:val="ru-RU" w:bidi="ru-RU"/>
        </w:rPr>
        <w:t>:</w:t>
      </w:r>
      <w:r w:rsidRPr="00FA25B2">
        <w:rPr>
          <w:szCs w:val="22"/>
          <w:shd w:val="clear" w:color="auto" w:fill="FFFFFF"/>
          <w:lang w:val="ru-RU" w:bidi="ru-RU"/>
        </w:rPr>
        <w:t xml:space="preserve"> </w:t>
      </w:r>
      <w:hyperlink r:id="rId1" w:history="1">
        <w:r w:rsidRPr="00FA25B2">
          <w:rPr>
            <w:rStyle w:val="Hyperlink"/>
            <w:szCs w:val="22"/>
            <w:lang w:val="ru-RU" w:bidi="ru-RU"/>
          </w:rPr>
          <w:t>https://www.itu.int/md/R19-SG05-C-0131/en</w:t>
        </w:r>
        <w:r w:rsidRPr="00FA25B2">
          <w:rPr>
            <w:rStyle w:val="Hyperlink"/>
            <w:color w:val="auto"/>
            <w:szCs w:val="22"/>
            <w:u w:val="none"/>
            <w:lang w:val="ru-RU" w:bidi="ru-RU"/>
          </w:rPr>
          <w:t>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7E9C" w14:textId="77777777" w:rsidR="00567276" w:rsidRPr="00434A7C" w:rsidRDefault="00567276" w:rsidP="00DE2EBA">
    <w:pPr>
      <w:pStyle w:val="Header"/>
      <w:rPr>
        <w:lang w:val="en-US"/>
      </w:rPr>
    </w:pPr>
    <w:r>
      <w:rPr>
        <w:lang w:val="ru-RU" w:bidi="ru-RU"/>
      </w:rPr>
      <w:fldChar w:fldCharType="begin"/>
    </w:r>
    <w:r>
      <w:rPr>
        <w:lang w:val="ru-RU" w:bidi="ru-RU"/>
      </w:rPr>
      <w:instrText xml:space="preserve"> PAGE </w:instrText>
    </w:r>
    <w:r>
      <w:rPr>
        <w:lang w:val="ru-RU" w:bidi="ru-RU"/>
      </w:rPr>
      <w:fldChar w:fldCharType="separate"/>
    </w:r>
    <w:r w:rsidR="0053611C">
      <w:rPr>
        <w:noProof/>
        <w:lang w:val="ru-RU" w:bidi="ru-RU"/>
      </w:rPr>
      <w:t>6</w:t>
    </w:r>
    <w:r>
      <w:rPr>
        <w:lang w:val="ru-RU" w:bidi="ru-RU"/>
      </w:rPr>
      <w:fldChar w:fldCharType="end"/>
    </w:r>
  </w:p>
  <w:p w14:paraId="39CA2D78" w14:textId="77777777" w:rsidR="00567276" w:rsidRDefault="002C0AAB" w:rsidP="00F65316">
    <w:pPr>
      <w:pStyle w:val="Header"/>
      <w:rPr>
        <w:lang w:val="en-US"/>
      </w:rPr>
    </w:pPr>
    <w:r>
      <w:rPr>
        <w:lang w:val="ru-RU" w:bidi="ru-RU"/>
      </w:rPr>
      <w:t>WRC23/44(Add.27)(Add.12)-R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3843739">
    <w:abstractNumId w:val="0"/>
  </w:num>
  <w:num w:numId="2" w16cid:durableId="16602418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4911"/>
    <w:rsid w:val="000213BE"/>
    <w:rsid w:val="000260F1"/>
    <w:rsid w:val="0003535B"/>
    <w:rsid w:val="000A0EF3"/>
    <w:rsid w:val="000B60BC"/>
    <w:rsid w:val="000C3F55"/>
    <w:rsid w:val="000D75FF"/>
    <w:rsid w:val="000F33D8"/>
    <w:rsid w:val="000F39B4"/>
    <w:rsid w:val="00113D0B"/>
    <w:rsid w:val="001226EC"/>
    <w:rsid w:val="00123B68"/>
    <w:rsid w:val="00124C09"/>
    <w:rsid w:val="00126F2E"/>
    <w:rsid w:val="00141DB8"/>
    <w:rsid w:val="00146961"/>
    <w:rsid w:val="001521AE"/>
    <w:rsid w:val="001A5585"/>
    <w:rsid w:val="001D46DF"/>
    <w:rsid w:val="001E5FB4"/>
    <w:rsid w:val="001F2928"/>
    <w:rsid w:val="001F61F5"/>
    <w:rsid w:val="00202CA0"/>
    <w:rsid w:val="002261C1"/>
    <w:rsid w:val="00230582"/>
    <w:rsid w:val="002449AA"/>
    <w:rsid w:val="00245A1F"/>
    <w:rsid w:val="00290C74"/>
    <w:rsid w:val="002A2810"/>
    <w:rsid w:val="002A2D3F"/>
    <w:rsid w:val="002B099B"/>
    <w:rsid w:val="002C0AAB"/>
    <w:rsid w:val="00300F84"/>
    <w:rsid w:val="003258F2"/>
    <w:rsid w:val="00344EB8"/>
    <w:rsid w:val="00346BEC"/>
    <w:rsid w:val="003717B6"/>
    <w:rsid w:val="00371E4B"/>
    <w:rsid w:val="00373759"/>
    <w:rsid w:val="00377DFE"/>
    <w:rsid w:val="003C583C"/>
    <w:rsid w:val="003E6D84"/>
    <w:rsid w:val="003F0078"/>
    <w:rsid w:val="00434A7C"/>
    <w:rsid w:val="00435C5E"/>
    <w:rsid w:val="0045143A"/>
    <w:rsid w:val="004A58F4"/>
    <w:rsid w:val="004B716F"/>
    <w:rsid w:val="004C1369"/>
    <w:rsid w:val="004C47ED"/>
    <w:rsid w:val="004C6D0B"/>
    <w:rsid w:val="004F3B0D"/>
    <w:rsid w:val="00501433"/>
    <w:rsid w:val="0051315E"/>
    <w:rsid w:val="005144A9"/>
    <w:rsid w:val="00514E1F"/>
    <w:rsid w:val="00521B1D"/>
    <w:rsid w:val="005305D5"/>
    <w:rsid w:val="0053611C"/>
    <w:rsid w:val="00540D1E"/>
    <w:rsid w:val="00546009"/>
    <w:rsid w:val="005651C9"/>
    <w:rsid w:val="00567276"/>
    <w:rsid w:val="005755E2"/>
    <w:rsid w:val="00597005"/>
    <w:rsid w:val="005A295E"/>
    <w:rsid w:val="005D1879"/>
    <w:rsid w:val="005D79A3"/>
    <w:rsid w:val="005E1132"/>
    <w:rsid w:val="005E61DD"/>
    <w:rsid w:val="006023DF"/>
    <w:rsid w:val="00610F17"/>
    <w:rsid w:val="006115BE"/>
    <w:rsid w:val="00614771"/>
    <w:rsid w:val="00620DD7"/>
    <w:rsid w:val="00657DE0"/>
    <w:rsid w:val="00692C06"/>
    <w:rsid w:val="006A6E9B"/>
    <w:rsid w:val="007364D2"/>
    <w:rsid w:val="00751CCA"/>
    <w:rsid w:val="00762180"/>
    <w:rsid w:val="00763F4F"/>
    <w:rsid w:val="00775720"/>
    <w:rsid w:val="007917AE"/>
    <w:rsid w:val="007A08B5"/>
    <w:rsid w:val="00811633"/>
    <w:rsid w:val="00812452"/>
    <w:rsid w:val="00815749"/>
    <w:rsid w:val="00861FA9"/>
    <w:rsid w:val="00872FC8"/>
    <w:rsid w:val="008B43F2"/>
    <w:rsid w:val="008C3257"/>
    <w:rsid w:val="008C401C"/>
    <w:rsid w:val="009119CC"/>
    <w:rsid w:val="00917C0A"/>
    <w:rsid w:val="00941A02"/>
    <w:rsid w:val="00947957"/>
    <w:rsid w:val="00966C93"/>
    <w:rsid w:val="00987FA4"/>
    <w:rsid w:val="00992C70"/>
    <w:rsid w:val="009B5CC2"/>
    <w:rsid w:val="009D3D63"/>
    <w:rsid w:val="009E5FC8"/>
    <w:rsid w:val="00A117A3"/>
    <w:rsid w:val="00A138D0"/>
    <w:rsid w:val="00A141AF"/>
    <w:rsid w:val="00A2044F"/>
    <w:rsid w:val="00A4600A"/>
    <w:rsid w:val="00A479DC"/>
    <w:rsid w:val="00A57C04"/>
    <w:rsid w:val="00A61057"/>
    <w:rsid w:val="00A710E7"/>
    <w:rsid w:val="00A81026"/>
    <w:rsid w:val="00A97EC0"/>
    <w:rsid w:val="00AC66E6"/>
    <w:rsid w:val="00AF29AC"/>
    <w:rsid w:val="00B101E5"/>
    <w:rsid w:val="00B24E60"/>
    <w:rsid w:val="00B4303F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1922"/>
    <w:rsid w:val="00C0572C"/>
    <w:rsid w:val="00C20466"/>
    <w:rsid w:val="00C2049B"/>
    <w:rsid w:val="00C266F4"/>
    <w:rsid w:val="00C324A8"/>
    <w:rsid w:val="00C56E7A"/>
    <w:rsid w:val="00C6071D"/>
    <w:rsid w:val="00C779CE"/>
    <w:rsid w:val="00C916AF"/>
    <w:rsid w:val="00C9759A"/>
    <w:rsid w:val="00CC47C6"/>
    <w:rsid w:val="00CC4DE6"/>
    <w:rsid w:val="00CE5E47"/>
    <w:rsid w:val="00CF020F"/>
    <w:rsid w:val="00D5339F"/>
    <w:rsid w:val="00D53715"/>
    <w:rsid w:val="00D7331A"/>
    <w:rsid w:val="00DB747B"/>
    <w:rsid w:val="00DE2EBA"/>
    <w:rsid w:val="00E2253F"/>
    <w:rsid w:val="00E43E99"/>
    <w:rsid w:val="00E5155F"/>
    <w:rsid w:val="00E65919"/>
    <w:rsid w:val="00E65BBC"/>
    <w:rsid w:val="00E90F76"/>
    <w:rsid w:val="00E976C1"/>
    <w:rsid w:val="00EA0C0C"/>
    <w:rsid w:val="00EB66F7"/>
    <w:rsid w:val="00EF01AB"/>
    <w:rsid w:val="00EF43E7"/>
    <w:rsid w:val="00F1578A"/>
    <w:rsid w:val="00F21A03"/>
    <w:rsid w:val="00F33B22"/>
    <w:rsid w:val="00F65316"/>
    <w:rsid w:val="00F65C19"/>
    <w:rsid w:val="00F761D2"/>
    <w:rsid w:val="00F9087D"/>
    <w:rsid w:val="00F97203"/>
    <w:rsid w:val="00FA25B2"/>
    <w:rsid w:val="00FB67E5"/>
    <w:rsid w:val="00FC63FD"/>
    <w:rsid w:val="00FD18DB"/>
    <w:rsid w:val="00FD51E3"/>
    <w:rsid w:val="00FE344F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EC38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9-SG05-C-013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R23-WRC23-C-0044!A27-A12!MSW-R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63674-7B93-45F7-9457-2B114740C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2014E7-86B9-4A84-AA14-708C7AAA9B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3F71D4-29D2-4387-B7EE-8C4C88CE5F0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2107</Words>
  <Characters>14716</Characters>
  <Application>Microsoft Office Word</Application>
  <DocSecurity>0</DocSecurity>
  <Lines>122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R23-WRC23-C-0044!A27-A12!MSW-R</vt:lpstr>
      <vt:lpstr>R23-WRC23-C-0044!A27-A12!MSW-R</vt:lpstr>
    </vt:vector>
  </TitlesOfParts>
  <Manager>General Secretariat - Pool</Manager>
  <Company>International Telecommunication Union (ITU)</Company>
  <LinksUpToDate>false</LinksUpToDate>
  <CharactersWithSpaces>16790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R23-WRC23-C-0044!A27-A12!MSW-R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31</cp:revision>
  <cp:lastPrinted>2003-06-17T08:22:00Z</cp:lastPrinted>
  <dcterms:created xsi:type="dcterms:W3CDTF">2023-10-24T13:55:00Z</dcterms:created>
  <dcterms:modified xsi:type="dcterms:W3CDTF">2023-11-11T13:26:00Z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