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1D039B" w14:paraId="077F4C95" w14:textId="77777777" w:rsidTr="004C6D0B">
        <w:trPr>
          <w:cantSplit/>
        </w:trPr>
        <w:tc>
          <w:tcPr>
            <w:tcW w:w="1418" w:type="dxa"/>
            <w:vAlign w:val="center"/>
          </w:tcPr>
          <w:p w14:paraId="266DEC8F" w14:textId="77777777" w:rsidR="004C6D0B" w:rsidRPr="001D039B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1D039B">
              <w:drawing>
                <wp:inline distT="0" distB="0" distL="0" distR="0" wp14:anchorId="0A150839" wp14:editId="63E91BEA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6218FA1F" w14:textId="77777777" w:rsidR="004C6D0B" w:rsidRPr="001D039B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1D039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1D039B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73405EBC" w14:textId="77777777" w:rsidR="004C6D0B" w:rsidRPr="001D039B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1D039B">
              <w:drawing>
                <wp:inline distT="0" distB="0" distL="0" distR="0" wp14:anchorId="00E0DC78" wp14:editId="4D768FC1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1D039B" w14:paraId="6F111814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39A9B464" w14:textId="77777777" w:rsidR="005651C9" w:rsidRPr="001D039B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3E7A2603" w14:textId="77777777" w:rsidR="005651C9" w:rsidRPr="001D039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1D039B" w14:paraId="3B62CA9E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7DD5B30B" w14:textId="77777777" w:rsidR="005651C9" w:rsidRPr="001D039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0A42AFE6" w14:textId="77777777" w:rsidR="005651C9" w:rsidRPr="001D039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1D039B" w14:paraId="4E3DD3D2" w14:textId="77777777" w:rsidTr="001226EC">
        <w:trPr>
          <w:cantSplit/>
        </w:trPr>
        <w:tc>
          <w:tcPr>
            <w:tcW w:w="6771" w:type="dxa"/>
            <w:gridSpan w:val="2"/>
          </w:tcPr>
          <w:p w14:paraId="5803F4DA" w14:textId="77777777" w:rsidR="005651C9" w:rsidRPr="001D039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D039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2AD526CA" w14:textId="77777777" w:rsidR="005651C9" w:rsidRPr="001D039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D039B">
              <w:rPr>
                <w:rFonts w:ascii="Verdana" w:hAnsi="Verdana"/>
                <w:b/>
                <w:bCs/>
                <w:sz w:val="18"/>
                <w:szCs w:val="18"/>
              </w:rPr>
              <w:t>Документ 48</w:t>
            </w:r>
            <w:r w:rsidR="005651C9" w:rsidRPr="001D039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1D039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1D039B" w14:paraId="12A430FB" w14:textId="77777777" w:rsidTr="001226EC">
        <w:trPr>
          <w:cantSplit/>
        </w:trPr>
        <w:tc>
          <w:tcPr>
            <w:tcW w:w="6771" w:type="dxa"/>
            <w:gridSpan w:val="2"/>
          </w:tcPr>
          <w:p w14:paraId="34F40139" w14:textId="77777777" w:rsidR="000F33D8" w:rsidRPr="001D039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0FDFAAB2" w14:textId="77777777" w:rsidR="000F33D8" w:rsidRPr="001D039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D039B">
              <w:rPr>
                <w:rFonts w:ascii="Verdana" w:hAnsi="Verdana"/>
                <w:b/>
                <w:bCs/>
                <w:sz w:val="18"/>
                <w:szCs w:val="18"/>
              </w:rPr>
              <w:t>7 июля 2023 года</w:t>
            </w:r>
          </w:p>
        </w:tc>
      </w:tr>
      <w:tr w:rsidR="000F33D8" w:rsidRPr="001D039B" w14:paraId="4EC00E73" w14:textId="77777777" w:rsidTr="001226EC">
        <w:trPr>
          <w:cantSplit/>
        </w:trPr>
        <w:tc>
          <w:tcPr>
            <w:tcW w:w="6771" w:type="dxa"/>
            <w:gridSpan w:val="2"/>
          </w:tcPr>
          <w:p w14:paraId="3FF7B725" w14:textId="77777777" w:rsidR="000F33D8" w:rsidRPr="001D039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1D39D57E" w14:textId="77777777" w:rsidR="000F33D8" w:rsidRPr="001D039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D039B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1D039B" w14:paraId="7FF1BFCE" w14:textId="77777777" w:rsidTr="009546EA">
        <w:trPr>
          <w:cantSplit/>
        </w:trPr>
        <w:tc>
          <w:tcPr>
            <w:tcW w:w="10031" w:type="dxa"/>
            <w:gridSpan w:val="4"/>
          </w:tcPr>
          <w:p w14:paraId="38F73D26" w14:textId="77777777" w:rsidR="000F33D8" w:rsidRPr="001D039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1D039B" w14:paraId="6C0FD535" w14:textId="77777777">
        <w:trPr>
          <w:cantSplit/>
        </w:trPr>
        <w:tc>
          <w:tcPr>
            <w:tcW w:w="10031" w:type="dxa"/>
            <w:gridSpan w:val="4"/>
          </w:tcPr>
          <w:p w14:paraId="78583C57" w14:textId="77777777" w:rsidR="000F33D8" w:rsidRPr="001D039B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1D039B">
              <w:rPr>
                <w:szCs w:val="26"/>
              </w:rPr>
              <w:t>Черногория</w:t>
            </w:r>
          </w:p>
        </w:tc>
      </w:tr>
      <w:tr w:rsidR="000F33D8" w:rsidRPr="001D039B" w14:paraId="7D5DD038" w14:textId="77777777">
        <w:trPr>
          <w:cantSplit/>
        </w:trPr>
        <w:tc>
          <w:tcPr>
            <w:tcW w:w="10031" w:type="dxa"/>
            <w:gridSpan w:val="4"/>
          </w:tcPr>
          <w:p w14:paraId="367338FB" w14:textId="5E5DE22E" w:rsidR="000F33D8" w:rsidRPr="001D039B" w:rsidRDefault="00315EC0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1D039B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1D039B" w14:paraId="7E3424FB" w14:textId="77777777">
        <w:trPr>
          <w:cantSplit/>
        </w:trPr>
        <w:tc>
          <w:tcPr>
            <w:tcW w:w="10031" w:type="dxa"/>
            <w:gridSpan w:val="4"/>
          </w:tcPr>
          <w:p w14:paraId="5D6BA256" w14:textId="669B3177" w:rsidR="000F33D8" w:rsidRPr="001D039B" w:rsidRDefault="00EC4E1B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  <w:r w:rsidRPr="001D039B">
              <w:rPr>
                <w:szCs w:val="26"/>
              </w:rPr>
              <w:t>ВКЛЮЧЕНИЕ В ПЛАН ДЛЯ ФСС (ПРИЛОЖЕНИЕ 30B) НОВОГО ВЫДЕЛЕНИЯ ПОСЛЕ УСПЕШНОГО ЗАВЕРШЕНИЯ ПРОЦЕДУРЫ, ПРЕДУСМОТРЕННОЙ СТАТЬЕЙ 6 ПРИЛОЖЕНИЯ 30B, В ОТНОШЕНИИ ПРИСВОЕНИЙ, ВКЛЮЧЕННЫХ В СПИСОК, В СООТВЕТСТВИИ С § 6.35 СТАТЬИ 6 ПРИЛОЖЕНИЯ 30B</w:t>
            </w:r>
          </w:p>
          <w:p w14:paraId="1309E8C9" w14:textId="77777777" w:rsidR="00315EC0" w:rsidRPr="001D039B" w:rsidRDefault="00315EC0" w:rsidP="00315EC0"/>
        </w:tc>
      </w:tr>
      <w:tr w:rsidR="000F33D8" w:rsidRPr="001D039B" w14:paraId="7290066E" w14:textId="77777777">
        <w:trPr>
          <w:cantSplit/>
        </w:trPr>
        <w:tc>
          <w:tcPr>
            <w:tcW w:w="10031" w:type="dxa"/>
            <w:gridSpan w:val="4"/>
          </w:tcPr>
          <w:p w14:paraId="317BB9B4" w14:textId="77777777" w:rsidR="000F33D8" w:rsidRPr="001D039B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1D039B">
              <w:rPr>
                <w:lang w:val="ru-RU"/>
              </w:rPr>
              <w:t>Пункт 9.2 повестки дня</w:t>
            </w:r>
          </w:p>
        </w:tc>
      </w:tr>
    </w:tbl>
    <w:bookmarkEnd w:id="7"/>
    <w:p w14:paraId="1A539436" w14:textId="77777777" w:rsidR="00D84974" w:rsidRPr="001D039B" w:rsidRDefault="00E75F63" w:rsidP="0010047E">
      <w:r w:rsidRPr="001D039B">
        <w:t>9</w:t>
      </w:r>
      <w:r w:rsidRPr="001D039B">
        <w:tab/>
        <w:t>рассмотреть и утвердить Отчет Директора Бюро радиосвязи в соответствии со Статьей 7 Конвенции МСЭ;</w:t>
      </w:r>
    </w:p>
    <w:p w14:paraId="1369A4FA" w14:textId="77777777" w:rsidR="00074495" w:rsidRPr="001D039B" w:rsidRDefault="00E75F63" w:rsidP="00074495">
      <w:r w:rsidRPr="001D039B">
        <w:t>9.2</w:t>
      </w:r>
      <w:r w:rsidRPr="001D039B">
        <w:tab/>
        <w:t>о наличии любых трудностей или противоречий, встречающихся при применении Регламента радиосвязи</w:t>
      </w:r>
      <w:r w:rsidRPr="001D039B">
        <w:rPr>
          <w:rStyle w:val="FootnoteReference"/>
        </w:rPr>
        <w:footnoteReference w:customMarkFollows="1" w:id="1"/>
        <w:t>1</w:t>
      </w:r>
      <w:r w:rsidRPr="001D039B">
        <w:t>; а также</w:t>
      </w:r>
    </w:p>
    <w:p w14:paraId="567F8AFA" w14:textId="77777777" w:rsidR="00B34F9A" w:rsidRPr="001D039B" w:rsidRDefault="00B34F9A" w:rsidP="00B34F9A">
      <w:pPr>
        <w:pStyle w:val="Headingb"/>
        <w:rPr>
          <w:lang w:val="ru-RU"/>
        </w:rPr>
      </w:pPr>
      <w:r w:rsidRPr="001D039B">
        <w:rPr>
          <w:lang w:val="ru-RU"/>
        </w:rPr>
        <w:t>Введение</w:t>
      </w:r>
    </w:p>
    <w:p w14:paraId="76038337" w14:textId="51606F68" w:rsidR="00B34F9A" w:rsidRPr="001D039B" w:rsidRDefault="00EC4E1B" w:rsidP="00B34F9A">
      <w:r w:rsidRPr="001D039B">
        <w:t>Администрация Черногории</w:t>
      </w:r>
      <w:r w:rsidR="00807A1F" w:rsidRPr="001D039B">
        <w:t xml:space="preserve">, которая вступила в Союз как Государство – Член </w:t>
      </w:r>
      <w:r w:rsidRPr="001D039B">
        <w:t>21 июня 2006 года</w:t>
      </w:r>
      <w:r w:rsidR="00807A1F" w:rsidRPr="001D039B">
        <w:t xml:space="preserve"> и не имеет национального выделения в Плане или присвоения в Списке, являющегося результатом преобразования выделения, </w:t>
      </w:r>
      <w:r w:rsidRPr="001D039B">
        <w:t>выполнила соответствующую процедуру для включения новых присвоений в Список и получения справедливого доступа к орбите геостационарного спутника в полосах частот фиксированной спутниковой службы в соответствии с процедурой, предусмотренно</w:t>
      </w:r>
      <w:r w:rsidR="00E04B16" w:rsidRPr="001D039B">
        <w:t>й</w:t>
      </w:r>
      <w:r w:rsidRPr="001D039B">
        <w:t xml:space="preserve"> Статьей 6 Приложения </w:t>
      </w:r>
      <w:r w:rsidRPr="001D039B">
        <w:rPr>
          <w:b/>
          <w:bCs/>
        </w:rPr>
        <w:t>30B</w:t>
      </w:r>
      <w:r w:rsidRPr="001D039B">
        <w:t xml:space="preserve"> к Регламенту радиосвязи</w:t>
      </w:r>
      <w:r w:rsidR="00807A1F" w:rsidRPr="001D039B">
        <w:t>.</w:t>
      </w:r>
    </w:p>
    <w:p w14:paraId="74F3B6DB" w14:textId="61CC67F4" w:rsidR="00315EC0" w:rsidRPr="001D039B" w:rsidRDefault="00E04B16" w:rsidP="00315EC0">
      <w:r w:rsidRPr="001D039B">
        <w:t>Соответствующая</w:t>
      </w:r>
      <w:r w:rsidR="00EC4E1B" w:rsidRPr="001D039B">
        <w:t xml:space="preserve"> техническая информация </w:t>
      </w:r>
      <w:r w:rsidRPr="001D039B">
        <w:t>согласно</w:t>
      </w:r>
      <w:r w:rsidR="00EC4E1B" w:rsidRPr="001D039B">
        <w:t xml:space="preserve"> Статье 7 Приложения </w:t>
      </w:r>
      <w:r w:rsidR="00EC4E1B" w:rsidRPr="001D039B">
        <w:rPr>
          <w:b/>
          <w:bCs/>
        </w:rPr>
        <w:t>30B</w:t>
      </w:r>
      <w:r w:rsidRPr="001D039B">
        <w:rPr>
          <w:b/>
          <w:bCs/>
        </w:rPr>
        <w:t xml:space="preserve"> </w:t>
      </w:r>
      <w:r w:rsidRPr="001D039B">
        <w:t>была представлена настоящей Администрацией в Бюро</w:t>
      </w:r>
      <w:r w:rsidR="00EC4E1B" w:rsidRPr="001D039B">
        <w:t xml:space="preserve">, а затем рассмотрена в соответствии с §6.1 Статьи 6 Приложения </w:t>
      </w:r>
      <w:r w:rsidR="00EC4E1B" w:rsidRPr="001D039B">
        <w:rPr>
          <w:b/>
          <w:bCs/>
        </w:rPr>
        <w:t>30B</w:t>
      </w:r>
      <w:r w:rsidR="00EC4E1B" w:rsidRPr="001D039B">
        <w:t xml:space="preserve"> и опубликована в Специальной секции </w:t>
      </w:r>
      <w:proofErr w:type="spellStart"/>
      <w:r w:rsidR="00EC4E1B" w:rsidRPr="001D039B">
        <w:t>AP30B</w:t>
      </w:r>
      <w:proofErr w:type="spellEnd"/>
      <w:r w:rsidR="00EC4E1B" w:rsidRPr="001D039B">
        <w:t>/</w:t>
      </w:r>
      <w:proofErr w:type="spellStart"/>
      <w:r w:rsidR="00EC4E1B" w:rsidRPr="001D039B">
        <w:t>A6A</w:t>
      </w:r>
      <w:proofErr w:type="spellEnd"/>
      <w:r w:rsidR="00EC4E1B" w:rsidRPr="001D039B">
        <w:t>/243, прилагаемой к ИФИК БР № 2742 от 16</w:t>
      </w:r>
      <w:r w:rsidR="001D039B">
        <w:t> </w:t>
      </w:r>
      <w:r w:rsidR="00EC4E1B" w:rsidRPr="001D039B">
        <w:t>апреля 2013 г</w:t>
      </w:r>
      <w:r w:rsidR="001D039B">
        <w:t>ода</w:t>
      </w:r>
      <w:r w:rsidR="00315EC0" w:rsidRPr="001D039B">
        <w:t>.</w:t>
      </w:r>
    </w:p>
    <w:p w14:paraId="1C019DA9" w14:textId="4A2369ED" w:rsidR="00B34F9A" w:rsidRPr="001D039B" w:rsidRDefault="00B34F9A" w:rsidP="00B34F9A">
      <w:r w:rsidRPr="001D039B">
        <w:t xml:space="preserve">В результате успешного применения настоящей </w:t>
      </w:r>
      <w:r w:rsidR="00EC4E1B" w:rsidRPr="001D039B">
        <w:t>А</w:t>
      </w:r>
      <w:r w:rsidRPr="001D039B">
        <w:t>дминистрацией процедуры</w:t>
      </w:r>
      <w:r w:rsidR="00EC4E1B" w:rsidRPr="001D039B">
        <w:t xml:space="preserve">, предусмотренной Статьей 6, </w:t>
      </w:r>
      <w:r w:rsidRPr="001D039B">
        <w:t xml:space="preserve">частотные присвоения спутниковой сети </w:t>
      </w:r>
      <w:proofErr w:type="spellStart"/>
      <w:r w:rsidR="00315EC0" w:rsidRPr="001D039B">
        <w:rPr>
          <w:b/>
        </w:rPr>
        <w:t>MNE00000</w:t>
      </w:r>
      <w:proofErr w:type="spellEnd"/>
      <w:r w:rsidR="00315EC0" w:rsidRPr="001D039B">
        <w:rPr>
          <w:b/>
        </w:rPr>
        <w:t xml:space="preserve"> </w:t>
      </w:r>
      <w:r w:rsidRPr="001D039B">
        <w:t xml:space="preserve">были включены в Список присвоений </w:t>
      </w:r>
      <w:r w:rsidRPr="001D039B">
        <w:lastRenderedPageBreak/>
        <w:t>Приложени</w:t>
      </w:r>
      <w:r w:rsidR="00EC4E1B" w:rsidRPr="001D039B">
        <w:t>я</w:t>
      </w:r>
      <w:r w:rsidRPr="001D039B">
        <w:t> </w:t>
      </w:r>
      <w:r w:rsidRPr="001D039B">
        <w:rPr>
          <w:b/>
          <w:bCs/>
        </w:rPr>
        <w:t>30</w:t>
      </w:r>
      <w:r w:rsidR="00EC4E1B" w:rsidRPr="001D039B">
        <w:rPr>
          <w:b/>
          <w:bCs/>
        </w:rPr>
        <w:t>В</w:t>
      </w:r>
      <w:r w:rsidRPr="001D039B">
        <w:t>, что было подтверждено Бюро в Специальн</w:t>
      </w:r>
      <w:r w:rsidR="00315EC0" w:rsidRPr="001D039B">
        <w:t>ой</w:t>
      </w:r>
      <w:r w:rsidRPr="001D039B">
        <w:t xml:space="preserve"> секци</w:t>
      </w:r>
      <w:r w:rsidR="00315EC0" w:rsidRPr="001D039B">
        <w:t xml:space="preserve">и </w:t>
      </w:r>
      <w:proofErr w:type="spellStart"/>
      <w:r w:rsidR="00807A1F" w:rsidRPr="001D039B">
        <w:t>AP30B</w:t>
      </w:r>
      <w:proofErr w:type="spellEnd"/>
      <w:r w:rsidR="00807A1F" w:rsidRPr="001D039B">
        <w:t>/</w:t>
      </w:r>
      <w:proofErr w:type="spellStart"/>
      <w:r w:rsidR="00807A1F" w:rsidRPr="001D039B">
        <w:t>A6B</w:t>
      </w:r>
      <w:proofErr w:type="spellEnd"/>
      <w:r w:rsidR="00807A1F" w:rsidRPr="001D039B">
        <w:t>/167</w:t>
      </w:r>
      <w:r w:rsidRPr="001D039B">
        <w:t>, прилагае</w:t>
      </w:r>
      <w:r w:rsidR="00807A1F" w:rsidRPr="001D039B">
        <w:t>мой</w:t>
      </w:r>
      <w:r w:rsidRPr="001D039B">
        <w:t xml:space="preserve"> к ИФИК БР № 29</w:t>
      </w:r>
      <w:r w:rsidR="00807A1F" w:rsidRPr="001D039B">
        <w:t>62</w:t>
      </w:r>
      <w:r w:rsidRPr="001D039B">
        <w:t xml:space="preserve"> от </w:t>
      </w:r>
      <w:r w:rsidR="00807A1F" w:rsidRPr="001D039B">
        <w:t>11</w:t>
      </w:r>
      <w:r w:rsidRPr="001D039B">
        <w:t> </w:t>
      </w:r>
      <w:r w:rsidR="00807A1F" w:rsidRPr="001D039B">
        <w:t>января</w:t>
      </w:r>
      <w:r w:rsidRPr="001D039B">
        <w:t xml:space="preserve"> 202</w:t>
      </w:r>
      <w:r w:rsidR="00807A1F" w:rsidRPr="001D039B">
        <w:t>2</w:t>
      </w:r>
      <w:r w:rsidRPr="001D039B">
        <w:t> года</w:t>
      </w:r>
      <w:r w:rsidR="00807A1F" w:rsidRPr="001D039B">
        <w:t>.</w:t>
      </w:r>
    </w:p>
    <w:p w14:paraId="6FC28C4C" w14:textId="77777777" w:rsidR="00B34F9A" w:rsidRPr="001D039B" w:rsidRDefault="00B34F9A" w:rsidP="00B34F9A">
      <w:pPr>
        <w:pStyle w:val="Headingb"/>
        <w:rPr>
          <w:lang w:val="ru-RU"/>
        </w:rPr>
      </w:pPr>
      <w:r w:rsidRPr="001D039B">
        <w:rPr>
          <w:lang w:val="ru-RU"/>
        </w:rPr>
        <w:t>Предложение</w:t>
      </w:r>
    </w:p>
    <w:p w14:paraId="308A710A" w14:textId="77777777" w:rsidR="000848E3" w:rsidRPr="001D039B" w:rsidRDefault="00E75F63">
      <w:pPr>
        <w:pStyle w:val="Proposal"/>
      </w:pPr>
      <w:r w:rsidRPr="001D039B">
        <w:tab/>
      </w:r>
      <w:proofErr w:type="spellStart"/>
      <w:r w:rsidRPr="001D039B">
        <w:t>MNE</w:t>
      </w:r>
      <w:proofErr w:type="spellEnd"/>
      <w:r w:rsidRPr="001D039B">
        <w:t>/48/1</w:t>
      </w:r>
    </w:p>
    <w:p w14:paraId="3B25C15B" w14:textId="3B04E30C" w:rsidR="00B34F9A" w:rsidRPr="001D039B" w:rsidRDefault="00B34F9A" w:rsidP="00B34F9A">
      <w:r w:rsidRPr="001D039B">
        <w:t xml:space="preserve">В связи с успешным применением настоящей </w:t>
      </w:r>
      <w:r w:rsidR="00EC4E1B" w:rsidRPr="001D039B">
        <w:t>А</w:t>
      </w:r>
      <w:r w:rsidRPr="001D039B">
        <w:t xml:space="preserve">дминистрацией </w:t>
      </w:r>
      <w:r w:rsidR="00EC4E1B" w:rsidRPr="001D039B">
        <w:t xml:space="preserve">Статьи 6 Приложения </w:t>
      </w:r>
      <w:r w:rsidR="00EC4E1B" w:rsidRPr="001D039B">
        <w:rPr>
          <w:b/>
          <w:bCs/>
        </w:rPr>
        <w:t>30В</w:t>
      </w:r>
      <w:r w:rsidR="00EC4E1B" w:rsidRPr="001D039B">
        <w:t xml:space="preserve"> к Регламенту радиосвязи</w:t>
      </w:r>
      <w:r w:rsidRPr="001D039B">
        <w:t xml:space="preserve"> и включением в Список Приложени</w:t>
      </w:r>
      <w:r w:rsidR="00EC4E1B" w:rsidRPr="001D039B">
        <w:t>я</w:t>
      </w:r>
      <w:r w:rsidRPr="001D039B">
        <w:t> </w:t>
      </w:r>
      <w:r w:rsidRPr="001D039B">
        <w:rPr>
          <w:b/>
          <w:bCs/>
        </w:rPr>
        <w:t>30</w:t>
      </w:r>
      <w:r w:rsidR="00EC4E1B" w:rsidRPr="001D039B">
        <w:rPr>
          <w:b/>
          <w:bCs/>
        </w:rPr>
        <w:t>В</w:t>
      </w:r>
      <w:r w:rsidRPr="001D039B">
        <w:t xml:space="preserve"> частотных присвоений ее спутниковой сети </w:t>
      </w:r>
      <w:proofErr w:type="spellStart"/>
      <w:r w:rsidR="00807A1F" w:rsidRPr="001D039B">
        <w:rPr>
          <w:b/>
        </w:rPr>
        <w:t>MNE00000</w:t>
      </w:r>
      <w:proofErr w:type="spellEnd"/>
      <w:r w:rsidRPr="001D039B">
        <w:t xml:space="preserve">, опубликованных в </w:t>
      </w:r>
      <w:r w:rsidR="00807A1F" w:rsidRPr="001D039B">
        <w:t xml:space="preserve">Специальной секции </w:t>
      </w:r>
      <w:proofErr w:type="spellStart"/>
      <w:r w:rsidR="00807A1F" w:rsidRPr="001D039B">
        <w:t>AP30B</w:t>
      </w:r>
      <w:proofErr w:type="spellEnd"/>
      <w:r w:rsidR="00807A1F" w:rsidRPr="001D039B">
        <w:t>/</w:t>
      </w:r>
      <w:proofErr w:type="spellStart"/>
      <w:r w:rsidR="00807A1F" w:rsidRPr="001D039B">
        <w:t>A6B</w:t>
      </w:r>
      <w:proofErr w:type="spellEnd"/>
      <w:r w:rsidR="00807A1F" w:rsidRPr="001D039B">
        <w:t>/167, прилагаемой к ИФИК БР № 2962 от 11 января 2022 года</w:t>
      </w:r>
      <w:r w:rsidRPr="001D039B">
        <w:t xml:space="preserve">, настоящая </w:t>
      </w:r>
      <w:r w:rsidR="0067753D" w:rsidRPr="001D039B">
        <w:t>А</w:t>
      </w:r>
      <w:r w:rsidRPr="001D039B">
        <w:t xml:space="preserve">дминистрация просит ВКР-23 рассмотреть </w:t>
      </w:r>
      <w:r w:rsidR="0067753D" w:rsidRPr="001D039B">
        <w:t xml:space="preserve">наряду с </w:t>
      </w:r>
      <w:r w:rsidRPr="001D039B">
        <w:t>присвоени</w:t>
      </w:r>
      <w:r w:rsidR="0067753D" w:rsidRPr="001D039B">
        <w:t xml:space="preserve">ями, включенными в Список, вопрос о включении </w:t>
      </w:r>
      <w:r w:rsidR="00837312" w:rsidRPr="001D039B">
        <w:t xml:space="preserve">в План нового </w:t>
      </w:r>
      <w:r w:rsidR="006A012B" w:rsidRPr="001D039B">
        <w:t>выделения</w:t>
      </w:r>
      <w:r w:rsidR="00837312" w:rsidRPr="001D039B">
        <w:t xml:space="preserve"> Черногории</w:t>
      </w:r>
      <w:r w:rsidRPr="001D039B">
        <w:t xml:space="preserve"> в соответствии с § </w:t>
      </w:r>
      <w:r w:rsidR="00837312" w:rsidRPr="001D039B">
        <w:t>6</w:t>
      </w:r>
      <w:r w:rsidRPr="001D039B">
        <w:t>.</w:t>
      </w:r>
      <w:r w:rsidR="00837312" w:rsidRPr="001D039B">
        <w:t>35</w:t>
      </w:r>
      <w:r w:rsidRPr="001D039B">
        <w:t xml:space="preserve"> Статьи </w:t>
      </w:r>
      <w:r w:rsidR="00837312" w:rsidRPr="001D039B">
        <w:t xml:space="preserve">6 </w:t>
      </w:r>
      <w:r w:rsidRPr="001D039B">
        <w:t>Приложени</w:t>
      </w:r>
      <w:r w:rsidR="00837312" w:rsidRPr="001D039B">
        <w:t>я</w:t>
      </w:r>
      <w:r w:rsidRPr="001D039B">
        <w:t xml:space="preserve"> </w:t>
      </w:r>
      <w:r w:rsidRPr="001D039B">
        <w:rPr>
          <w:b/>
          <w:bCs/>
        </w:rPr>
        <w:t>30</w:t>
      </w:r>
      <w:r w:rsidR="00837312" w:rsidRPr="001D039B">
        <w:rPr>
          <w:b/>
          <w:bCs/>
        </w:rPr>
        <w:t>В</w:t>
      </w:r>
      <w:r w:rsidRPr="001D039B">
        <w:t>.</w:t>
      </w:r>
    </w:p>
    <w:p w14:paraId="32779268" w14:textId="5C484200" w:rsidR="00B34F9A" w:rsidRPr="001D039B" w:rsidRDefault="00B34F9A" w:rsidP="00B34F9A">
      <w:r w:rsidRPr="001D039B">
        <w:t xml:space="preserve">Убедительно просим ВКР-23 также утвердить </w:t>
      </w:r>
      <w:r w:rsidR="0067753D" w:rsidRPr="001D039B">
        <w:t>следующие записи в Таблицах Статьи 10 Приложения</w:t>
      </w:r>
      <w:r w:rsidR="001D039B">
        <w:t> </w:t>
      </w:r>
      <w:r w:rsidR="0067753D" w:rsidRPr="001D039B">
        <w:rPr>
          <w:b/>
          <w:bCs/>
        </w:rPr>
        <w:t>30В</w:t>
      </w:r>
      <w:r w:rsidRPr="001D039B">
        <w:t>.</w:t>
      </w:r>
    </w:p>
    <w:p w14:paraId="0B00FC04" w14:textId="77777777" w:rsidR="00807A1F" w:rsidRPr="001D039B" w:rsidRDefault="00807A1F" w:rsidP="00807A1F"/>
    <w:p w14:paraId="3FD0EE35" w14:textId="6AB86CDE" w:rsidR="00807A1F" w:rsidRPr="001D039B" w:rsidRDefault="00807A1F" w:rsidP="00807A1F">
      <w:pPr>
        <w:keepNext/>
        <w:keepLines/>
        <w:spacing w:before="0" w:after="120"/>
        <w:jc w:val="right"/>
        <w:textAlignment w:val="auto"/>
        <w:rPr>
          <w:rFonts w:eastAsia="SimSun"/>
          <w:b/>
          <w:sz w:val="20"/>
        </w:rPr>
      </w:pPr>
      <w:proofErr w:type="gramStart"/>
      <w:r w:rsidRPr="001D039B">
        <w:rPr>
          <w:rFonts w:eastAsia="SimSun"/>
          <w:b/>
          <w:sz w:val="20"/>
          <w:lang w:eastAsia="zh-CN"/>
        </w:rPr>
        <w:t>4500</w:t>
      </w:r>
      <w:r w:rsidR="001D039B">
        <w:rPr>
          <w:rFonts w:eastAsia="SimSun"/>
          <w:b/>
          <w:sz w:val="20"/>
          <w:lang w:eastAsia="zh-CN"/>
        </w:rPr>
        <w:t>−</w:t>
      </w:r>
      <w:r w:rsidRPr="001D039B">
        <w:rPr>
          <w:rFonts w:eastAsia="SimSun"/>
          <w:b/>
          <w:sz w:val="20"/>
          <w:lang w:eastAsia="zh-CN"/>
        </w:rPr>
        <w:t>4800</w:t>
      </w:r>
      <w:proofErr w:type="gramEnd"/>
      <w:r w:rsidRPr="001D039B">
        <w:rPr>
          <w:rFonts w:eastAsia="SimSun"/>
          <w:b/>
          <w:sz w:val="20"/>
          <w:lang w:eastAsia="zh-CN"/>
        </w:rPr>
        <w:t> МГц, 6725</w:t>
      </w:r>
      <w:r w:rsidR="001D039B">
        <w:rPr>
          <w:rFonts w:eastAsia="SimSun"/>
          <w:b/>
          <w:sz w:val="20"/>
          <w:lang w:eastAsia="zh-CN"/>
        </w:rPr>
        <w:t>−</w:t>
      </w:r>
      <w:r w:rsidRPr="001D039B">
        <w:rPr>
          <w:rFonts w:eastAsia="SimSun"/>
          <w:b/>
          <w:sz w:val="20"/>
          <w:lang w:eastAsia="zh-CN"/>
        </w:rPr>
        <w:t>7025 МГц</w:t>
      </w:r>
    </w:p>
    <w:tbl>
      <w:tblPr>
        <w:tblW w:w="9634" w:type="dxa"/>
        <w:jc w:val="center"/>
        <w:tblLook w:val="00A0" w:firstRow="1" w:lastRow="0" w:firstColumn="1" w:lastColumn="0" w:noHBand="0" w:noVBand="0"/>
      </w:tblPr>
      <w:tblGrid>
        <w:gridCol w:w="1243"/>
        <w:gridCol w:w="992"/>
        <w:gridCol w:w="851"/>
        <w:gridCol w:w="992"/>
        <w:gridCol w:w="851"/>
        <w:gridCol w:w="992"/>
        <w:gridCol w:w="850"/>
        <w:gridCol w:w="993"/>
        <w:gridCol w:w="1020"/>
        <w:gridCol w:w="850"/>
      </w:tblGrid>
      <w:tr w:rsidR="00807A1F" w:rsidRPr="001D039B" w14:paraId="0FD71DA9" w14:textId="77777777" w:rsidTr="003E12BE">
        <w:trPr>
          <w:trHeight w:val="300"/>
          <w:jc w:val="center"/>
        </w:trPr>
        <w:tc>
          <w:tcPr>
            <w:tcW w:w="124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noWrap/>
            <w:vAlign w:val="bottom"/>
            <w:hideMark/>
          </w:tcPr>
          <w:p w14:paraId="4D4F4F67" w14:textId="77777777" w:rsidR="00807A1F" w:rsidRPr="001D039B" w:rsidRDefault="00807A1F" w:rsidP="00A90F1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6" w:lineRule="auto"/>
              <w:jc w:val="center"/>
              <w:textAlignment w:val="auto"/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</w:pPr>
            <w:r w:rsidRPr="001D039B"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  <w:t>1</w:t>
            </w:r>
          </w:p>
        </w:tc>
        <w:tc>
          <w:tcPr>
            <w:tcW w:w="99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noWrap/>
            <w:vAlign w:val="bottom"/>
            <w:hideMark/>
          </w:tcPr>
          <w:p w14:paraId="76A60EB0" w14:textId="77777777" w:rsidR="00807A1F" w:rsidRPr="001D039B" w:rsidRDefault="00807A1F" w:rsidP="00A90F1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6" w:lineRule="auto"/>
              <w:jc w:val="center"/>
              <w:textAlignment w:val="auto"/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</w:pPr>
            <w:r w:rsidRPr="001D039B"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  <w:t>2</w:t>
            </w:r>
          </w:p>
        </w:tc>
        <w:tc>
          <w:tcPr>
            <w:tcW w:w="85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noWrap/>
            <w:vAlign w:val="bottom"/>
            <w:hideMark/>
          </w:tcPr>
          <w:p w14:paraId="5B8E61D5" w14:textId="77777777" w:rsidR="00807A1F" w:rsidRPr="001D039B" w:rsidRDefault="00807A1F" w:rsidP="00A90F1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6" w:lineRule="auto"/>
              <w:jc w:val="center"/>
              <w:textAlignment w:val="auto"/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</w:pPr>
            <w:r w:rsidRPr="001D039B"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  <w:t>3</w:t>
            </w:r>
          </w:p>
        </w:tc>
        <w:tc>
          <w:tcPr>
            <w:tcW w:w="99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noWrap/>
            <w:vAlign w:val="bottom"/>
            <w:hideMark/>
          </w:tcPr>
          <w:p w14:paraId="004C17CD" w14:textId="77777777" w:rsidR="00807A1F" w:rsidRPr="001D039B" w:rsidRDefault="00807A1F" w:rsidP="00A90F1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6" w:lineRule="auto"/>
              <w:jc w:val="center"/>
              <w:textAlignment w:val="auto"/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</w:pPr>
            <w:r w:rsidRPr="001D039B"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  <w:t>4</w:t>
            </w:r>
          </w:p>
        </w:tc>
        <w:tc>
          <w:tcPr>
            <w:tcW w:w="85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noWrap/>
            <w:vAlign w:val="bottom"/>
            <w:hideMark/>
          </w:tcPr>
          <w:p w14:paraId="0239CAC6" w14:textId="77777777" w:rsidR="00807A1F" w:rsidRPr="001D039B" w:rsidRDefault="00807A1F" w:rsidP="00A90F1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6" w:lineRule="auto"/>
              <w:jc w:val="center"/>
              <w:textAlignment w:val="auto"/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</w:pPr>
            <w:r w:rsidRPr="001D039B"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  <w:t>5</w:t>
            </w:r>
          </w:p>
        </w:tc>
        <w:tc>
          <w:tcPr>
            <w:tcW w:w="99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noWrap/>
            <w:vAlign w:val="bottom"/>
            <w:hideMark/>
          </w:tcPr>
          <w:p w14:paraId="7E24C35A" w14:textId="77777777" w:rsidR="00807A1F" w:rsidRPr="001D039B" w:rsidRDefault="00807A1F" w:rsidP="00A90F1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6" w:lineRule="auto"/>
              <w:jc w:val="center"/>
              <w:textAlignment w:val="auto"/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</w:pPr>
            <w:r w:rsidRPr="001D039B"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  <w:t>6</w:t>
            </w:r>
          </w:p>
        </w:tc>
        <w:tc>
          <w:tcPr>
            <w:tcW w:w="85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noWrap/>
            <w:vAlign w:val="bottom"/>
            <w:hideMark/>
          </w:tcPr>
          <w:p w14:paraId="63674F77" w14:textId="77777777" w:rsidR="00807A1F" w:rsidRPr="001D039B" w:rsidRDefault="00807A1F" w:rsidP="00A90F1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6" w:lineRule="auto"/>
              <w:jc w:val="center"/>
              <w:textAlignment w:val="auto"/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</w:pPr>
            <w:r w:rsidRPr="001D039B"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  <w:t>7</w:t>
            </w:r>
          </w:p>
        </w:tc>
        <w:tc>
          <w:tcPr>
            <w:tcW w:w="99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noWrap/>
            <w:vAlign w:val="bottom"/>
            <w:hideMark/>
          </w:tcPr>
          <w:p w14:paraId="0D6064EC" w14:textId="77777777" w:rsidR="00807A1F" w:rsidRPr="001D039B" w:rsidRDefault="00807A1F" w:rsidP="00A90F1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6" w:lineRule="auto"/>
              <w:jc w:val="center"/>
              <w:textAlignment w:val="auto"/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</w:pPr>
            <w:r w:rsidRPr="001D039B"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  <w:t>8</w:t>
            </w:r>
          </w:p>
        </w:tc>
        <w:tc>
          <w:tcPr>
            <w:tcW w:w="102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noWrap/>
            <w:vAlign w:val="bottom"/>
            <w:hideMark/>
          </w:tcPr>
          <w:p w14:paraId="460C594C" w14:textId="77777777" w:rsidR="00807A1F" w:rsidRPr="001D039B" w:rsidRDefault="00807A1F" w:rsidP="00A90F1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6" w:lineRule="auto"/>
              <w:jc w:val="center"/>
              <w:textAlignment w:val="auto"/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</w:pPr>
            <w:r w:rsidRPr="001D039B"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  <w:t>9</w:t>
            </w:r>
          </w:p>
        </w:tc>
        <w:tc>
          <w:tcPr>
            <w:tcW w:w="85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noWrap/>
            <w:vAlign w:val="bottom"/>
            <w:hideMark/>
          </w:tcPr>
          <w:p w14:paraId="62CA8EDA" w14:textId="77777777" w:rsidR="00807A1F" w:rsidRPr="001D039B" w:rsidRDefault="00807A1F" w:rsidP="00A90F1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6" w:lineRule="auto"/>
              <w:jc w:val="center"/>
              <w:textAlignment w:val="auto"/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</w:pPr>
            <w:r w:rsidRPr="001D039B"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  <w:t>10</w:t>
            </w:r>
          </w:p>
        </w:tc>
      </w:tr>
      <w:tr w:rsidR="00807A1F" w:rsidRPr="001D039B" w14:paraId="72D68C76" w14:textId="77777777" w:rsidTr="003E12BE">
        <w:trPr>
          <w:trHeight w:val="300"/>
          <w:jc w:val="center"/>
        </w:trPr>
        <w:tc>
          <w:tcPr>
            <w:tcW w:w="124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noWrap/>
            <w:vAlign w:val="bottom"/>
            <w:hideMark/>
          </w:tcPr>
          <w:p w14:paraId="4A99956A" w14:textId="77777777" w:rsidR="00807A1F" w:rsidRPr="001D039B" w:rsidRDefault="00807A1F" w:rsidP="00A90F1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6" w:lineRule="auto"/>
              <w:jc w:val="center"/>
              <w:textAlignment w:val="auto"/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</w:pPr>
            <w:proofErr w:type="spellStart"/>
            <w:r w:rsidRPr="001D039B"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  <w:t>MNE</w:t>
            </w:r>
            <w:proofErr w:type="spellEnd"/>
          </w:p>
        </w:tc>
        <w:tc>
          <w:tcPr>
            <w:tcW w:w="99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noWrap/>
            <w:vAlign w:val="bottom"/>
            <w:hideMark/>
          </w:tcPr>
          <w:p w14:paraId="0105E61E" w14:textId="4932250B" w:rsidR="00807A1F" w:rsidRPr="001D039B" w:rsidRDefault="003E12BE" w:rsidP="00A90F1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6" w:lineRule="auto"/>
              <w:jc w:val="center"/>
              <w:textAlignment w:val="auto"/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</w:pPr>
            <w:r w:rsidRPr="001D039B">
              <w:rPr>
                <w:rFonts w:eastAsia="SimSun"/>
                <w:b/>
                <w:sz w:val="20"/>
                <w:lang w:eastAsia="zh-CN"/>
              </w:rPr>
              <w:t>–</w:t>
            </w:r>
            <w:r w:rsidR="00807A1F" w:rsidRPr="001D039B"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  <w:t>36</w:t>
            </w:r>
            <w:r w:rsidRPr="001D039B"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  <w:t>,</w:t>
            </w:r>
            <w:r w:rsidR="00807A1F" w:rsidRPr="001D039B"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  <w:t>6</w:t>
            </w:r>
          </w:p>
        </w:tc>
        <w:tc>
          <w:tcPr>
            <w:tcW w:w="85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noWrap/>
            <w:vAlign w:val="bottom"/>
            <w:hideMark/>
          </w:tcPr>
          <w:p w14:paraId="5A59C1DF" w14:textId="30E69D4D" w:rsidR="00807A1F" w:rsidRPr="001D039B" w:rsidRDefault="00807A1F" w:rsidP="00A90F1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6" w:lineRule="auto"/>
              <w:jc w:val="center"/>
              <w:textAlignment w:val="auto"/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</w:pPr>
            <w:r w:rsidRPr="001D039B"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  <w:t>19</w:t>
            </w:r>
            <w:r w:rsidR="003E12BE" w:rsidRPr="001D039B"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  <w:t>,</w:t>
            </w:r>
            <w:r w:rsidRPr="001D039B"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  <w:t>22</w:t>
            </w:r>
          </w:p>
        </w:tc>
        <w:tc>
          <w:tcPr>
            <w:tcW w:w="99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noWrap/>
            <w:vAlign w:val="bottom"/>
            <w:hideMark/>
          </w:tcPr>
          <w:p w14:paraId="406F71F6" w14:textId="5983B274" w:rsidR="00807A1F" w:rsidRPr="001D039B" w:rsidRDefault="00807A1F" w:rsidP="00A90F1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6" w:lineRule="auto"/>
              <w:jc w:val="center"/>
              <w:textAlignment w:val="auto"/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</w:pPr>
            <w:r w:rsidRPr="001D039B"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  <w:t>42</w:t>
            </w:r>
            <w:r w:rsidR="003E12BE" w:rsidRPr="001D039B"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  <w:t>,</w:t>
            </w:r>
            <w:r w:rsidRPr="001D039B"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  <w:t>65</w:t>
            </w:r>
          </w:p>
        </w:tc>
        <w:tc>
          <w:tcPr>
            <w:tcW w:w="85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noWrap/>
            <w:vAlign w:val="bottom"/>
            <w:hideMark/>
          </w:tcPr>
          <w:p w14:paraId="0E73C988" w14:textId="4261C420" w:rsidR="00807A1F" w:rsidRPr="001D039B" w:rsidRDefault="00807A1F" w:rsidP="00A90F1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6" w:lineRule="auto"/>
              <w:jc w:val="center"/>
              <w:textAlignment w:val="auto"/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</w:pPr>
            <w:r w:rsidRPr="001D039B"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  <w:t>1</w:t>
            </w:r>
            <w:r w:rsidR="003E12BE" w:rsidRPr="001D039B"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  <w:t>,</w:t>
            </w:r>
            <w:r w:rsidRPr="001D039B"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  <w:t>6</w:t>
            </w:r>
          </w:p>
        </w:tc>
        <w:tc>
          <w:tcPr>
            <w:tcW w:w="99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noWrap/>
            <w:vAlign w:val="bottom"/>
            <w:hideMark/>
          </w:tcPr>
          <w:p w14:paraId="0B070DBF" w14:textId="14CD7AD0" w:rsidR="00807A1F" w:rsidRPr="001D039B" w:rsidRDefault="00807A1F" w:rsidP="00A90F1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6" w:lineRule="auto"/>
              <w:jc w:val="center"/>
              <w:textAlignment w:val="auto"/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</w:pPr>
            <w:r w:rsidRPr="001D039B"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  <w:t>1</w:t>
            </w:r>
            <w:r w:rsidR="003E12BE" w:rsidRPr="001D039B"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  <w:t>,</w:t>
            </w:r>
            <w:r w:rsidRPr="001D039B"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  <w:t>6</w:t>
            </w:r>
          </w:p>
        </w:tc>
        <w:tc>
          <w:tcPr>
            <w:tcW w:w="85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noWrap/>
            <w:vAlign w:val="bottom"/>
            <w:hideMark/>
          </w:tcPr>
          <w:p w14:paraId="28A719BA" w14:textId="77777777" w:rsidR="00807A1F" w:rsidRPr="001D039B" w:rsidRDefault="00807A1F" w:rsidP="00A90F1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6" w:lineRule="auto"/>
              <w:jc w:val="center"/>
              <w:textAlignment w:val="auto"/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</w:pPr>
            <w:r w:rsidRPr="001D039B"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  <w:t>0</w:t>
            </w:r>
          </w:p>
        </w:tc>
        <w:tc>
          <w:tcPr>
            <w:tcW w:w="99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noWrap/>
            <w:vAlign w:val="bottom"/>
            <w:hideMark/>
          </w:tcPr>
          <w:p w14:paraId="2D92B708" w14:textId="7EE4B15C" w:rsidR="00807A1F" w:rsidRPr="001D039B" w:rsidRDefault="003E12BE" w:rsidP="00A90F1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6" w:lineRule="auto"/>
              <w:jc w:val="center"/>
              <w:textAlignment w:val="auto"/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</w:pPr>
            <w:r w:rsidRPr="001D039B">
              <w:rPr>
                <w:rFonts w:eastAsia="SimSun"/>
                <w:b/>
                <w:sz w:val="20"/>
                <w:lang w:eastAsia="zh-CN"/>
              </w:rPr>
              <w:t>–</w:t>
            </w:r>
            <w:r w:rsidR="00807A1F" w:rsidRPr="001D039B"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  <w:t>9</w:t>
            </w:r>
            <w:r w:rsidRPr="001D039B"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  <w:t>,</w:t>
            </w:r>
            <w:r w:rsidR="00807A1F" w:rsidRPr="001D039B"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  <w:t>6</w:t>
            </w:r>
          </w:p>
        </w:tc>
        <w:tc>
          <w:tcPr>
            <w:tcW w:w="102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noWrap/>
            <w:vAlign w:val="bottom"/>
            <w:hideMark/>
          </w:tcPr>
          <w:p w14:paraId="70848C2A" w14:textId="4E917E29" w:rsidR="00807A1F" w:rsidRPr="001D039B" w:rsidRDefault="003E12BE" w:rsidP="00A90F1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6" w:lineRule="auto"/>
              <w:jc w:val="center"/>
              <w:textAlignment w:val="auto"/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</w:pPr>
            <w:r w:rsidRPr="001D039B">
              <w:rPr>
                <w:rFonts w:eastAsia="SimSun"/>
                <w:b/>
                <w:sz w:val="20"/>
                <w:lang w:eastAsia="zh-CN"/>
              </w:rPr>
              <w:t>–</w:t>
            </w:r>
            <w:r w:rsidR="00807A1F" w:rsidRPr="001D039B"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  <w:t>42</w:t>
            </w:r>
            <w:r w:rsidRPr="001D039B"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  <w:t>,</w:t>
            </w:r>
            <w:r w:rsidR="00807A1F" w:rsidRPr="001D039B"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  <w:t>3</w:t>
            </w:r>
          </w:p>
        </w:tc>
        <w:tc>
          <w:tcPr>
            <w:tcW w:w="85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noWrap/>
            <w:vAlign w:val="bottom"/>
          </w:tcPr>
          <w:p w14:paraId="2802146E" w14:textId="77777777" w:rsidR="00807A1F" w:rsidRPr="001D039B" w:rsidRDefault="00807A1F" w:rsidP="00A90F1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6" w:lineRule="auto"/>
              <w:jc w:val="center"/>
              <w:textAlignment w:val="auto"/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</w:pPr>
          </w:p>
        </w:tc>
      </w:tr>
    </w:tbl>
    <w:p w14:paraId="2BD7762B" w14:textId="77777777" w:rsidR="00807A1F" w:rsidRPr="001D039B" w:rsidRDefault="00807A1F" w:rsidP="00807A1F"/>
    <w:p w14:paraId="03DD074C" w14:textId="1359D4C3" w:rsidR="00807A1F" w:rsidRPr="001D039B" w:rsidRDefault="00807A1F" w:rsidP="00807A1F">
      <w:pPr>
        <w:keepNext/>
        <w:keepLines/>
        <w:spacing w:before="0" w:after="120"/>
        <w:jc w:val="right"/>
        <w:textAlignment w:val="auto"/>
        <w:rPr>
          <w:rFonts w:ascii="Calibri" w:eastAsia="SimSun" w:hAnsi="Calibri" w:cs="Calibri"/>
          <w:b/>
          <w:sz w:val="20"/>
          <w:lang w:eastAsia="zh-CN"/>
        </w:rPr>
      </w:pPr>
      <w:proofErr w:type="gramStart"/>
      <w:r w:rsidRPr="001D039B">
        <w:rPr>
          <w:rFonts w:eastAsia="SimSun"/>
          <w:b/>
          <w:sz w:val="20"/>
          <w:lang w:eastAsia="zh-CN"/>
        </w:rPr>
        <w:t>10,7</w:t>
      </w:r>
      <w:r w:rsidR="001D039B">
        <w:rPr>
          <w:rFonts w:eastAsia="SimSun"/>
          <w:b/>
          <w:sz w:val="20"/>
          <w:lang w:eastAsia="zh-CN"/>
        </w:rPr>
        <w:t>−</w:t>
      </w:r>
      <w:r w:rsidRPr="001D039B">
        <w:rPr>
          <w:rFonts w:eastAsia="SimSun"/>
          <w:b/>
          <w:sz w:val="20"/>
          <w:lang w:eastAsia="zh-CN"/>
        </w:rPr>
        <w:t>10,95</w:t>
      </w:r>
      <w:proofErr w:type="gramEnd"/>
      <w:r w:rsidRPr="001D039B">
        <w:rPr>
          <w:rFonts w:eastAsia="SimSun"/>
          <w:b/>
          <w:sz w:val="20"/>
          <w:lang w:eastAsia="zh-CN"/>
        </w:rPr>
        <w:t> МГц, 11,20</w:t>
      </w:r>
      <w:r w:rsidR="001D039B">
        <w:rPr>
          <w:rFonts w:eastAsia="SimSun"/>
          <w:b/>
          <w:sz w:val="20"/>
          <w:lang w:eastAsia="zh-CN"/>
        </w:rPr>
        <w:t>−</w:t>
      </w:r>
      <w:r w:rsidRPr="001D039B">
        <w:rPr>
          <w:rFonts w:eastAsia="SimSun"/>
          <w:b/>
          <w:sz w:val="20"/>
          <w:lang w:eastAsia="zh-CN"/>
        </w:rPr>
        <w:t>11,45 МГц, 12,75</w:t>
      </w:r>
      <w:r w:rsidR="001D039B">
        <w:rPr>
          <w:rFonts w:eastAsia="SimSun"/>
          <w:b/>
          <w:sz w:val="20"/>
          <w:lang w:eastAsia="zh-CN"/>
        </w:rPr>
        <w:t>−</w:t>
      </w:r>
      <w:r w:rsidRPr="001D039B">
        <w:rPr>
          <w:rFonts w:eastAsia="SimSun"/>
          <w:b/>
          <w:sz w:val="20"/>
          <w:lang w:eastAsia="zh-CN"/>
        </w:rPr>
        <w:t>13,25 МГц</w:t>
      </w:r>
    </w:p>
    <w:tbl>
      <w:tblPr>
        <w:tblW w:w="9634" w:type="dxa"/>
        <w:jc w:val="center"/>
        <w:tblLook w:val="00A0" w:firstRow="1" w:lastRow="0" w:firstColumn="1" w:lastColumn="0" w:noHBand="0" w:noVBand="0"/>
      </w:tblPr>
      <w:tblGrid>
        <w:gridCol w:w="1243"/>
        <w:gridCol w:w="980"/>
        <w:gridCol w:w="868"/>
        <w:gridCol w:w="966"/>
        <w:gridCol w:w="868"/>
        <w:gridCol w:w="993"/>
        <w:gridCol w:w="840"/>
        <w:gridCol w:w="994"/>
        <w:gridCol w:w="1032"/>
        <w:gridCol w:w="850"/>
      </w:tblGrid>
      <w:tr w:rsidR="00807A1F" w:rsidRPr="001D039B" w14:paraId="241BE08C" w14:textId="77777777" w:rsidTr="003E12BE">
        <w:trPr>
          <w:trHeight w:val="300"/>
          <w:jc w:val="center"/>
        </w:trPr>
        <w:tc>
          <w:tcPr>
            <w:tcW w:w="124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noWrap/>
            <w:vAlign w:val="bottom"/>
            <w:hideMark/>
          </w:tcPr>
          <w:p w14:paraId="516DA083" w14:textId="77777777" w:rsidR="00807A1F" w:rsidRPr="001D039B" w:rsidRDefault="00807A1F" w:rsidP="00A90F1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6" w:lineRule="auto"/>
              <w:jc w:val="center"/>
              <w:textAlignment w:val="auto"/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</w:pPr>
            <w:r w:rsidRPr="001D039B"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  <w:t>1</w:t>
            </w:r>
          </w:p>
        </w:tc>
        <w:tc>
          <w:tcPr>
            <w:tcW w:w="98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noWrap/>
            <w:vAlign w:val="bottom"/>
            <w:hideMark/>
          </w:tcPr>
          <w:p w14:paraId="75B39A60" w14:textId="77777777" w:rsidR="00807A1F" w:rsidRPr="001D039B" w:rsidRDefault="00807A1F" w:rsidP="00A90F1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6" w:lineRule="auto"/>
              <w:jc w:val="center"/>
              <w:textAlignment w:val="auto"/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</w:pPr>
            <w:r w:rsidRPr="001D039B"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  <w:t>2</w:t>
            </w:r>
          </w:p>
        </w:tc>
        <w:tc>
          <w:tcPr>
            <w:tcW w:w="86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noWrap/>
            <w:vAlign w:val="bottom"/>
            <w:hideMark/>
          </w:tcPr>
          <w:p w14:paraId="06365E72" w14:textId="77777777" w:rsidR="00807A1F" w:rsidRPr="001D039B" w:rsidRDefault="00807A1F" w:rsidP="00A90F1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6" w:lineRule="auto"/>
              <w:jc w:val="center"/>
              <w:textAlignment w:val="auto"/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</w:pPr>
            <w:r w:rsidRPr="001D039B"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  <w:t>3</w:t>
            </w:r>
          </w:p>
        </w:tc>
        <w:tc>
          <w:tcPr>
            <w:tcW w:w="96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noWrap/>
            <w:vAlign w:val="bottom"/>
            <w:hideMark/>
          </w:tcPr>
          <w:p w14:paraId="6ED201C5" w14:textId="77777777" w:rsidR="00807A1F" w:rsidRPr="001D039B" w:rsidRDefault="00807A1F" w:rsidP="00A90F1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6" w:lineRule="auto"/>
              <w:jc w:val="center"/>
              <w:textAlignment w:val="auto"/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</w:pPr>
            <w:r w:rsidRPr="001D039B"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  <w:t>4</w:t>
            </w:r>
          </w:p>
        </w:tc>
        <w:tc>
          <w:tcPr>
            <w:tcW w:w="86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noWrap/>
            <w:vAlign w:val="bottom"/>
            <w:hideMark/>
          </w:tcPr>
          <w:p w14:paraId="099AD1EA" w14:textId="77777777" w:rsidR="00807A1F" w:rsidRPr="001D039B" w:rsidRDefault="00807A1F" w:rsidP="00A90F1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6" w:lineRule="auto"/>
              <w:jc w:val="center"/>
              <w:textAlignment w:val="auto"/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</w:pPr>
            <w:r w:rsidRPr="001D039B"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  <w:t>5</w:t>
            </w:r>
          </w:p>
        </w:tc>
        <w:tc>
          <w:tcPr>
            <w:tcW w:w="99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noWrap/>
            <w:vAlign w:val="bottom"/>
            <w:hideMark/>
          </w:tcPr>
          <w:p w14:paraId="1373AE7D" w14:textId="77777777" w:rsidR="00807A1F" w:rsidRPr="001D039B" w:rsidRDefault="00807A1F" w:rsidP="00A90F1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6" w:lineRule="auto"/>
              <w:jc w:val="center"/>
              <w:textAlignment w:val="auto"/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</w:pPr>
            <w:r w:rsidRPr="001D039B"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  <w:t>6</w:t>
            </w:r>
          </w:p>
        </w:tc>
        <w:tc>
          <w:tcPr>
            <w:tcW w:w="8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noWrap/>
            <w:vAlign w:val="bottom"/>
            <w:hideMark/>
          </w:tcPr>
          <w:p w14:paraId="57F9B8E4" w14:textId="77777777" w:rsidR="00807A1F" w:rsidRPr="001D039B" w:rsidRDefault="00807A1F" w:rsidP="00A90F1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6" w:lineRule="auto"/>
              <w:jc w:val="center"/>
              <w:textAlignment w:val="auto"/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</w:pPr>
            <w:r w:rsidRPr="001D039B"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  <w:t>7</w:t>
            </w:r>
          </w:p>
        </w:tc>
        <w:tc>
          <w:tcPr>
            <w:tcW w:w="99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noWrap/>
            <w:vAlign w:val="bottom"/>
            <w:hideMark/>
          </w:tcPr>
          <w:p w14:paraId="2236E79C" w14:textId="77777777" w:rsidR="00807A1F" w:rsidRPr="001D039B" w:rsidRDefault="00807A1F" w:rsidP="00A90F1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6" w:lineRule="auto"/>
              <w:jc w:val="center"/>
              <w:textAlignment w:val="auto"/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</w:pPr>
            <w:r w:rsidRPr="001D039B"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  <w:t>8</w:t>
            </w:r>
          </w:p>
        </w:tc>
        <w:tc>
          <w:tcPr>
            <w:tcW w:w="103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noWrap/>
            <w:vAlign w:val="bottom"/>
            <w:hideMark/>
          </w:tcPr>
          <w:p w14:paraId="2F600AEA" w14:textId="77777777" w:rsidR="00807A1F" w:rsidRPr="001D039B" w:rsidRDefault="00807A1F" w:rsidP="00A90F1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6" w:lineRule="auto"/>
              <w:jc w:val="center"/>
              <w:textAlignment w:val="auto"/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</w:pPr>
            <w:r w:rsidRPr="001D039B"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  <w:t>9</w:t>
            </w:r>
          </w:p>
        </w:tc>
        <w:tc>
          <w:tcPr>
            <w:tcW w:w="85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noWrap/>
            <w:vAlign w:val="bottom"/>
            <w:hideMark/>
          </w:tcPr>
          <w:p w14:paraId="128F722D" w14:textId="77777777" w:rsidR="00807A1F" w:rsidRPr="001D039B" w:rsidRDefault="00807A1F" w:rsidP="00A90F1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6" w:lineRule="auto"/>
              <w:jc w:val="center"/>
              <w:textAlignment w:val="auto"/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</w:pPr>
            <w:r w:rsidRPr="001D039B"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  <w:t>10</w:t>
            </w:r>
          </w:p>
        </w:tc>
      </w:tr>
      <w:tr w:rsidR="00807A1F" w:rsidRPr="001D039B" w14:paraId="539E251D" w14:textId="77777777" w:rsidTr="003E12BE">
        <w:trPr>
          <w:trHeight w:val="300"/>
          <w:jc w:val="center"/>
        </w:trPr>
        <w:tc>
          <w:tcPr>
            <w:tcW w:w="124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noWrap/>
            <w:vAlign w:val="bottom"/>
            <w:hideMark/>
          </w:tcPr>
          <w:p w14:paraId="5C82172D" w14:textId="77777777" w:rsidR="00807A1F" w:rsidRPr="001D039B" w:rsidRDefault="00807A1F" w:rsidP="00A90F1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6" w:lineRule="auto"/>
              <w:jc w:val="center"/>
              <w:textAlignment w:val="auto"/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</w:pPr>
            <w:proofErr w:type="spellStart"/>
            <w:r w:rsidRPr="001D039B"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  <w:t>MNE</w:t>
            </w:r>
            <w:proofErr w:type="spellEnd"/>
          </w:p>
        </w:tc>
        <w:tc>
          <w:tcPr>
            <w:tcW w:w="98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noWrap/>
            <w:vAlign w:val="bottom"/>
            <w:hideMark/>
          </w:tcPr>
          <w:p w14:paraId="05BFFBA8" w14:textId="7BFF1BBF" w:rsidR="00807A1F" w:rsidRPr="001D039B" w:rsidRDefault="003E12BE" w:rsidP="00A90F1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6" w:lineRule="auto"/>
              <w:jc w:val="center"/>
              <w:textAlignment w:val="auto"/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</w:pPr>
            <w:r w:rsidRPr="001D039B">
              <w:rPr>
                <w:rFonts w:eastAsia="SimSun"/>
                <w:b/>
                <w:sz w:val="20"/>
                <w:lang w:eastAsia="zh-CN"/>
              </w:rPr>
              <w:t>–</w:t>
            </w:r>
            <w:r w:rsidR="00807A1F" w:rsidRPr="001D039B"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  <w:t>36</w:t>
            </w:r>
            <w:r w:rsidRPr="001D039B"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  <w:t>,</w:t>
            </w:r>
            <w:r w:rsidR="00807A1F" w:rsidRPr="001D039B"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  <w:t>6</w:t>
            </w:r>
          </w:p>
        </w:tc>
        <w:tc>
          <w:tcPr>
            <w:tcW w:w="86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noWrap/>
            <w:vAlign w:val="bottom"/>
            <w:hideMark/>
          </w:tcPr>
          <w:p w14:paraId="31261B7F" w14:textId="7C14DFAC" w:rsidR="00807A1F" w:rsidRPr="001D039B" w:rsidRDefault="00807A1F" w:rsidP="00A90F1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6" w:lineRule="auto"/>
              <w:jc w:val="center"/>
              <w:textAlignment w:val="auto"/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</w:pPr>
            <w:r w:rsidRPr="001D039B"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  <w:t>19</w:t>
            </w:r>
            <w:r w:rsidR="003E12BE" w:rsidRPr="001D039B"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  <w:t>,</w:t>
            </w:r>
            <w:r w:rsidRPr="001D039B"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  <w:t>22</w:t>
            </w:r>
          </w:p>
        </w:tc>
        <w:tc>
          <w:tcPr>
            <w:tcW w:w="96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noWrap/>
            <w:vAlign w:val="bottom"/>
            <w:hideMark/>
          </w:tcPr>
          <w:p w14:paraId="1DF9AB35" w14:textId="2F2F217E" w:rsidR="00807A1F" w:rsidRPr="001D039B" w:rsidRDefault="00807A1F" w:rsidP="00A90F1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6" w:lineRule="auto"/>
              <w:jc w:val="center"/>
              <w:textAlignment w:val="auto"/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</w:pPr>
            <w:r w:rsidRPr="001D039B"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  <w:t>42</w:t>
            </w:r>
            <w:r w:rsidR="003E12BE" w:rsidRPr="001D039B"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  <w:t>,</w:t>
            </w:r>
            <w:r w:rsidRPr="001D039B"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  <w:t>65</w:t>
            </w:r>
          </w:p>
        </w:tc>
        <w:tc>
          <w:tcPr>
            <w:tcW w:w="86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noWrap/>
            <w:vAlign w:val="bottom"/>
            <w:hideMark/>
          </w:tcPr>
          <w:p w14:paraId="0E29E274" w14:textId="1F7DEB39" w:rsidR="00807A1F" w:rsidRPr="001D039B" w:rsidRDefault="00807A1F" w:rsidP="00A90F1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6" w:lineRule="auto"/>
              <w:jc w:val="center"/>
              <w:textAlignment w:val="auto"/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</w:pPr>
            <w:r w:rsidRPr="001D039B"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  <w:t>0</w:t>
            </w:r>
            <w:r w:rsidR="003E12BE" w:rsidRPr="001D039B"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  <w:t>,</w:t>
            </w:r>
            <w:r w:rsidRPr="001D039B"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  <w:t>8</w:t>
            </w:r>
          </w:p>
        </w:tc>
        <w:tc>
          <w:tcPr>
            <w:tcW w:w="99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noWrap/>
            <w:vAlign w:val="bottom"/>
            <w:hideMark/>
          </w:tcPr>
          <w:p w14:paraId="77E13994" w14:textId="6983EA03" w:rsidR="00807A1F" w:rsidRPr="001D039B" w:rsidRDefault="00807A1F" w:rsidP="00A90F1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6" w:lineRule="auto"/>
              <w:jc w:val="center"/>
              <w:textAlignment w:val="auto"/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</w:pPr>
            <w:r w:rsidRPr="001D039B"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  <w:t>0</w:t>
            </w:r>
            <w:r w:rsidR="003E12BE" w:rsidRPr="001D039B"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  <w:t>,</w:t>
            </w:r>
            <w:r w:rsidRPr="001D039B"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  <w:t>8</w:t>
            </w:r>
          </w:p>
        </w:tc>
        <w:tc>
          <w:tcPr>
            <w:tcW w:w="8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noWrap/>
            <w:vAlign w:val="bottom"/>
            <w:hideMark/>
          </w:tcPr>
          <w:p w14:paraId="166AE0DF" w14:textId="77777777" w:rsidR="00807A1F" w:rsidRPr="001D039B" w:rsidRDefault="00807A1F" w:rsidP="00A90F1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6" w:lineRule="auto"/>
              <w:jc w:val="center"/>
              <w:textAlignment w:val="auto"/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</w:pPr>
            <w:r w:rsidRPr="001D039B"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  <w:t>0</w:t>
            </w:r>
          </w:p>
        </w:tc>
        <w:tc>
          <w:tcPr>
            <w:tcW w:w="99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noWrap/>
            <w:vAlign w:val="bottom"/>
            <w:hideMark/>
          </w:tcPr>
          <w:p w14:paraId="1D419977" w14:textId="391EE1DE" w:rsidR="00807A1F" w:rsidRPr="001D039B" w:rsidRDefault="003E12BE" w:rsidP="00A90F1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6" w:lineRule="auto"/>
              <w:jc w:val="center"/>
              <w:textAlignment w:val="auto"/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</w:pPr>
            <w:r w:rsidRPr="001D039B">
              <w:rPr>
                <w:rFonts w:eastAsia="SimSun"/>
                <w:b/>
                <w:sz w:val="20"/>
                <w:lang w:eastAsia="zh-CN"/>
              </w:rPr>
              <w:t>–</w:t>
            </w:r>
            <w:r w:rsidR="00807A1F" w:rsidRPr="001D039B"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  <w:t>10</w:t>
            </w:r>
            <w:r w:rsidRPr="001D039B"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  <w:t>,</w:t>
            </w:r>
            <w:r w:rsidR="00807A1F" w:rsidRPr="001D039B"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  <w:t>2</w:t>
            </w:r>
          </w:p>
        </w:tc>
        <w:tc>
          <w:tcPr>
            <w:tcW w:w="103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noWrap/>
            <w:vAlign w:val="bottom"/>
            <w:hideMark/>
          </w:tcPr>
          <w:p w14:paraId="78A92486" w14:textId="361B60D4" w:rsidR="00807A1F" w:rsidRPr="001D039B" w:rsidRDefault="003E12BE" w:rsidP="003E12B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6" w:lineRule="auto"/>
              <w:jc w:val="center"/>
              <w:textAlignment w:val="auto"/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</w:pPr>
            <w:r w:rsidRPr="001D039B">
              <w:rPr>
                <w:rFonts w:eastAsia="SimSun"/>
                <w:b/>
                <w:sz w:val="20"/>
                <w:lang w:eastAsia="zh-CN"/>
              </w:rPr>
              <w:t>–</w:t>
            </w:r>
            <w:r w:rsidR="00807A1F" w:rsidRPr="001D039B"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  <w:t>30</w:t>
            </w:r>
            <w:r w:rsidRPr="001D039B"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  <w:t>,</w:t>
            </w:r>
            <w:r w:rsidR="00807A1F" w:rsidRPr="001D039B"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  <w:t>8</w:t>
            </w:r>
          </w:p>
        </w:tc>
        <w:tc>
          <w:tcPr>
            <w:tcW w:w="85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noWrap/>
            <w:vAlign w:val="bottom"/>
          </w:tcPr>
          <w:p w14:paraId="0BEB0EA9" w14:textId="77777777" w:rsidR="00807A1F" w:rsidRPr="001D039B" w:rsidRDefault="00807A1F" w:rsidP="00A90F1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6" w:lineRule="auto"/>
              <w:jc w:val="center"/>
              <w:textAlignment w:val="auto"/>
              <w:rPr>
                <w:rFonts w:eastAsia="SimSun"/>
                <w:kern w:val="2"/>
                <w:sz w:val="20"/>
                <w:lang w:eastAsia="zh-CN"/>
                <w14:ligatures w14:val="standardContextual"/>
              </w:rPr>
            </w:pPr>
          </w:p>
        </w:tc>
      </w:tr>
    </w:tbl>
    <w:p w14:paraId="75029A74" w14:textId="77777777" w:rsidR="00807A1F" w:rsidRPr="001D039B" w:rsidRDefault="00807A1F" w:rsidP="00807A1F">
      <w:pPr>
        <w:pStyle w:val="Reasons"/>
        <w:rPr>
          <w:rFonts w:eastAsia="Calibri"/>
        </w:rPr>
      </w:pPr>
    </w:p>
    <w:p w14:paraId="3088C5B2" w14:textId="1BDEF0F1" w:rsidR="000848E3" w:rsidRPr="001D039B" w:rsidRDefault="00B34F9A" w:rsidP="001D039B">
      <w:pPr>
        <w:spacing w:before="480"/>
        <w:jc w:val="center"/>
      </w:pPr>
      <w:r w:rsidRPr="001D039B">
        <w:t>______________</w:t>
      </w:r>
    </w:p>
    <w:sectPr w:rsidR="000848E3" w:rsidRPr="001D039B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092B2" w14:textId="77777777" w:rsidR="00C927E3" w:rsidRDefault="00C927E3">
      <w:r>
        <w:separator/>
      </w:r>
    </w:p>
  </w:endnote>
  <w:endnote w:type="continuationSeparator" w:id="0">
    <w:p w14:paraId="4F50A1EE" w14:textId="77777777" w:rsidR="00C927E3" w:rsidRDefault="00C92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32959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0261660" w14:textId="76FB87A0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D039B">
      <w:rPr>
        <w:noProof/>
      </w:rPr>
      <w:t>14.07.23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746AD" w14:textId="3152D041" w:rsidR="00567276" w:rsidRPr="00B34F9A" w:rsidRDefault="00B34F9A" w:rsidP="00B34F9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P:\RUS\ITU-R\CONF-R\CMR23\000\048R.docx</w:t>
    </w:r>
    <w:r>
      <w:fldChar w:fldCharType="end"/>
    </w:r>
    <w:r>
      <w:t xml:space="preserve"> (525821)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5A8B1" w14:textId="071C09DD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34F9A">
      <w:rPr>
        <w:lang w:val="fr-FR"/>
      </w:rPr>
      <w:t>P:\RUS\ITU-R\CONF-R\CMR23\000\048R.docx</w:t>
    </w:r>
    <w:r>
      <w:fldChar w:fldCharType="end"/>
    </w:r>
    <w:r w:rsidR="00B34F9A">
      <w:t xml:space="preserve"> (525821)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01EB1" w14:textId="77777777" w:rsidR="00C927E3" w:rsidRDefault="00C927E3">
      <w:r>
        <w:rPr>
          <w:b/>
        </w:rPr>
        <w:t>_______________</w:t>
      </w:r>
    </w:p>
  </w:footnote>
  <w:footnote w:type="continuationSeparator" w:id="0">
    <w:p w14:paraId="744FD694" w14:textId="77777777" w:rsidR="00C927E3" w:rsidRDefault="00C927E3">
      <w:r>
        <w:continuationSeparator/>
      </w:r>
    </w:p>
  </w:footnote>
  <w:footnote w:id="1">
    <w:p w14:paraId="6934D3A1" w14:textId="77777777" w:rsidR="00085BF4" w:rsidRPr="00166363" w:rsidRDefault="00E75F63" w:rsidP="00085BF4">
      <w:pPr>
        <w:pStyle w:val="FootnoteText"/>
        <w:rPr>
          <w:lang w:val="ru-RU"/>
        </w:rPr>
      </w:pPr>
      <w:r w:rsidRPr="00FC6AEB">
        <w:rPr>
          <w:rStyle w:val="FootnoteReference"/>
          <w:lang w:val="ru-RU"/>
        </w:rPr>
        <w:t>1</w:t>
      </w:r>
      <w:r w:rsidRPr="00AA00CD">
        <w:rPr>
          <w:lang w:val="ru-RU"/>
        </w:rPr>
        <w:t xml:space="preserve"> </w:t>
      </w:r>
      <w:r>
        <w:rPr>
          <w:lang w:val="ru-RU"/>
        </w:rPr>
        <w:tab/>
        <w:t xml:space="preserve">Данный подпункт повестки дня строго ограничен Отчетом Директора о </w:t>
      </w:r>
      <w:r w:rsidRPr="00AC33AD">
        <w:rPr>
          <w:color w:val="000000"/>
          <w:lang w:val="ru-RU"/>
        </w:rPr>
        <w:t>наличии любых трудностей или противоречий, встречающихся при применении Регламента радиосвязи</w:t>
      </w:r>
      <w:r>
        <w:rPr>
          <w:color w:val="000000"/>
          <w:lang w:val="ru-RU"/>
        </w:rPr>
        <w:t>, и замечаниями администраций. Администрациям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предлагается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информировать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Директора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Бюро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радиосвязи</w:t>
      </w:r>
      <w:r w:rsidRPr="00166363">
        <w:rPr>
          <w:color w:val="000000"/>
          <w:lang w:val="ru-RU"/>
        </w:rPr>
        <w:t xml:space="preserve"> о наличии любых трудностей или противоречий, встречающихся при применении Регламента радиосвязи.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6D25D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3BA0FF2B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48-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762527843">
    <w:abstractNumId w:val="0"/>
  </w:num>
  <w:num w:numId="2" w16cid:durableId="186012302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848E3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039B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15EC0"/>
    <w:rsid w:val="003258F2"/>
    <w:rsid w:val="00344EB8"/>
    <w:rsid w:val="00346BEC"/>
    <w:rsid w:val="00371E4B"/>
    <w:rsid w:val="00373759"/>
    <w:rsid w:val="00377DFE"/>
    <w:rsid w:val="003C583C"/>
    <w:rsid w:val="003E12BE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21C8D"/>
    <w:rsid w:val="005305D5"/>
    <w:rsid w:val="00540D1E"/>
    <w:rsid w:val="005651C9"/>
    <w:rsid w:val="00567276"/>
    <w:rsid w:val="005755E2"/>
    <w:rsid w:val="00591A98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7753D"/>
    <w:rsid w:val="00692C06"/>
    <w:rsid w:val="006A012B"/>
    <w:rsid w:val="006A6E9B"/>
    <w:rsid w:val="00763F4F"/>
    <w:rsid w:val="00775720"/>
    <w:rsid w:val="007917AE"/>
    <w:rsid w:val="007A08B5"/>
    <w:rsid w:val="00807A1F"/>
    <w:rsid w:val="00811633"/>
    <w:rsid w:val="00812452"/>
    <w:rsid w:val="00815749"/>
    <w:rsid w:val="00837312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34F9A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927E3"/>
    <w:rsid w:val="00CC47C6"/>
    <w:rsid w:val="00CC4DE6"/>
    <w:rsid w:val="00CE5E47"/>
    <w:rsid w:val="00CF020F"/>
    <w:rsid w:val="00D53715"/>
    <w:rsid w:val="00D7331A"/>
    <w:rsid w:val="00DE2EBA"/>
    <w:rsid w:val="00E04B16"/>
    <w:rsid w:val="00E2253F"/>
    <w:rsid w:val="00E43E99"/>
    <w:rsid w:val="00E5155F"/>
    <w:rsid w:val="00E65919"/>
    <w:rsid w:val="00E75F63"/>
    <w:rsid w:val="00E976C1"/>
    <w:rsid w:val="00EA0C0C"/>
    <w:rsid w:val="00EB66F7"/>
    <w:rsid w:val="00EC4E1B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71FF37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4F9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Appel note de bas de p,Footnote Reference/,Footnote Reference/ + Text 1"/>
    <w:basedOn w:val="DefaultParagraphFont"/>
    <w:rsid w:val="00941A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qFormat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R23-WRC23-C-0048!!MSW-R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1A3C71-7334-46E3-8136-9121566A13C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26B326-FC7D-4F8A-8FBB-4C95CFC33D17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373</Words>
  <Characters>2270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R23-WRC23-C-0048!!MSW-R</vt:lpstr>
      <vt:lpstr>R23-WRC23-C-0048!!MSW-R</vt:lpstr>
    </vt:vector>
  </TitlesOfParts>
  <Manager>General Secretariat - Pool</Manager>
  <Company>International Telecommunication Union (ITU)</Company>
  <LinksUpToDate>false</LinksUpToDate>
  <CharactersWithSpaces>2638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R23-WRC23-C-0048!!MSW-R</dc:title>
  <dc:subject>World Radiocommunication Conference - 2019</dc:subject>
  <dc:creator>Documents Proposals Manager (DPM)</dc:creator>
  <cp:keywords>DPM_v2023.5.24.1_prod</cp:keywords>
  <dc:description/>
  <cp:lastModifiedBy>Antipina, Nadezda</cp:lastModifiedBy>
  <cp:revision>9</cp:revision>
  <cp:lastPrinted>2003-06-17T08:22:00Z</cp:lastPrinted>
  <dcterms:created xsi:type="dcterms:W3CDTF">2023-07-11T10:35:00Z</dcterms:created>
  <dcterms:modified xsi:type="dcterms:W3CDTF">2023-07-14T20:41:00Z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