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86"/>
        <w:gridCol w:w="1134"/>
        <w:gridCol w:w="2093"/>
      </w:tblGrid>
      <w:tr w:rsidR="00762BBC" w14:paraId="7F81094F" w14:textId="77777777" w:rsidTr="00762BBC">
        <w:trPr>
          <w:cantSplit/>
        </w:trPr>
        <w:tc>
          <w:tcPr>
            <w:tcW w:w="1418" w:type="dxa"/>
            <w:vAlign w:val="center"/>
          </w:tcPr>
          <w:p w14:paraId="131BF9BB" w14:textId="77777777" w:rsidR="00762BBC" w:rsidRPr="00DF23FC" w:rsidRDefault="00762BBC" w:rsidP="00762BBC">
            <w:pPr>
              <w:spacing w:before="0" w:after="100" w:afterAutospacing="1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ACB938" wp14:editId="3E4A71D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3348299D" w14:textId="77777777" w:rsidR="00762BBC" w:rsidRPr="00DF23FC" w:rsidRDefault="00762BBC" w:rsidP="00C97A8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97A8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Dubái, 20 de noviembre - 15 de diciembre de 2023</w:t>
            </w:r>
          </w:p>
        </w:tc>
        <w:tc>
          <w:tcPr>
            <w:tcW w:w="2093" w:type="dxa"/>
            <w:vAlign w:val="center"/>
          </w:tcPr>
          <w:p w14:paraId="72714C17" w14:textId="77777777" w:rsidR="00762BBC" w:rsidRDefault="00762BBC" w:rsidP="00762BBC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8FDE613" wp14:editId="4F703DBE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9538D2" w14:paraId="3A5B79C0" w14:textId="77777777" w:rsidTr="00A1779F">
        <w:trPr>
          <w:cantSplit/>
        </w:trPr>
        <w:tc>
          <w:tcPr>
            <w:tcW w:w="10031" w:type="dxa"/>
            <w:gridSpan w:val="4"/>
            <w:tcBorders>
              <w:bottom w:val="single" w:sz="12" w:space="0" w:color="auto"/>
            </w:tcBorders>
          </w:tcPr>
          <w:p w14:paraId="144F1EC0" w14:textId="77777777" w:rsidR="00C8286D" w:rsidRPr="009538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C324A8" w14:paraId="20B04F84" w14:textId="77777777" w:rsidTr="002F6AF6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625A97F6" w14:textId="77777777" w:rsidR="00C8286D" w:rsidRPr="00C324A8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488490B5" w14:textId="77777777" w:rsidR="00C8286D" w:rsidRPr="00C324A8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C324A8" w14:paraId="7FF22B95" w14:textId="77777777" w:rsidTr="002F6AF6">
        <w:trPr>
          <w:cantSplit/>
          <w:trHeight w:val="23"/>
        </w:trPr>
        <w:tc>
          <w:tcPr>
            <w:tcW w:w="6804" w:type="dxa"/>
            <w:gridSpan w:val="2"/>
            <w:vMerge w:val="restart"/>
          </w:tcPr>
          <w:p w14:paraId="26E733AD" w14:textId="6CDA110E" w:rsidR="00C8286D" w:rsidRPr="00436AAF" w:rsidRDefault="00436AAF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436AAF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227" w:type="dxa"/>
            <w:gridSpan w:val="2"/>
          </w:tcPr>
          <w:p w14:paraId="0EB63A95" w14:textId="29D2DFB0" w:rsidR="00C8286D" w:rsidRPr="00C8286D" w:rsidRDefault="00436AAF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Addéndum 24 al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C8286D">
              <w:rPr>
                <w:rFonts w:ascii="Verdana" w:hAnsi="Verdana"/>
                <w:b/>
                <w:sz w:val="20"/>
              </w:rPr>
              <w:t xml:space="preserve">Documento </w:t>
            </w:r>
            <w:r>
              <w:rPr>
                <w:rFonts w:ascii="Verdana" w:hAnsi="Verdana"/>
                <w:b/>
                <w:sz w:val="20"/>
              </w:rPr>
              <w:t>62</w:t>
            </w:r>
            <w:r w:rsidR="00C8286D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C324A8" w14:paraId="703AC408" w14:textId="77777777" w:rsidTr="002F6AF6">
        <w:trPr>
          <w:cantSplit/>
          <w:trHeight w:val="23"/>
        </w:trPr>
        <w:tc>
          <w:tcPr>
            <w:tcW w:w="6804" w:type="dxa"/>
            <w:gridSpan w:val="2"/>
            <w:vMerge/>
          </w:tcPr>
          <w:p w14:paraId="087F01F2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27" w:type="dxa"/>
            <w:gridSpan w:val="2"/>
          </w:tcPr>
          <w:p w14:paraId="0B7A5C7C" w14:textId="12FA7D12" w:rsidR="00C8286D" w:rsidRPr="00C8286D" w:rsidRDefault="00436AAF" w:rsidP="00C8286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26</w:t>
            </w:r>
            <w:r w:rsidR="00C8286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septiembre</w:t>
            </w:r>
            <w:r w:rsidR="00C8286D">
              <w:rPr>
                <w:rFonts w:ascii="Verdana" w:hAnsi="Verdana"/>
                <w:b/>
                <w:sz w:val="20"/>
              </w:rPr>
              <w:t xml:space="preserve"> de</w:t>
            </w:r>
            <w:r>
              <w:rPr>
                <w:rFonts w:ascii="Verdana" w:hAnsi="Verdana"/>
                <w:b/>
                <w:sz w:val="20"/>
              </w:rPr>
              <w:t> </w:t>
            </w:r>
            <w:r w:rsidR="00C8286D">
              <w:rPr>
                <w:rFonts w:ascii="Verdana" w:hAnsi="Verdana"/>
                <w:b/>
                <w:sz w:val="20"/>
              </w:rPr>
              <w:t>20</w:t>
            </w:r>
            <w:r w:rsidR="00C97A88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C8286D" w:rsidRPr="00C324A8" w14:paraId="21852C10" w14:textId="77777777" w:rsidTr="002F6AF6">
        <w:trPr>
          <w:cantSplit/>
          <w:trHeight w:val="23"/>
        </w:trPr>
        <w:tc>
          <w:tcPr>
            <w:tcW w:w="6804" w:type="dxa"/>
            <w:gridSpan w:val="2"/>
            <w:vMerge/>
          </w:tcPr>
          <w:p w14:paraId="197F4F95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227" w:type="dxa"/>
            <w:gridSpan w:val="2"/>
          </w:tcPr>
          <w:p w14:paraId="441CD787" w14:textId="77777777" w:rsidR="00C8286D" w:rsidRPr="00C8286D" w:rsidRDefault="00C8286D" w:rsidP="00C8286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436AAF" w14:paraId="2757E6E6" w14:textId="77777777" w:rsidTr="0050008E">
        <w:trPr>
          <w:cantSplit/>
        </w:trPr>
        <w:tc>
          <w:tcPr>
            <w:tcW w:w="10031" w:type="dxa"/>
            <w:gridSpan w:val="4"/>
          </w:tcPr>
          <w:p w14:paraId="0CF8295F" w14:textId="06F3FAEB" w:rsidR="00436AAF" w:rsidRDefault="00436AAF" w:rsidP="00436AAF">
            <w:pPr>
              <w:pStyle w:val="Source"/>
            </w:pPr>
            <w:bookmarkStart w:id="6" w:name="dsource" w:colFirst="0" w:colLast="0"/>
            <w:bookmarkEnd w:id="5"/>
            <w:r w:rsidRPr="009F4546">
              <w:t>Propuestas Comunes de la Telecomunidad Asia-Pacífico</w:t>
            </w:r>
          </w:p>
        </w:tc>
      </w:tr>
      <w:tr w:rsidR="00436AAF" w14:paraId="5F896C63" w14:textId="77777777" w:rsidTr="0050008E">
        <w:trPr>
          <w:cantSplit/>
        </w:trPr>
        <w:tc>
          <w:tcPr>
            <w:tcW w:w="10031" w:type="dxa"/>
            <w:gridSpan w:val="4"/>
          </w:tcPr>
          <w:p w14:paraId="7241C0AC" w14:textId="2ACC62B0" w:rsidR="00436AAF" w:rsidRDefault="00436AAF" w:rsidP="00436AAF">
            <w:pPr>
              <w:pStyle w:val="Title1"/>
            </w:pPr>
            <w:bookmarkStart w:id="7" w:name="dtitle1" w:colFirst="0" w:colLast="0"/>
            <w:bookmarkEnd w:id="6"/>
            <w:r w:rsidRPr="009F4546">
              <w:t>PROPuestas para los trabajos de la conferencia</w:t>
            </w:r>
          </w:p>
        </w:tc>
      </w:tr>
      <w:tr w:rsidR="00436AAF" w14:paraId="1C040D71" w14:textId="77777777" w:rsidTr="0050008E">
        <w:trPr>
          <w:cantSplit/>
        </w:trPr>
        <w:tc>
          <w:tcPr>
            <w:tcW w:w="10031" w:type="dxa"/>
            <w:gridSpan w:val="4"/>
          </w:tcPr>
          <w:p w14:paraId="360FED01" w14:textId="77777777" w:rsidR="00436AAF" w:rsidRDefault="00436AAF" w:rsidP="00436AAF">
            <w:pPr>
              <w:pStyle w:val="Title2"/>
            </w:pPr>
            <w:bookmarkStart w:id="8" w:name="dtitle2" w:colFirst="0" w:colLast="0"/>
            <w:bookmarkEnd w:id="7"/>
          </w:p>
        </w:tc>
      </w:tr>
      <w:tr w:rsidR="00436AAF" w14:paraId="0C44C9DF" w14:textId="77777777" w:rsidTr="0050008E">
        <w:trPr>
          <w:cantSplit/>
        </w:trPr>
        <w:tc>
          <w:tcPr>
            <w:tcW w:w="10031" w:type="dxa"/>
            <w:gridSpan w:val="4"/>
          </w:tcPr>
          <w:p w14:paraId="628465DD" w14:textId="743A940E" w:rsidR="00436AAF" w:rsidRDefault="00436AAF" w:rsidP="00436AAF">
            <w:pPr>
              <w:pStyle w:val="Title3"/>
            </w:pPr>
            <w:bookmarkStart w:id="9" w:name="dtitle3" w:colFirst="0" w:colLast="0"/>
            <w:bookmarkEnd w:id="8"/>
            <w:r w:rsidRPr="009F4546">
              <w:t>Punto 9.1 del orden del día</w:t>
            </w:r>
          </w:p>
        </w:tc>
      </w:tr>
    </w:tbl>
    <w:bookmarkEnd w:id="9"/>
    <w:p w14:paraId="460129C8" w14:textId="6B51D258" w:rsidR="006775FB" w:rsidRDefault="00436AAF" w:rsidP="00436AAF">
      <w:pPr>
        <w:pStyle w:val="Normalaftertitle"/>
      </w:pPr>
      <w:r w:rsidRPr="00436AAF">
        <w:t>9</w:t>
      </w:r>
      <w:r w:rsidRPr="00436AAF">
        <w:tab/>
        <w:t>examinar y aprobar el Informe del Director de la Oficina de Radiocomunicaciones, de conformidad con el Artículo 7 del Convenio de la UIT;</w:t>
      </w:r>
    </w:p>
    <w:p w14:paraId="3CC8BE93" w14:textId="77777777" w:rsidR="00436AAF" w:rsidRPr="009F4546" w:rsidRDefault="00436AAF" w:rsidP="00436AAF">
      <w:r w:rsidRPr="009F4546">
        <w:t>9.1</w:t>
      </w:r>
      <w:r w:rsidRPr="009F4546">
        <w:tab/>
      </w:r>
      <w:r w:rsidRPr="009F4546">
        <w:rPr>
          <w:szCs w:val="24"/>
        </w:rPr>
        <w:t>sobre las actividades del Sector de Radiocomunicaciones desde la CMR</w:t>
      </w:r>
      <w:r w:rsidRPr="009F4546">
        <w:rPr>
          <w:szCs w:val="24"/>
        </w:rPr>
        <w:noBreakHyphen/>
        <w:t>19</w:t>
      </w:r>
      <w:r w:rsidRPr="009F4546">
        <w:t>:</w:t>
      </w:r>
    </w:p>
    <w:p w14:paraId="2C104AC7" w14:textId="77777777" w:rsidR="00436AAF" w:rsidRPr="009F4546" w:rsidRDefault="00436AAF" w:rsidP="00436AAF">
      <w:pPr>
        <w:pStyle w:val="Headingb"/>
      </w:pPr>
      <w:r w:rsidRPr="009F4546">
        <w:t>Introducción</w:t>
      </w:r>
    </w:p>
    <w:p w14:paraId="08118751" w14:textId="77777777" w:rsidR="00436AAF" w:rsidRPr="009F4546" w:rsidRDefault="00436AAF" w:rsidP="00436AAF">
      <w:pPr>
        <w:spacing w:after="240"/>
      </w:pPr>
      <w:r w:rsidRPr="009F4546">
        <w:t>Las Propuestas Comunes de la APT (ACP) sobre el punto 9.1 del orden del día de la CMR-23 se presentan en addenda al presente documento conforme al cuadro siguiente:</w:t>
      </w:r>
    </w:p>
    <w:tbl>
      <w:tblPr>
        <w:tblStyle w:val="TableGrid"/>
        <w:tblW w:w="8817" w:type="dxa"/>
        <w:tblInd w:w="355" w:type="dxa"/>
        <w:tblLook w:val="04A0" w:firstRow="1" w:lastRow="0" w:firstColumn="1" w:lastColumn="0" w:noHBand="0" w:noVBand="1"/>
      </w:tblPr>
      <w:tblGrid>
        <w:gridCol w:w="5130"/>
        <w:gridCol w:w="3687"/>
      </w:tblGrid>
      <w:tr w:rsidR="00436AAF" w:rsidRPr="009F4546" w14:paraId="47750FD0" w14:textId="77777777" w:rsidTr="00C97AD9">
        <w:trPr>
          <w:tblHeader/>
        </w:trPr>
        <w:tc>
          <w:tcPr>
            <w:tcW w:w="51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0EBCB" w14:textId="77777777" w:rsidR="00436AAF" w:rsidRPr="009F4546" w:rsidRDefault="00436AAF" w:rsidP="00C97AD9">
            <w:pPr>
              <w:pStyle w:val="Tablehead"/>
            </w:pPr>
            <w:r w:rsidRPr="009F4546">
              <w:t>Tema/cuestión del punto 9.1 del orden del día</w:t>
            </w:r>
          </w:p>
        </w:tc>
        <w:tc>
          <w:tcPr>
            <w:tcW w:w="36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29B85" w14:textId="77777777" w:rsidR="00436AAF" w:rsidRPr="009F4546" w:rsidRDefault="00436AAF" w:rsidP="00C97AD9">
            <w:pPr>
              <w:pStyle w:val="Tablehead"/>
            </w:pPr>
            <w:r w:rsidRPr="009F4546">
              <w:t>Addéndum</w:t>
            </w:r>
          </w:p>
        </w:tc>
      </w:tr>
      <w:tr w:rsidR="00436AAF" w:rsidRPr="009F4546" w14:paraId="684F3B95" w14:textId="77777777" w:rsidTr="002F6AF6">
        <w:tc>
          <w:tcPr>
            <w:tcW w:w="5130" w:type="dxa"/>
          </w:tcPr>
          <w:p w14:paraId="70EC77E0" w14:textId="77777777" w:rsidR="00436AAF" w:rsidRPr="009F4546" w:rsidRDefault="00436AAF" w:rsidP="00C97AD9">
            <w:pPr>
              <w:pStyle w:val="Tabletext"/>
              <w:tabs>
                <w:tab w:val="clear" w:pos="567"/>
                <w:tab w:val="left" w:pos="665"/>
              </w:tabs>
            </w:pPr>
            <w:r w:rsidRPr="009F4546">
              <w:rPr>
                <w:b/>
                <w:bCs/>
              </w:rPr>
              <w:t>(9.1-a)</w:t>
            </w:r>
            <w:r w:rsidRPr="009F4546">
              <w:tab/>
              <w:t>examinar, de conformidad con la Resolución </w:t>
            </w:r>
            <w:r w:rsidRPr="009F4546">
              <w:rPr>
                <w:b/>
                <w:bCs/>
              </w:rPr>
              <w:t>657 (Rev.CMR-19)</w:t>
            </w:r>
            <w:r w:rsidRPr="009F4546">
              <w:t>, los resultados de los estudios relativos a las características técnicas y operativas, las necesidades de espectro y las adecuadas designaciones de servicio radioeléctrico para los sensores meteorológicos espaciales, con el fin de proporcionar el reconocimiento y protección adecuados en el Reglamento de Radiocomunicaciones, sin imponer restricciones adicionales a los servicios existentes;</w:t>
            </w:r>
          </w:p>
        </w:tc>
        <w:tc>
          <w:tcPr>
            <w:tcW w:w="3687" w:type="dxa"/>
            <w:tcMar>
              <w:left w:w="0" w:type="dxa"/>
              <w:right w:w="0" w:type="dxa"/>
            </w:tcMar>
          </w:tcPr>
          <w:p w14:paraId="3ABFB9FF" w14:textId="77777777" w:rsidR="00436AAF" w:rsidRPr="009F4546" w:rsidRDefault="00436AAF" w:rsidP="00C97AD9">
            <w:pPr>
              <w:pStyle w:val="Tabletext"/>
            </w:pPr>
            <w:r w:rsidRPr="009F4546">
              <w:t>Addéndum 1 (Add.24)</w:t>
            </w:r>
          </w:p>
        </w:tc>
      </w:tr>
      <w:tr w:rsidR="00436AAF" w:rsidRPr="009F4546" w14:paraId="16358C38" w14:textId="77777777" w:rsidTr="002F6AF6">
        <w:tc>
          <w:tcPr>
            <w:tcW w:w="5130" w:type="dxa"/>
          </w:tcPr>
          <w:p w14:paraId="42ADBC10" w14:textId="77777777" w:rsidR="00436AAF" w:rsidRPr="009F4546" w:rsidRDefault="00436AAF" w:rsidP="00C97AD9">
            <w:pPr>
              <w:pStyle w:val="Tabletext"/>
              <w:tabs>
                <w:tab w:val="clear" w:pos="567"/>
                <w:tab w:val="left" w:pos="665"/>
              </w:tabs>
            </w:pPr>
            <w:r w:rsidRPr="009F4546">
              <w:rPr>
                <w:b/>
                <w:bCs/>
              </w:rPr>
              <w:t>(9.1-b)</w:t>
            </w:r>
            <w:r w:rsidRPr="009F4546">
              <w:tab/>
            </w:r>
            <w:r w:rsidRPr="009F4546">
              <w:rPr>
                <w:color w:val="000000"/>
              </w:rPr>
              <w:t>revisar las atribuciones al servicio de aficionados y al servicio de aficionados por satélite en la banda de frecuencias 1 240</w:t>
            </w:r>
            <w:r w:rsidRPr="009F4546">
              <w:rPr>
                <w:color w:val="000000"/>
              </w:rPr>
              <w:noBreakHyphen/>
              <w:t xml:space="preserve">1 300 MHz con el fin de determinar si son necesarias medidas adicionales para garantizar la protección del servicio de radionavegación por satélite (espacio-Tierra) que funciona en la misma banda, de conformidad con la Resolución </w:t>
            </w:r>
            <w:r w:rsidRPr="009F4546">
              <w:rPr>
                <w:b/>
                <w:color w:val="000000"/>
              </w:rPr>
              <w:t>774 (CMR-19)</w:t>
            </w:r>
            <w:r w:rsidRPr="009F4546">
              <w:t>;</w:t>
            </w:r>
          </w:p>
        </w:tc>
        <w:tc>
          <w:tcPr>
            <w:tcW w:w="3687" w:type="dxa"/>
            <w:tcMar>
              <w:left w:w="0" w:type="dxa"/>
              <w:right w:w="0" w:type="dxa"/>
            </w:tcMar>
          </w:tcPr>
          <w:p w14:paraId="1E149219" w14:textId="77777777" w:rsidR="00436AAF" w:rsidRPr="009F4546" w:rsidRDefault="00436AAF" w:rsidP="00C97AD9">
            <w:pPr>
              <w:pStyle w:val="Tabletext"/>
            </w:pPr>
            <w:r w:rsidRPr="009F4546">
              <w:t>Addéndum 2 (Add.24)</w:t>
            </w:r>
          </w:p>
        </w:tc>
      </w:tr>
      <w:tr w:rsidR="00436AAF" w:rsidRPr="009F4546" w14:paraId="1DB2DCC6" w14:textId="77777777" w:rsidTr="002F6AF6">
        <w:tc>
          <w:tcPr>
            <w:tcW w:w="5130" w:type="dxa"/>
          </w:tcPr>
          <w:p w14:paraId="1F511098" w14:textId="77777777" w:rsidR="00436AAF" w:rsidRPr="009F4546" w:rsidRDefault="00436AAF" w:rsidP="00C97AD9">
            <w:pPr>
              <w:pStyle w:val="Tabletext"/>
              <w:tabs>
                <w:tab w:val="clear" w:pos="567"/>
                <w:tab w:val="left" w:pos="665"/>
              </w:tabs>
            </w:pPr>
            <w:r w:rsidRPr="009F4546">
              <w:rPr>
                <w:b/>
                <w:bCs/>
              </w:rPr>
              <w:t>(9.1-c)</w:t>
            </w:r>
            <w:r w:rsidRPr="009F4546">
              <w:tab/>
            </w:r>
            <w:r w:rsidRPr="009F4546">
              <w:rPr>
                <w:bCs/>
                <w:color w:val="000000"/>
              </w:rPr>
              <w:t xml:space="preserve">estudiar la utilización de los sistemas de telecomunicaciones móviles internacionales para la banda ancha inalámbrica fija en las bandas de frecuencias atribuidas al servicio fijo a título primario, de conformidad con la Resolución </w:t>
            </w:r>
            <w:r w:rsidRPr="009F4546">
              <w:rPr>
                <w:b/>
                <w:bCs/>
                <w:color w:val="000000"/>
              </w:rPr>
              <w:t>175 (CMR-19)</w:t>
            </w:r>
            <w:r w:rsidRPr="009F4546">
              <w:t>;</w:t>
            </w:r>
          </w:p>
        </w:tc>
        <w:tc>
          <w:tcPr>
            <w:tcW w:w="3687" w:type="dxa"/>
            <w:tcMar>
              <w:left w:w="0" w:type="dxa"/>
              <w:right w:w="0" w:type="dxa"/>
            </w:tcMar>
          </w:tcPr>
          <w:p w14:paraId="03F65F4E" w14:textId="77777777" w:rsidR="00436AAF" w:rsidRPr="009F4546" w:rsidRDefault="00436AAF" w:rsidP="00C97AD9">
            <w:pPr>
              <w:pStyle w:val="Tabletext"/>
            </w:pPr>
            <w:r w:rsidRPr="009F4546">
              <w:t>Addéndum 3 (Add.24)</w:t>
            </w:r>
          </w:p>
        </w:tc>
      </w:tr>
      <w:tr w:rsidR="00436AAF" w:rsidRPr="009F4546" w14:paraId="727C4290" w14:textId="77777777" w:rsidTr="002F6AF6">
        <w:tc>
          <w:tcPr>
            <w:tcW w:w="5130" w:type="dxa"/>
          </w:tcPr>
          <w:p w14:paraId="71CC5C90" w14:textId="77777777" w:rsidR="00436AAF" w:rsidRPr="009F4546" w:rsidRDefault="00436AAF" w:rsidP="00C97AD9">
            <w:pPr>
              <w:pStyle w:val="Tabletext"/>
              <w:tabs>
                <w:tab w:val="clear" w:pos="567"/>
                <w:tab w:val="left" w:pos="665"/>
              </w:tabs>
            </w:pPr>
            <w:r w:rsidRPr="009F4546">
              <w:rPr>
                <w:b/>
                <w:bCs/>
              </w:rPr>
              <w:lastRenderedPageBreak/>
              <w:t>(9.1-d)</w:t>
            </w:r>
            <w:r w:rsidRPr="009F4546">
              <w:tab/>
            </w:r>
            <w:r w:rsidRPr="009F4546">
              <w:rPr>
                <w:lang w:eastAsia="nl-NL"/>
              </w:rPr>
              <w:t>protección del SETS (pasivo) en la banda de frecuencias 36-37 GHz contra las estaciones espaciales del SFS no OSG</w:t>
            </w:r>
            <w:r w:rsidRPr="009F4546">
              <w:t>;</w:t>
            </w:r>
          </w:p>
        </w:tc>
        <w:tc>
          <w:tcPr>
            <w:tcW w:w="3687" w:type="dxa"/>
            <w:tcMar>
              <w:left w:w="0" w:type="dxa"/>
              <w:right w:w="0" w:type="dxa"/>
            </w:tcMar>
          </w:tcPr>
          <w:p w14:paraId="4807E8D6" w14:textId="77777777" w:rsidR="00436AAF" w:rsidRPr="009F4546" w:rsidRDefault="00436AAF" w:rsidP="00C97AD9">
            <w:pPr>
              <w:pStyle w:val="Tabletext"/>
            </w:pPr>
            <w:r w:rsidRPr="009F4546">
              <w:t>No addéndum 4 (Add.24)</w:t>
            </w:r>
          </w:p>
        </w:tc>
      </w:tr>
      <w:tr w:rsidR="00436AAF" w:rsidRPr="009F4546" w14:paraId="4FD07412" w14:textId="77777777" w:rsidTr="00C944E2">
        <w:tc>
          <w:tcPr>
            <w:tcW w:w="5130" w:type="dxa"/>
          </w:tcPr>
          <w:p w14:paraId="241292F0" w14:textId="77777777" w:rsidR="00436AAF" w:rsidRPr="009F4546" w:rsidRDefault="00436AAF" w:rsidP="00C97AD9">
            <w:pPr>
              <w:pStyle w:val="Tabletext"/>
              <w:keepNext/>
              <w:keepLines/>
            </w:pPr>
            <w:r w:rsidRPr="009F4546">
              <w:rPr>
                <w:b/>
                <w:bCs/>
              </w:rPr>
              <w:t>Resolución 427 (CMR-19)</w:t>
            </w:r>
            <w:r w:rsidRPr="009F4546">
              <w:t xml:space="preserve">: </w:t>
            </w:r>
          </w:p>
          <w:p w14:paraId="779BC824" w14:textId="3B8F44BB" w:rsidR="00436AAF" w:rsidRPr="009F4546" w:rsidRDefault="002F6AF6" w:rsidP="00C97AD9">
            <w:pPr>
              <w:pStyle w:val="Tabletext"/>
              <w:keepNext/>
              <w:keepLines/>
              <w:rPr>
                <w:iCs/>
              </w:rPr>
            </w:pPr>
            <w:r>
              <w:rPr>
                <w:iCs/>
              </w:rPr>
              <w:t>«</w:t>
            </w:r>
            <w:r w:rsidR="00436AAF" w:rsidRPr="009F4546">
              <w:rPr>
                <w:iCs/>
              </w:rPr>
              <w:t xml:space="preserve">a estudiar los Artículos de los Capítulos </w:t>
            </w:r>
            <w:r w:rsidR="00436AAF" w:rsidRPr="009F4546">
              <w:rPr>
                <w:b/>
                <w:bCs/>
                <w:iCs/>
              </w:rPr>
              <w:t>IV</w:t>
            </w:r>
            <w:r w:rsidR="00436AAF" w:rsidRPr="009F4546">
              <w:rPr>
                <w:iCs/>
              </w:rPr>
              <w:t xml:space="preserve">, </w:t>
            </w:r>
            <w:r w:rsidR="00436AAF" w:rsidRPr="009F4546">
              <w:rPr>
                <w:b/>
                <w:bCs/>
                <w:iCs/>
              </w:rPr>
              <w:t>V</w:t>
            </w:r>
            <w:r w:rsidR="00436AAF" w:rsidRPr="009F4546">
              <w:rPr>
                <w:iCs/>
              </w:rPr>
              <w:t xml:space="preserve">, </w:t>
            </w:r>
            <w:r w:rsidR="00436AAF" w:rsidRPr="009F4546">
              <w:rPr>
                <w:b/>
                <w:bCs/>
                <w:iCs/>
              </w:rPr>
              <w:t>VI</w:t>
            </w:r>
            <w:r w:rsidR="00436AAF" w:rsidRPr="009F4546">
              <w:rPr>
                <w:iCs/>
              </w:rPr>
              <w:t xml:space="preserve"> y </w:t>
            </w:r>
            <w:r w:rsidR="00436AAF" w:rsidRPr="009F4546">
              <w:rPr>
                <w:b/>
                <w:bCs/>
                <w:iCs/>
              </w:rPr>
              <w:t>VIII</w:t>
            </w:r>
            <w:r w:rsidR="00436AAF" w:rsidRPr="009F4546">
              <w:rPr>
                <w:iCs/>
              </w:rPr>
              <w:t xml:space="preserve"> del Volumen I del Reglamento de Radiocomunicaciones y sus correspondientes Apéndices, según proceda, con el fin de identificar las disposiciones relativas a los servicios aeronáuticos obsoletas con respecto a las normas y prácticas recomendadas de la OACI y a elaborar ejemplos de textos reglamentarios para actualizar estas disposiciones, garantizando a su vez que cualquier posible modificación de dichas disposiciones no afecte a ningún sistema o servicio que funcione de conformidad con el Reglamento de Radiocomunicaciones</w:t>
            </w:r>
            <w:r>
              <w:rPr>
                <w:iCs/>
              </w:rPr>
              <w:t>»</w:t>
            </w:r>
            <w:r w:rsidR="00436AAF" w:rsidRPr="009F4546">
              <w:rPr>
                <w:iCs/>
              </w:rPr>
              <w:t>;</w:t>
            </w:r>
          </w:p>
        </w:tc>
        <w:tc>
          <w:tcPr>
            <w:tcW w:w="3687" w:type="dxa"/>
            <w:tcMar>
              <w:left w:w="0" w:type="dxa"/>
              <w:right w:w="0" w:type="dxa"/>
            </w:tcMar>
          </w:tcPr>
          <w:p w14:paraId="2E5A0DCE" w14:textId="77777777" w:rsidR="00436AAF" w:rsidRPr="009F4546" w:rsidRDefault="00436AAF" w:rsidP="00C97AD9">
            <w:pPr>
              <w:pStyle w:val="Tabletext"/>
              <w:keepNext/>
              <w:keepLines/>
            </w:pPr>
            <w:r w:rsidRPr="009F4546">
              <w:t>Addéndum 5 (Add.24)</w:t>
            </w:r>
          </w:p>
        </w:tc>
      </w:tr>
      <w:tr w:rsidR="00436AAF" w:rsidRPr="009F4546" w14:paraId="3F78A3BF" w14:textId="77777777" w:rsidTr="002F6AF6">
        <w:tc>
          <w:tcPr>
            <w:tcW w:w="5130" w:type="dxa"/>
          </w:tcPr>
          <w:p w14:paraId="0B01C762" w14:textId="27675914" w:rsidR="00436AAF" w:rsidRPr="009F4546" w:rsidRDefault="00436AAF" w:rsidP="00C97AD9">
            <w:pPr>
              <w:pStyle w:val="Tabletext"/>
            </w:pPr>
            <w:r w:rsidRPr="009F4546">
              <w:rPr>
                <w:b/>
                <w:bCs/>
              </w:rPr>
              <w:t>Resolución 655 (CMR-15)</w:t>
            </w:r>
            <w:r w:rsidRPr="009F4546">
              <w:t>:</w:t>
            </w:r>
          </w:p>
          <w:p w14:paraId="5E4AC335" w14:textId="77777777" w:rsidR="00436AAF" w:rsidRPr="009F4546" w:rsidRDefault="00436AAF" w:rsidP="00C97AD9">
            <w:pPr>
              <w:pStyle w:val="Tabletext"/>
              <w:rPr>
                <w:iCs/>
              </w:rPr>
            </w:pPr>
            <w:r w:rsidRPr="009F4546">
              <w:rPr>
                <w:iCs/>
              </w:rPr>
              <w:t>Definición de escala de tiempo y difusión de señales horarias a través de sistemas de radiocomunicaciones</w:t>
            </w:r>
          </w:p>
        </w:tc>
        <w:tc>
          <w:tcPr>
            <w:tcW w:w="3687" w:type="dxa"/>
            <w:tcMar>
              <w:left w:w="0" w:type="dxa"/>
              <w:right w:w="0" w:type="dxa"/>
            </w:tcMar>
          </w:tcPr>
          <w:p w14:paraId="752FA277" w14:textId="77777777" w:rsidR="00436AAF" w:rsidRPr="009F4546" w:rsidRDefault="00436AAF" w:rsidP="00C97AD9">
            <w:pPr>
              <w:pStyle w:val="Tabletext"/>
            </w:pPr>
            <w:r w:rsidRPr="009F4546">
              <w:t>Addéndum 6 (Add.24)</w:t>
            </w:r>
          </w:p>
        </w:tc>
      </w:tr>
    </w:tbl>
    <w:p w14:paraId="26D291BA" w14:textId="77777777" w:rsidR="00D918C9" w:rsidRDefault="00D918C9" w:rsidP="00411C49">
      <w:pPr>
        <w:pStyle w:val="Reasons"/>
      </w:pPr>
    </w:p>
    <w:p w14:paraId="772D4A62" w14:textId="77777777" w:rsidR="00D918C9" w:rsidRDefault="00D918C9">
      <w:pPr>
        <w:jc w:val="center"/>
      </w:pPr>
      <w:r>
        <w:t>______________</w:t>
      </w:r>
    </w:p>
    <w:sectPr w:rsidR="00D918C9" w:rsidSect="005D788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E401" w14:textId="77777777" w:rsidR="00436AAF" w:rsidRDefault="00436AAF">
      <w:r>
        <w:separator/>
      </w:r>
    </w:p>
  </w:endnote>
  <w:endnote w:type="continuationSeparator" w:id="0">
    <w:p w14:paraId="21EC4A86" w14:textId="77777777" w:rsidR="00436AAF" w:rsidRDefault="0043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719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6F2B2D" w14:textId="04F47996" w:rsidR="0077084A" w:rsidRPr="00B65C79" w:rsidRDefault="0077084A">
    <w:pPr>
      <w:ind w:right="360"/>
    </w:pPr>
    <w:r>
      <w:fldChar w:fldCharType="begin"/>
    </w:r>
    <w:r w:rsidRPr="00B65C79">
      <w:instrText xml:space="preserve"> FILENAME \p  \* MERGEFORMAT </w:instrText>
    </w:r>
    <w:r>
      <w:fldChar w:fldCharType="separate"/>
    </w:r>
    <w:r w:rsidR="00B65C79" w:rsidRPr="00B65C79">
      <w:rPr>
        <w:noProof/>
      </w:rPr>
      <w:t>P:\ESP\ITU-R\CONF-R\CMR23\000\062ADD24S.docx</w:t>
    </w:r>
    <w:r>
      <w:fldChar w:fldCharType="end"/>
    </w:r>
    <w:r w:rsidRPr="00B65C79">
      <w:tab/>
    </w:r>
    <w:r>
      <w:fldChar w:fldCharType="begin"/>
    </w:r>
    <w:r>
      <w:instrText xml:space="preserve"> SAVEDATE \@ DD.MM.YY </w:instrText>
    </w:r>
    <w:r>
      <w:fldChar w:fldCharType="separate"/>
    </w:r>
    <w:r w:rsidR="002F6AF6">
      <w:rPr>
        <w:noProof/>
      </w:rPr>
      <w:t>18.10.23</w:t>
    </w:r>
    <w:r>
      <w:fldChar w:fldCharType="end"/>
    </w:r>
    <w:r w:rsidRPr="00B65C79">
      <w:tab/>
    </w:r>
    <w:r>
      <w:fldChar w:fldCharType="begin"/>
    </w:r>
    <w:r>
      <w:instrText xml:space="preserve"> PRINTDATE \@ DD.MM.YY </w:instrText>
    </w:r>
    <w:r>
      <w:fldChar w:fldCharType="separate"/>
    </w:r>
    <w:r w:rsidR="00B65C79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21B6" w14:textId="42291203" w:rsidR="00D918C9" w:rsidRDefault="00C944E2" w:rsidP="00D918C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65C79">
      <w:t>P:\ESP\ITU-R\CONF-R\CMR23\000\062ADD24S.docx</w:t>
    </w:r>
    <w:r>
      <w:fldChar w:fldCharType="end"/>
    </w:r>
    <w:r w:rsidR="00D918C9">
      <w:t xml:space="preserve"> (</w:t>
    </w:r>
    <w:r>
      <w:t>528643</w:t>
    </w:r>
    <w:r w:rsidR="00D918C9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987C" w14:textId="7BE3737B" w:rsidR="005D7883" w:rsidRDefault="00B65C79" w:rsidP="00D918C9">
    <w:pPr>
      <w:pStyle w:val="Footer"/>
    </w:pPr>
    <w:fldSimple w:instr=" FILENAME \p  \* MERGEFORMAT ">
      <w:r>
        <w:t>P:\ESP\ITU-R\CONF-R\CMR23\000\062ADD24S.docx</w:t>
      </w:r>
    </w:fldSimple>
    <w:r w:rsidR="00D918C9">
      <w:t xml:space="preserve"> (</w:t>
    </w:r>
    <w:r w:rsidR="00C944E2">
      <w:t>528643</w:t>
    </w:r>
    <w:r w:rsidR="00D918C9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F50E" w14:textId="77777777" w:rsidR="00436AAF" w:rsidRDefault="00436AAF">
      <w:r>
        <w:rPr>
          <w:b/>
        </w:rPr>
        <w:t>_______________</w:t>
      </w:r>
    </w:p>
  </w:footnote>
  <w:footnote w:type="continuationSeparator" w:id="0">
    <w:p w14:paraId="71DBB49F" w14:textId="77777777" w:rsidR="00436AAF" w:rsidRDefault="00436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E101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5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31B1BE" w14:textId="675BD65D" w:rsidR="0077084A" w:rsidRDefault="006775FB" w:rsidP="00A4450C">
    <w:pPr>
      <w:pStyle w:val="Header"/>
      <w:rPr>
        <w:lang w:val="en-US"/>
      </w:rPr>
    </w:pPr>
    <w:r>
      <w:rPr>
        <w:lang w:val="en-US"/>
      </w:rPr>
      <w:t>WRC</w:t>
    </w:r>
    <w:r w:rsidR="00C97A88">
      <w:rPr>
        <w:lang w:val="en-US"/>
      </w:rPr>
      <w:t>23</w:t>
    </w:r>
    <w:r w:rsidR="00C918CF">
      <w:rPr>
        <w:lang w:val="en-US"/>
      </w:rPr>
      <w:t>/</w:t>
    </w:r>
    <w:r w:rsidR="00B65C79">
      <w:rPr>
        <w:lang w:val="en-US"/>
      </w:rPr>
      <w:t>62</w:t>
    </w:r>
    <w:r w:rsidR="00C944E2">
      <w:rPr>
        <w:lang w:val="en-US"/>
      </w:rPr>
      <w:t>(Add.24)</w:t>
    </w:r>
    <w:r w:rsidR="00C918CF">
      <w:rPr>
        <w:lang w:val="en-US"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10769967">
    <w:abstractNumId w:val="8"/>
  </w:num>
  <w:num w:numId="2" w16cid:durableId="2719102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67786157">
    <w:abstractNumId w:val="9"/>
  </w:num>
  <w:num w:numId="4" w16cid:durableId="652367133">
    <w:abstractNumId w:val="7"/>
  </w:num>
  <w:num w:numId="5" w16cid:durableId="2112585681">
    <w:abstractNumId w:val="6"/>
  </w:num>
  <w:num w:numId="6" w16cid:durableId="1423799400">
    <w:abstractNumId w:val="5"/>
  </w:num>
  <w:num w:numId="7" w16cid:durableId="460538083">
    <w:abstractNumId w:val="4"/>
  </w:num>
  <w:num w:numId="8" w16cid:durableId="398556948">
    <w:abstractNumId w:val="3"/>
  </w:num>
  <w:num w:numId="9" w16cid:durableId="717242498">
    <w:abstractNumId w:val="2"/>
  </w:num>
  <w:num w:numId="10" w16cid:durableId="48037897">
    <w:abstractNumId w:val="1"/>
  </w:num>
  <w:num w:numId="11" w16cid:durableId="3474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AF"/>
    <w:rsid w:val="00087AE8"/>
    <w:rsid w:val="000D1059"/>
    <w:rsid w:val="000E45E1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80126"/>
    <w:rsid w:val="002A791F"/>
    <w:rsid w:val="002C1B26"/>
    <w:rsid w:val="002E701F"/>
    <w:rsid w:val="002F6AF6"/>
    <w:rsid w:val="0032680B"/>
    <w:rsid w:val="00363A65"/>
    <w:rsid w:val="00377704"/>
    <w:rsid w:val="003C2508"/>
    <w:rsid w:val="003D0AA3"/>
    <w:rsid w:val="00436AAF"/>
    <w:rsid w:val="0044541C"/>
    <w:rsid w:val="00454553"/>
    <w:rsid w:val="004B124A"/>
    <w:rsid w:val="00532097"/>
    <w:rsid w:val="0058350F"/>
    <w:rsid w:val="005D7883"/>
    <w:rsid w:val="005F2605"/>
    <w:rsid w:val="00662BA0"/>
    <w:rsid w:val="006775FB"/>
    <w:rsid w:val="00692AAE"/>
    <w:rsid w:val="006D6E67"/>
    <w:rsid w:val="00701C20"/>
    <w:rsid w:val="007354E9"/>
    <w:rsid w:val="007542C0"/>
    <w:rsid w:val="00762BBC"/>
    <w:rsid w:val="00765578"/>
    <w:rsid w:val="0077084A"/>
    <w:rsid w:val="007C2317"/>
    <w:rsid w:val="007D330A"/>
    <w:rsid w:val="00866AE6"/>
    <w:rsid w:val="0094091F"/>
    <w:rsid w:val="00943575"/>
    <w:rsid w:val="009538D2"/>
    <w:rsid w:val="00973754"/>
    <w:rsid w:val="009A599E"/>
    <w:rsid w:val="009C0BED"/>
    <w:rsid w:val="009E11EC"/>
    <w:rsid w:val="009F6FD5"/>
    <w:rsid w:val="00A118DB"/>
    <w:rsid w:val="00A4450C"/>
    <w:rsid w:val="00AA5E6C"/>
    <w:rsid w:val="00AE5677"/>
    <w:rsid w:val="00AF2F78"/>
    <w:rsid w:val="00B52D55"/>
    <w:rsid w:val="00B65C79"/>
    <w:rsid w:val="00B95DD9"/>
    <w:rsid w:val="00BE2E80"/>
    <w:rsid w:val="00BE5EDD"/>
    <w:rsid w:val="00BE6A1F"/>
    <w:rsid w:val="00C104EC"/>
    <w:rsid w:val="00C126C4"/>
    <w:rsid w:val="00C63EB5"/>
    <w:rsid w:val="00C8286D"/>
    <w:rsid w:val="00C918CF"/>
    <w:rsid w:val="00C944E2"/>
    <w:rsid w:val="00C97A88"/>
    <w:rsid w:val="00CC01E0"/>
    <w:rsid w:val="00CE60D2"/>
    <w:rsid w:val="00D0288A"/>
    <w:rsid w:val="00D04D3F"/>
    <w:rsid w:val="00D405F7"/>
    <w:rsid w:val="00D72A5D"/>
    <w:rsid w:val="00D918C9"/>
    <w:rsid w:val="00DC629B"/>
    <w:rsid w:val="00E167B8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C9AE32"/>
  <w15:docId w15:val="{5016F146-C017-4AD7-8E68-43B1DB52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qFormat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qFormat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  <w:style w:type="table" w:styleId="TableGrid">
    <w:name w:val="Table Grid"/>
    <w:basedOn w:val="TableNormal"/>
    <w:uiPriority w:val="59"/>
    <w:rsid w:val="00436AAF"/>
    <w:rPr>
      <w:rFonts w:ascii="Times New Roman" w:eastAsia="Batang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locked/>
    <w:rsid w:val="00436AAF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6E68-8757-4DDB-8DFC-40390F9D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90</TotalTime>
  <Pages>2</Pages>
  <Words>425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- 2023</dc:subject>
  <dc:creator>Spanish</dc:creator>
  <cp:keywords>WRC-23</cp:keywords>
  <cp:lastModifiedBy>Callejon, Miguel</cp:lastModifiedBy>
  <cp:revision>7</cp:revision>
  <cp:lastPrinted>2003-02-19T20:20:00Z</cp:lastPrinted>
  <dcterms:created xsi:type="dcterms:W3CDTF">2023-10-18T08:24:00Z</dcterms:created>
  <dcterms:modified xsi:type="dcterms:W3CDTF">2023-10-19T11:19:00Z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