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E5BAD" w14:paraId="6A464AA6" w14:textId="77777777" w:rsidTr="00F320AA">
        <w:trPr>
          <w:cantSplit/>
        </w:trPr>
        <w:tc>
          <w:tcPr>
            <w:tcW w:w="1418" w:type="dxa"/>
            <w:vAlign w:val="center"/>
          </w:tcPr>
          <w:p w14:paraId="01B58C0E" w14:textId="77777777" w:rsidR="00F320AA" w:rsidRPr="00BE5BAD" w:rsidRDefault="00F320AA" w:rsidP="00F320AA">
            <w:pPr>
              <w:spacing w:before="0"/>
              <w:rPr>
                <w:rFonts w:ascii="Verdana" w:hAnsi="Verdana"/>
                <w:position w:val="6"/>
              </w:rPr>
            </w:pPr>
            <w:r w:rsidRPr="00BE5BAD">
              <w:rPr>
                <w:noProof/>
              </w:rPr>
              <w:drawing>
                <wp:inline distT="0" distB="0" distL="0" distR="0" wp14:anchorId="5BC15D4D" wp14:editId="24253BB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CCA9C6D" w14:textId="5C92163C" w:rsidR="00F320AA" w:rsidRPr="00BE5BAD" w:rsidRDefault="00E477BB" w:rsidP="00F320AA">
            <w:pPr>
              <w:spacing w:before="400" w:after="48" w:line="240" w:lineRule="atLeast"/>
              <w:rPr>
                <w:rFonts w:ascii="Verdana" w:hAnsi="Verdana"/>
                <w:position w:val="6"/>
              </w:rPr>
            </w:pPr>
            <w:r w:rsidRPr="00E477BB">
              <w:rPr>
                <w:rFonts w:ascii="Verdana" w:hAnsi="Verdana" w:cs="Times"/>
                <w:b/>
                <w:position w:val="6"/>
                <w:sz w:val="20"/>
              </w:rPr>
              <w:t>Conferencia Mundial de Radiocomunicaciones (CMR-23)</w:t>
            </w:r>
            <w:r w:rsidRPr="00E477BB">
              <w:rPr>
                <w:rFonts w:ascii="Verdana" w:hAnsi="Verdana" w:cs="Times"/>
                <w:b/>
                <w:position w:val="6"/>
                <w:sz w:val="20"/>
              </w:rPr>
              <w:br/>
            </w:r>
            <w:r w:rsidRPr="00FA2736">
              <w:rPr>
                <w:rFonts w:ascii="Verdana" w:hAnsi="Verdana" w:cs="Times"/>
                <w:b/>
                <w:position w:val="6"/>
                <w:sz w:val="18"/>
                <w:szCs w:val="18"/>
              </w:rPr>
              <w:t>Dubái, 20 de noviembre - 15 de diciembre de 2023</w:t>
            </w:r>
          </w:p>
        </w:tc>
        <w:tc>
          <w:tcPr>
            <w:tcW w:w="1951" w:type="dxa"/>
            <w:vAlign w:val="center"/>
          </w:tcPr>
          <w:p w14:paraId="73DFC2EF" w14:textId="7E96DC1F" w:rsidR="00F320AA" w:rsidRPr="00BE5BAD" w:rsidRDefault="00014B78" w:rsidP="00F320AA">
            <w:pPr>
              <w:spacing w:before="0" w:line="240" w:lineRule="atLeast"/>
            </w:pPr>
            <w:r>
              <w:rPr>
                <w:noProof/>
              </w:rPr>
              <w:drawing>
                <wp:inline distT="0" distB="0" distL="0" distR="0" wp14:anchorId="7C879D73" wp14:editId="79B03F4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A066F1" w:rsidRPr="00BE5BAD" w14:paraId="4AFE6D81" w14:textId="77777777">
        <w:trPr>
          <w:cantSplit/>
        </w:trPr>
        <w:tc>
          <w:tcPr>
            <w:tcW w:w="6911" w:type="dxa"/>
            <w:gridSpan w:val="2"/>
            <w:tcBorders>
              <w:bottom w:val="single" w:sz="12" w:space="0" w:color="auto"/>
            </w:tcBorders>
          </w:tcPr>
          <w:p w14:paraId="25AABE03" w14:textId="77777777" w:rsidR="00A066F1" w:rsidRPr="00BE5BAD"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2484EA9" w14:textId="77777777" w:rsidR="00A066F1" w:rsidRPr="00BE5BAD" w:rsidRDefault="00A066F1" w:rsidP="00A066F1">
            <w:pPr>
              <w:spacing w:before="0" w:line="240" w:lineRule="atLeast"/>
              <w:rPr>
                <w:rFonts w:ascii="Verdana" w:hAnsi="Verdana"/>
                <w:szCs w:val="24"/>
              </w:rPr>
            </w:pPr>
          </w:p>
        </w:tc>
      </w:tr>
      <w:tr w:rsidR="00A066F1" w:rsidRPr="00BE5BAD" w14:paraId="61ADD0F8" w14:textId="77777777">
        <w:trPr>
          <w:cantSplit/>
        </w:trPr>
        <w:tc>
          <w:tcPr>
            <w:tcW w:w="6911" w:type="dxa"/>
            <w:gridSpan w:val="2"/>
            <w:tcBorders>
              <w:top w:val="single" w:sz="12" w:space="0" w:color="auto"/>
            </w:tcBorders>
          </w:tcPr>
          <w:p w14:paraId="1DBBCBFA" w14:textId="77777777" w:rsidR="00A066F1" w:rsidRPr="00BE5BA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88CEEB1" w14:textId="77777777" w:rsidR="00A066F1" w:rsidRPr="00BE5BAD" w:rsidRDefault="00A066F1" w:rsidP="00A066F1">
            <w:pPr>
              <w:spacing w:before="0" w:line="240" w:lineRule="atLeast"/>
              <w:rPr>
                <w:rFonts w:ascii="Verdana" w:hAnsi="Verdana"/>
                <w:sz w:val="20"/>
              </w:rPr>
            </w:pPr>
          </w:p>
        </w:tc>
      </w:tr>
      <w:tr w:rsidR="00A066F1" w:rsidRPr="00BE5BAD" w14:paraId="59F8EC50" w14:textId="77777777">
        <w:trPr>
          <w:cantSplit/>
          <w:trHeight w:val="23"/>
        </w:trPr>
        <w:tc>
          <w:tcPr>
            <w:tcW w:w="6911" w:type="dxa"/>
            <w:gridSpan w:val="2"/>
            <w:shd w:val="clear" w:color="auto" w:fill="auto"/>
          </w:tcPr>
          <w:p w14:paraId="64369DAC" w14:textId="60C330B3" w:rsidR="00A066F1" w:rsidRPr="00BE5BAD" w:rsidRDefault="00262406" w:rsidP="004D2BFB">
            <w:pPr>
              <w:pStyle w:val="Committee"/>
              <w:framePr w:hSpace="0" w:wrap="auto" w:hAnchor="text" w:yAlign="inline"/>
              <w:rPr>
                <w:szCs w:val="20"/>
              </w:rPr>
            </w:pPr>
            <w:bookmarkStart w:id="1" w:name="dnum" w:colFirst="1" w:colLast="1"/>
            <w:bookmarkStart w:id="2" w:name="dmeeting" w:colFirst="0" w:colLast="0"/>
            <w:bookmarkEnd w:id="0"/>
            <w:r w:rsidRPr="00BE5BAD">
              <w:rPr>
                <w:szCs w:val="20"/>
              </w:rPr>
              <w:t>SESIÓN PLENARIA</w:t>
            </w:r>
          </w:p>
        </w:tc>
        <w:tc>
          <w:tcPr>
            <w:tcW w:w="3120" w:type="dxa"/>
            <w:gridSpan w:val="2"/>
          </w:tcPr>
          <w:p w14:paraId="6685ADE3" w14:textId="77777777" w:rsidR="00262406" w:rsidRPr="00E477BB" w:rsidRDefault="00262406" w:rsidP="00E477BB">
            <w:pPr>
              <w:spacing w:before="0"/>
              <w:rPr>
                <w:rFonts w:ascii="Verdana" w:hAnsi="Verdana"/>
                <w:b/>
                <w:sz w:val="20"/>
                <w:szCs w:val="18"/>
              </w:rPr>
            </w:pPr>
            <w:r w:rsidRPr="00E477BB">
              <w:rPr>
                <w:rFonts w:ascii="Verdana" w:hAnsi="Verdana"/>
                <w:b/>
                <w:sz w:val="20"/>
                <w:szCs w:val="18"/>
              </w:rPr>
              <w:t>Addéndum 1 al</w:t>
            </w:r>
          </w:p>
          <w:p w14:paraId="1E4BB8B0" w14:textId="16881D01" w:rsidR="00A066F1" w:rsidRPr="00E477BB" w:rsidRDefault="00E55816" w:rsidP="00E477BB">
            <w:pPr>
              <w:spacing w:before="0"/>
              <w:rPr>
                <w:rFonts w:ascii="Verdana" w:hAnsi="Verdana"/>
                <w:b/>
                <w:sz w:val="20"/>
                <w:szCs w:val="18"/>
              </w:rPr>
            </w:pPr>
            <w:r w:rsidRPr="00E477BB">
              <w:rPr>
                <w:rFonts w:ascii="Verdana" w:hAnsi="Verdana"/>
                <w:b/>
                <w:sz w:val="20"/>
                <w:szCs w:val="18"/>
              </w:rPr>
              <w:t>Document</w:t>
            </w:r>
            <w:r w:rsidR="00262406" w:rsidRPr="00E477BB">
              <w:rPr>
                <w:rFonts w:ascii="Verdana" w:hAnsi="Verdana"/>
                <w:b/>
                <w:sz w:val="20"/>
                <w:szCs w:val="18"/>
              </w:rPr>
              <w:t>o</w:t>
            </w:r>
            <w:r w:rsidRPr="00E477BB">
              <w:rPr>
                <w:rFonts w:ascii="Verdana" w:hAnsi="Verdana"/>
                <w:b/>
                <w:sz w:val="20"/>
                <w:szCs w:val="18"/>
              </w:rPr>
              <w:t xml:space="preserve"> 62(Add.27)</w:t>
            </w:r>
            <w:r w:rsidR="00A066F1" w:rsidRPr="00E477BB">
              <w:rPr>
                <w:rFonts w:ascii="Verdana" w:hAnsi="Verdana"/>
                <w:b/>
                <w:sz w:val="20"/>
                <w:szCs w:val="18"/>
              </w:rPr>
              <w:t>-</w:t>
            </w:r>
            <w:r w:rsidR="00262406" w:rsidRPr="00E477BB">
              <w:rPr>
                <w:rFonts w:ascii="Verdana" w:hAnsi="Verdana"/>
                <w:b/>
                <w:sz w:val="20"/>
                <w:szCs w:val="18"/>
              </w:rPr>
              <w:t>S</w:t>
            </w:r>
          </w:p>
        </w:tc>
      </w:tr>
      <w:tr w:rsidR="00A066F1" w:rsidRPr="00BE5BAD" w14:paraId="37E6671B" w14:textId="77777777">
        <w:trPr>
          <w:cantSplit/>
          <w:trHeight w:val="23"/>
        </w:trPr>
        <w:tc>
          <w:tcPr>
            <w:tcW w:w="6911" w:type="dxa"/>
            <w:gridSpan w:val="2"/>
            <w:shd w:val="clear" w:color="auto" w:fill="auto"/>
          </w:tcPr>
          <w:p w14:paraId="3D8E91A1" w14:textId="77777777" w:rsidR="00A066F1" w:rsidRPr="00BE5BA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tbl>
            <w:tblPr>
              <w:tblpPr w:leftFromText="180" w:rightFromText="180" w:horzAnchor="margin" w:tblpY="-675"/>
              <w:tblW w:w="10031" w:type="dxa"/>
              <w:tblLayout w:type="fixed"/>
              <w:tblLook w:val="0000" w:firstRow="0" w:lastRow="0" w:firstColumn="0" w:lastColumn="0" w:noHBand="0" w:noVBand="0"/>
            </w:tblPr>
            <w:tblGrid>
              <w:gridCol w:w="10031"/>
            </w:tblGrid>
            <w:tr w:rsidR="00E477BB" w:rsidRPr="005005E1" w14:paraId="624D2B50" w14:textId="77777777" w:rsidTr="00052A28">
              <w:trPr>
                <w:cantSplit/>
              </w:trPr>
              <w:tc>
                <w:tcPr>
                  <w:tcW w:w="3227" w:type="dxa"/>
                </w:tcPr>
                <w:p w14:paraId="5BE1036C" w14:textId="77777777" w:rsidR="00E477BB" w:rsidRPr="005005E1" w:rsidRDefault="00E477BB" w:rsidP="00E477BB">
                  <w:pPr>
                    <w:spacing w:before="0"/>
                    <w:rPr>
                      <w:rFonts w:ascii="Verdana" w:hAnsi="Verdana"/>
                      <w:b/>
                      <w:sz w:val="20"/>
                      <w:szCs w:val="18"/>
                    </w:rPr>
                  </w:pPr>
                  <w:r w:rsidRPr="005005E1">
                    <w:rPr>
                      <w:rFonts w:ascii="Verdana" w:hAnsi="Verdana"/>
                      <w:b/>
                      <w:sz w:val="20"/>
                      <w:szCs w:val="18"/>
                    </w:rPr>
                    <w:t>26 de septiembre de 2023</w:t>
                  </w:r>
                </w:p>
              </w:tc>
            </w:tr>
          </w:tbl>
          <w:p w14:paraId="21759BCA" w14:textId="7E2B3D71" w:rsidR="00A066F1" w:rsidRPr="00E477BB" w:rsidRDefault="00A066F1" w:rsidP="00E477BB">
            <w:pPr>
              <w:spacing w:before="0"/>
              <w:rPr>
                <w:rFonts w:ascii="Verdana" w:hAnsi="Verdana"/>
                <w:b/>
                <w:sz w:val="20"/>
                <w:szCs w:val="18"/>
              </w:rPr>
            </w:pPr>
          </w:p>
        </w:tc>
      </w:tr>
      <w:tr w:rsidR="00A066F1" w:rsidRPr="00BE5BAD" w14:paraId="3F732773" w14:textId="77777777">
        <w:trPr>
          <w:cantSplit/>
          <w:trHeight w:val="23"/>
        </w:trPr>
        <w:tc>
          <w:tcPr>
            <w:tcW w:w="6911" w:type="dxa"/>
            <w:gridSpan w:val="2"/>
            <w:shd w:val="clear" w:color="auto" w:fill="auto"/>
          </w:tcPr>
          <w:p w14:paraId="1D0E3EAB" w14:textId="77777777" w:rsidR="00A066F1" w:rsidRPr="00BE5BA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686E104" w14:textId="5DA1F9AC" w:rsidR="00A066F1" w:rsidRPr="00E477BB" w:rsidRDefault="00E55816" w:rsidP="00E477BB">
            <w:pPr>
              <w:spacing w:before="0"/>
              <w:rPr>
                <w:rFonts w:ascii="Verdana" w:hAnsi="Verdana"/>
                <w:b/>
                <w:sz w:val="20"/>
                <w:szCs w:val="18"/>
              </w:rPr>
            </w:pPr>
            <w:r w:rsidRPr="00E477BB">
              <w:rPr>
                <w:rFonts w:ascii="Verdana" w:hAnsi="Verdana"/>
                <w:b/>
                <w:sz w:val="20"/>
                <w:szCs w:val="18"/>
              </w:rPr>
              <w:t xml:space="preserve">Original: </w:t>
            </w:r>
            <w:r w:rsidR="00262406" w:rsidRPr="00E477BB">
              <w:rPr>
                <w:rFonts w:ascii="Verdana" w:hAnsi="Verdana"/>
                <w:b/>
                <w:sz w:val="20"/>
                <w:szCs w:val="18"/>
              </w:rPr>
              <w:t>inglés</w:t>
            </w:r>
          </w:p>
        </w:tc>
      </w:tr>
      <w:tr w:rsidR="00A066F1" w:rsidRPr="00BE5BAD" w14:paraId="5C6D07A9" w14:textId="77777777" w:rsidTr="00025864">
        <w:trPr>
          <w:cantSplit/>
          <w:trHeight w:val="23"/>
        </w:trPr>
        <w:tc>
          <w:tcPr>
            <w:tcW w:w="10031" w:type="dxa"/>
            <w:gridSpan w:val="4"/>
            <w:shd w:val="clear" w:color="auto" w:fill="auto"/>
          </w:tcPr>
          <w:p w14:paraId="3FBD4E2E" w14:textId="77777777" w:rsidR="00A066F1" w:rsidRPr="00BE5BAD" w:rsidRDefault="00A066F1" w:rsidP="00A066F1">
            <w:pPr>
              <w:tabs>
                <w:tab w:val="left" w:pos="993"/>
              </w:tabs>
              <w:spacing w:before="0"/>
              <w:rPr>
                <w:rFonts w:ascii="Verdana" w:hAnsi="Verdana"/>
                <w:b/>
                <w:sz w:val="20"/>
              </w:rPr>
            </w:pPr>
          </w:p>
        </w:tc>
      </w:tr>
      <w:tr w:rsidR="00E55816" w:rsidRPr="00BE5BAD" w14:paraId="6E89A362" w14:textId="77777777" w:rsidTr="00025864">
        <w:trPr>
          <w:cantSplit/>
          <w:trHeight w:val="23"/>
        </w:trPr>
        <w:tc>
          <w:tcPr>
            <w:tcW w:w="10031" w:type="dxa"/>
            <w:gridSpan w:val="4"/>
            <w:shd w:val="clear" w:color="auto" w:fill="auto"/>
          </w:tcPr>
          <w:p w14:paraId="5DCBCD23" w14:textId="78E6BC53" w:rsidR="00E55816" w:rsidRPr="00BE5BAD" w:rsidRDefault="00DF1CF5" w:rsidP="00E55816">
            <w:pPr>
              <w:pStyle w:val="Source"/>
            </w:pPr>
            <w:r w:rsidRPr="00BE5BAD">
              <w:t>Propuestas Comunes de la Telecomunidad As</w:t>
            </w:r>
            <w:r w:rsidR="0098630F">
              <w:t>i</w:t>
            </w:r>
            <w:r w:rsidRPr="00BE5BAD">
              <w:t>a-Pacífico</w:t>
            </w:r>
          </w:p>
        </w:tc>
      </w:tr>
      <w:tr w:rsidR="00E55816" w:rsidRPr="00BE5BAD" w14:paraId="14B61D59" w14:textId="77777777" w:rsidTr="00025864">
        <w:trPr>
          <w:cantSplit/>
          <w:trHeight w:val="23"/>
        </w:trPr>
        <w:tc>
          <w:tcPr>
            <w:tcW w:w="10031" w:type="dxa"/>
            <w:gridSpan w:val="4"/>
            <w:shd w:val="clear" w:color="auto" w:fill="auto"/>
          </w:tcPr>
          <w:p w14:paraId="314DE77B" w14:textId="2854913C" w:rsidR="00E55816" w:rsidRPr="00BE5BAD" w:rsidRDefault="00DF1CF5" w:rsidP="00E55816">
            <w:pPr>
              <w:pStyle w:val="Title1"/>
            </w:pPr>
            <w:r w:rsidRPr="00BE5BAD">
              <w:t>PROPUESTAS PARA LOS TRABAJOS DE LA CONFERENCIA</w:t>
            </w:r>
          </w:p>
        </w:tc>
      </w:tr>
      <w:tr w:rsidR="00E55816" w:rsidRPr="00BE5BAD" w14:paraId="2A7C7F73" w14:textId="77777777" w:rsidTr="00025864">
        <w:trPr>
          <w:cantSplit/>
          <w:trHeight w:val="23"/>
        </w:trPr>
        <w:tc>
          <w:tcPr>
            <w:tcW w:w="10031" w:type="dxa"/>
            <w:gridSpan w:val="4"/>
            <w:shd w:val="clear" w:color="auto" w:fill="auto"/>
          </w:tcPr>
          <w:p w14:paraId="299093A2" w14:textId="77777777" w:rsidR="00E55816" w:rsidRPr="00BE5BAD" w:rsidRDefault="00E55816" w:rsidP="0098630F">
            <w:pPr>
              <w:pStyle w:val="Title2"/>
              <w:spacing w:before="240"/>
            </w:pPr>
          </w:p>
        </w:tc>
      </w:tr>
      <w:tr w:rsidR="00A538A6" w:rsidRPr="00BE5BAD" w14:paraId="719643DF" w14:textId="77777777" w:rsidTr="00025864">
        <w:trPr>
          <w:cantSplit/>
          <w:trHeight w:val="23"/>
        </w:trPr>
        <w:tc>
          <w:tcPr>
            <w:tcW w:w="10031" w:type="dxa"/>
            <w:gridSpan w:val="4"/>
            <w:shd w:val="clear" w:color="auto" w:fill="auto"/>
          </w:tcPr>
          <w:p w14:paraId="05323134" w14:textId="639F5C83" w:rsidR="00A538A6" w:rsidRPr="00BE5BAD" w:rsidRDefault="0043621F" w:rsidP="004B13CB">
            <w:pPr>
              <w:pStyle w:val="Agendaitem"/>
              <w:rPr>
                <w:lang w:val="es-ES"/>
              </w:rPr>
            </w:pPr>
            <w:r w:rsidRPr="00BE5BAD">
              <w:rPr>
                <w:lang w:val="es-ES"/>
              </w:rPr>
              <w:t>Punto 10 del orden del día</w:t>
            </w:r>
          </w:p>
        </w:tc>
      </w:tr>
    </w:tbl>
    <w:bookmarkEnd w:id="5"/>
    <w:bookmarkEnd w:id="6"/>
    <w:p w14:paraId="2CB6B3C1" w14:textId="1103AF50" w:rsidR="00187BD9" w:rsidRPr="00BE5BAD" w:rsidRDefault="00597865" w:rsidP="00025A01">
      <w:r w:rsidRPr="00BE5BAD">
        <w:t>10</w:t>
      </w:r>
      <w:r w:rsidRPr="00BE5BAD">
        <w:rPr>
          <w:b/>
          <w:bCs/>
        </w:rPr>
        <w:tab/>
      </w:r>
      <w:r w:rsidR="0043621F" w:rsidRPr="00BE5BAD">
        <w:rPr>
          <w:iCs/>
        </w:rPr>
        <w:t xml:space="preserve">recomendar al Consejo los puntos que han de incluirse en el orden del día de la próxima </w:t>
      </w:r>
      <w:r w:rsidR="00A72721" w:rsidRPr="00BE5BAD">
        <w:rPr>
          <w:iCs/>
        </w:rPr>
        <w:t>conferencia mundial de radiocomunicaciones, y los temas a incluir en el orden del día preliminar de futuras conferencias, en conformidad con el Artículo 7 del Convenio de la UIT y la Resolución</w:t>
      </w:r>
      <w:r w:rsidR="00BD1D53">
        <w:rPr>
          <w:iCs/>
        </w:rPr>
        <w:t> </w:t>
      </w:r>
      <w:r w:rsidR="00A72721" w:rsidRPr="00BE5BAD">
        <w:rPr>
          <w:b/>
          <w:bCs/>
          <w:iCs/>
        </w:rPr>
        <w:t>804</w:t>
      </w:r>
      <w:r w:rsidR="00BD1D53">
        <w:rPr>
          <w:b/>
          <w:bCs/>
          <w:iCs/>
        </w:rPr>
        <w:t> </w:t>
      </w:r>
      <w:r w:rsidR="00A72721" w:rsidRPr="00BE5BAD">
        <w:rPr>
          <w:b/>
          <w:bCs/>
          <w:iCs/>
        </w:rPr>
        <w:t>(Rev.CMR-19)</w:t>
      </w:r>
      <w:r w:rsidR="00A72721" w:rsidRPr="00BE5BAD">
        <w:rPr>
          <w:iCs/>
        </w:rPr>
        <w:t>,</w:t>
      </w:r>
    </w:p>
    <w:p w14:paraId="700C3B9D" w14:textId="3456BF20" w:rsidR="005646F9" w:rsidRPr="00BE5BAD" w:rsidRDefault="005646F9" w:rsidP="00597865">
      <w:pPr>
        <w:pStyle w:val="Headingb"/>
        <w:spacing w:before="360"/>
        <w:rPr>
          <w:lang w:val="es-ES"/>
        </w:rPr>
      </w:pPr>
      <w:r w:rsidRPr="00BE5BAD">
        <w:rPr>
          <w:lang w:val="es-ES"/>
        </w:rPr>
        <w:t>Introduc</w:t>
      </w:r>
      <w:r w:rsidR="00A72721" w:rsidRPr="00BE5BAD">
        <w:rPr>
          <w:lang w:val="es-ES"/>
        </w:rPr>
        <w:t>ción</w:t>
      </w:r>
    </w:p>
    <w:p w14:paraId="693DD787" w14:textId="51831AA6" w:rsidR="005646F9" w:rsidRPr="00BE5BAD" w:rsidRDefault="00A72721" w:rsidP="00887CED">
      <w:r w:rsidRPr="00BE5BAD">
        <w:rPr>
          <w:lang w:eastAsia="ko-KR"/>
        </w:rPr>
        <w:t>En el punto 10 del orden del día se pide que la CMR-23 recomiende al Consejo los puntos que han de incluirse en el orden del día de la CMR-27 y formule opiniones sobre el orden del día preliminar de la conferencia subsiguiente y sobre los posibles órdenes del día de futuras conferencias.</w:t>
      </w:r>
    </w:p>
    <w:p w14:paraId="048236B4" w14:textId="01C79ADF" w:rsidR="005646F9" w:rsidRPr="00BE5BAD" w:rsidRDefault="00A72721" w:rsidP="00887CED">
      <w:r w:rsidRPr="00BE5BAD">
        <w:t>Los Miembros de la ATP consideran que se debe mantener un nivel razonable del volumen del orden del día de una CMR</w:t>
      </w:r>
      <w:r w:rsidR="00433EE0">
        <w:t xml:space="preserve"> y de los trabajos preparatorios.</w:t>
      </w:r>
    </w:p>
    <w:p w14:paraId="12795702" w14:textId="2DA22E78" w:rsidR="005646F9" w:rsidRPr="00BE5BAD" w:rsidRDefault="00C438F7" w:rsidP="00887CED">
      <w:r w:rsidRPr="00BE5BAD">
        <w:t>Los Miembros de la ATP también consideran que los asuntos que pueden resolverse en el marco de los puntos permanentes del orden del día de las CMR o de las actividades regulares del UIT-R</w:t>
      </w:r>
      <w:r w:rsidR="00433EE0">
        <w:t xml:space="preserve">, </w:t>
      </w:r>
      <w:r w:rsidRPr="00BE5BAD">
        <w:t>no tendrían que convertirse en puntos separados del orden del día de esas conferencias.</w:t>
      </w:r>
    </w:p>
    <w:p w14:paraId="540BA35E" w14:textId="2EA56794" w:rsidR="005646F9" w:rsidRPr="00BE5BAD" w:rsidRDefault="00C438F7" w:rsidP="00887CED">
      <w:r w:rsidRPr="00BE5BAD">
        <w:t xml:space="preserve">Los Miembros de la ATP consideran que los asuntos identificados en las Resoluciones de la CMR que ha de estudiar el UIT-R y cuyos resultados se incluirán en el Informe del Director de la Oficina de Radiocomunicaciones a la Conferencia </w:t>
      </w:r>
      <w:r w:rsidR="00076E47" w:rsidRPr="00BE5BAD">
        <w:t>en el marco del punto 9.1 del orden del día permanente de la CMR, no deben proponer ninguna modificación del Reglamento de Radiocomunicaciones. Las cuestiones que pudieran dar lugar a la modificación del Reglamento de Radiocomunicaciones no deben incluirse en la lista de cuestiones del punto 9.1 del orden del día. En cambio, deberían considerarse como punto ordinario del orden del día de la CMR, si así lo acuerda la Conferencia.</w:t>
      </w:r>
    </w:p>
    <w:p w14:paraId="35AE8FE7" w14:textId="1052D178" w:rsidR="00187BD9" w:rsidRPr="00BE5BAD" w:rsidRDefault="00313C5D" w:rsidP="0098630F">
      <w:r w:rsidRPr="00BE5BAD">
        <w:rPr>
          <w:bCs/>
        </w:rPr>
        <w:t>Los Miembros de la ATP consideran que el punto 9.2 del orden del día permanente de la CMR se limitará estrictamente al Informe del Director sobre cualesquiera dificultades o incoherencias observadas en la aplicación del Reglamento de Radiocomunicaciones y a los comentarios de las administraciones. Las dificultades o incoherencias observadas por las administraciones en la aplicación del Reglamento de Radiocomunicaciones deben comunicarse a la Oficina de Radiocomunicaciones para que adopte las medidas oportunas, y no deben ser examinadas por la Conferencia en el marco de este punto del orden del día permanente de la CMR.</w:t>
      </w:r>
      <w:r w:rsidR="00187BD9" w:rsidRPr="00BE5BAD">
        <w:br w:type="page"/>
      </w:r>
    </w:p>
    <w:p w14:paraId="6F169849" w14:textId="21E670D7" w:rsidR="005646F9" w:rsidRPr="00BE5BAD" w:rsidRDefault="007105A3" w:rsidP="00887CED">
      <w:pPr>
        <w:pStyle w:val="Headingb"/>
        <w:rPr>
          <w:lang w:val="es-ES"/>
        </w:rPr>
      </w:pPr>
      <w:r w:rsidRPr="00BE5BAD">
        <w:rPr>
          <w:lang w:val="es-ES"/>
        </w:rPr>
        <w:lastRenderedPageBreak/>
        <w:t>Prop</w:t>
      </w:r>
      <w:r w:rsidR="00457662" w:rsidRPr="00BE5BAD">
        <w:rPr>
          <w:lang w:val="es-ES"/>
        </w:rPr>
        <w:t>uestas</w:t>
      </w:r>
    </w:p>
    <w:p w14:paraId="04D35B7A" w14:textId="65404EA9" w:rsidR="00106DCA" w:rsidRPr="00BE5BAD" w:rsidRDefault="00597865">
      <w:pPr>
        <w:pStyle w:val="Proposal"/>
      </w:pPr>
      <w:r w:rsidRPr="00BE5BAD">
        <w:t>SUP</w:t>
      </w:r>
      <w:r w:rsidRPr="00BE5BAD">
        <w:tab/>
        <w:t>ACP/62A27A1/1</w:t>
      </w:r>
    </w:p>
    <w:p w14:paraId="3B690088" w14:textId="774F0A4C" w:rsidR="00A16F01" w:rsidRPr="00BE5BAD" w:rsidRDefault="00597865" w:rsidP="00755998">
      <w:pPr>
        <w:pStyle w:val="ResNo"/>
      </w:pPr>
      <w:bookmarkStart w:id="7" w:name="_Toc39649637"/>
      <w:r w:rsidRPr="00BE5BAD">
        <w:t>RESOLU</w:t>
      </w:r>
      <w:r w:rsidR="00457662" w:rsidRPr="00BE5BAD">
        <w:t>c</w:t>
      </w:r>
      <w:r w:rsidRPr="00BE5BAD">
        <w:t>I</w:t>
      </w:r>
      <w:r w:rsidR="00457662" w:rsidRPr="00BE5BAD">
        <w:t>ó</w:t>
      </w:r>
      <w:r w:rsidRPr="00BE5BAD">
        <w:t xml:space="preserve">N </w:t>
      </w:r>
      <w:r w:rsidRPr="00BE5BAD">
        <w:rPr>
          <w:rStyle w:val="href"/>
        </w:rPr>
        <w:t>811</w:t>
      </w:r>
      <w:r w:rsidRPr="00BE5BAD">
        <w:t xml:space="preserve"> (</w:t>
      </w:r>
      <w:r w:rsidR="00457662" w:rsidRPr="00BE5BAD">
        <w:t>cmr</w:t>
      </w:r>
      <w:r w:rsidRPr="00BE5BAD">
        <w:noBreakHyphen/>
        <w:t>19)</w:t>
      </w:r>
      <w:bookmarkEnd w:id="7"/>
    </w:p>
    <w:p w14:paraId="46463780" w14:textId="33FCEA5D" w:rsidR="00A16F01" w:rsidRPr="00BE5BAD" w:rsidRDefault="00457662" w:rsidP="00755998">
      <w:pPr>
        <w:pStyle w:val="Restitle"/>
      </w:pPr>
      <w:r w:rsidRPr="00BE5BAD">
        <w:t xml:space="preserve">Orden del día de la Conferencia Mundial </w:t>
      </w:r>
      <w:r w:rsidRPr="00BE5BAD">
        <w:br/>
        <w:t>de Radiocomunicaciones de 2023</w:t>
      </w:r>
    </w:p>
    <w:p w14:paraId="41F6E5CE" w14:textId="267DD0D5" w:rsidR="00106DCA" w:rsidRPr="00BE5BAD" w:rsidRDefault="00457662">
      <w:pPr>
        <w:pStyle w:val="Reasons"/>
      </w:pPr>
      <w:r w:rsidRPr="00BE5BAD">
        <w:rPr>
          <w:b/>
        </w:rPr>
        <w:t>Motivos</w:t>
      </w:r>
      <w:r w:rsidR="00304F4B" w:rsidRPr="00BE5BAD">
        <w:rPr>
          <w:b/>
        </w:rPr>
        <w:t>:</w:t>
      </w:r>
      <w:r w:rsidR="00304F4B" w:rsidRPr="00BE5BAD">
        <w:tab/>
      </w:r>
      <w:r w:rsidR="00880A83" w:rsidRPr="00BE5BAD">
        <w:t>Esta Resolución ya no será necesaria después de la CMR-23.</w:t>
      </w:r>
    </w:p>
    <w:p w14:paraId="37DAF1B1" w14:textId="77777777" w:rsidR="00106DCA" w:rsidRPr="00BE5BAD" w:rsidRDefault="00597865">
      <w:pPr>
        <w:pStyle w:val="Proposal"/>
      </w:pPr>
      <w:r w:rsidRPr="00BE5BAD">
        <w:t>SUP</w:t>
      </w:r>
      <w:r w:rsidRPr="00BE5BAD">
        <w:tab/>
        <w:t>ACP/62A27A1/2</w:t>
      </w:r>
    </w:p>
    <w:p w14:paraId="6576F5AE" w14:textId="6193B19D" w:rsidR="00A16F01" w:rsidRPr="00BE5BAD" w:rsidRDefault="00597865" w:rsidP="00755998">
      <w:pPr>
        <w:pStyle w:val="ResNo"/>
      </w:pPr>
      <w:bookmarkStart w:id="8" w:name="_Toc39649639"/>
      <w:r w:rsidRPr="00BE5BAD">
        <w:t>RESOLU</w:t>
      </w:r>
      <w:r w:rsidR="00880A83" w:rsidRPr="00BE5BAD">
        <w:t>CIÓN</w:t>
      </w:r>
      <w:r w:rsidRPr="00BE5BAD">
        <w:t xml:space="preserve"> </w:t>
      </w:r>
      <w:r w:rsidRPr="00BE5BAD">
        <w:rPr>
          <w:rStyle w:val="href"/>
        </w:rPr>
        <w:t>812</w:t>
      </w:r>
      <w:r w:rsidRPr="00BE5BAD">
        <w:t xml:space="preserve"> (</w:t>
      </w:r>
      <w:r w:rsidR="00880A83" w:rsidRPr="00BE5BAD">
        <w:t>CMR</w:t>
      </w:r>
      <w:r w:rsidRPr="00BE5BAD">
        <w:t>-19)</w:t>
      </w:r>
      <w:bookmarkEnd w:id="8"/>
    </w:p>
    <w:p w14:paraId="1FBC0102" w14:textId="53EAFAAF" w:rsidR="00A16F01" w:rsidRPr="00BE5BAD" w:rsidRDefault="00E64F0A" w:rsidP="00755998">
      <w:pPr>
        <w:pStyle w:val="Restitle"/>
      </w:pPr>
      <w:bookmarkStart w:id="9" w:name="_Toc35789443"/>
      <w:bookmarkStart w:id="10" w:name="_Toc35857140"/>
      <w:bookmarkStart w:id="11" w:name="_Toc35877775"/>
      <w:bookmarkStart w:id="12" w:name="_Toc35963719"/>
      <w:bookmarkStart w:id="13" w:name="_Toc39649640"/>
      <w:bookmarkStart w:id="14" w:name="_Hlk147414309"/>
      <w:r w:rsidRPr="00BE5BAD">
        <w:t>Orden del día preliminar de la Conferencia Mundial</w:t>
      </w:r>
      <w:r w:rsidRPr="00BE5BAD">
        <w:br/>
        <w:t>de Radiocomunicaciones de 2023</w:t>
      </w:r>
      <w:r w:rsidR="00597865" w:rsidRPr="00BE5BAD">
        <w:rPr>
          <w:rStyle w:val="FootnoteReference"/>
        </w:rPr>
        <w:footnoteReference w:customMarkFollows="1" w:id="1"/>
        <w:t>*</w:t>
      </w:r>
      <w:bookmarkEnd w:id="9"/>
      <w:bookmarkEnd w:id="10"/>
      <w:bookmarkEnd w:id="11"/>
      <w:bookmarkEnd w:id="12"/>
      <w:bookmarkEnd w:id="13"/>
      <w:bookmarkEnd w:id="14"/>
    </w:p>
    <w:p w14:paraId="576BB46B" w14:textId="03A9B4F2" w:rsidR="00106DCA" w:rsidRPr="00BE5BAD" w:rsidRDefault="009F2A90">
      <w:pPr>
        <w:pStyle w:val="Reasons"/>
      </w:pPr>
      <w:r w:rsidRPr="00BE5BAD">
        <w:rPr>
          <w:b/>
        </w:rPr>
        <w:t>Motivo</w:t>
      </w:r>
      <w:r w:rsidR="00A14D2D" w:rsidRPr="00BE5BAD">
        <w:rPr>
          <w:b/>
        </w:rPr>
        <w:t>s:</w:t>
      </w:r>
      <w:r w:rsidR="00A14D2D" w:rsidRPr="00BE5BAD">
        <w:tab/>
      </w:r>
      <w:r w:rsidRPr="00BE5BAD">
        <w:t>Esta Resolución ya no será necesaria después de la CMR-23.</w:t>
      </w:r>
    </w:p>
    <w:p w14:paraId="59F54D27" w14:textId="77777777" w:rsidR="00106DCA" w:rsidRPr="00BE5BAD" w:rsidRDefault="00597865">
      <w:pPr>
        <w:pStyle w:val="Proposal"/>
      </w:pPr>
      <w:r w:rsidRPr="00BE5BAD">
        <w:t>ADD</w:t>
      </w:r>
      <w:r w:rsidRPr="00BE5BAD">
        <w:tab/>
        <w:t>ACP/62A27A1/3</w:t>
      </w:r>
    </w:p>
    <w:p w14:paraId="09F72183" w14:textId="62E91D3E" w:rsidR="00AB38FD" w:rsidRPr="00BE5BAD" w:rsidRDefault="00B8378A" w:rsidP="00AB38FD">
      <w:pPr>
        <w:pStyle w:val="ResNo"/>
      </w:pPr>
      <w:r w:rsidRPr="00BE5BAD">
        <w:t>PROYECTO DE NUEVA RESOLUCIÓM</w:t>
      </w:r>
      <w:r w:rsidR="00AB38FD" w:rsidRPr="00BE5BAD">
        <w:t xml:space="preserve"> [ACP-AI10-1]</w:t>
      </w:r>
      <w:r w:rsidR="00016F21" w:rsidRPr="00BE5BAD">
        <w:t xml:space="preserve"> </w:t>
      </w:r>
      <w:r w:rsidRPr="00BE5BAD">
        <w:t>(CMR</w:t>
      </w:r>
      <w:r w:rsidR="00016F21" w:rsidRPr="00BE5BAD">
        <w:t>-23)</w:t>
      </w:r>
    </w:p>
    <w:p w14:paraId="68CD5297" w14:textId="07D5A074" w:rsidR="00AB38FD" w:rsidRPr="00BE5BAD" w:rsidRDefault="00B8378A" w:rsidP="00AB38FD">
      <w:pPr>
        <w:pStyle w:val="Restitle"/>
      </w:pPr>
      <w:r w:rsidRPr="00BE5BAD">
        <w:t>Orden del día de la Conferencia Mundial</w:t>
      </w:r>
      <w:r w:rsidRPr="00BE5BAD">
        <w:br/>
        <w:t>de Radiocomunicaciones de 2027</w:t>
      </w:r>
    </w:p>
    <w:p w14:paraId="27E646F2" w14:textId="39922BE8" w:rsidR="00AB38FD" w:rsidRPr="00BE5BAD" w:rsidRDefault="00B8378A" w:rsidP="00AB38FD">
      <w:pPr>
        <w:pStyle w:val="Normalaftertitle"/>
      </w:pPr>
      <w:r w:rsidRPr="00BE5BAD">
        <w:t>La Conferencia Mundial de Radiocomunicaciones</w:t>
      </w:r>
      <w:r w:rsidR="00AB38FD" w:rsidRPr="00BE5BAD">
        <w:t xml:space="preserve"> (Dub</w:t>
      </w:r>
      <w:r w:rsidRPr="00BE5BAD">
        <w:t>á</w:t>
      </w:r>
      <w:r w:rsidR="00AB38FD" w:rsidRPr="00BE5BAD">
        <w:t>i, 2023),</w:t>
      </w:r>
    </w:p>
    <w:p w14:paraId="483C6E75" w14:textId="1C8095B7" w:rsidR="00AB38FD" w:rsidRPr="00BE5BAD" w:rsidRDefault="00AB38FD" w:rsidP="00CA67AE">
      <w:pPr>
        <w:pStyle w:val="Call"/>
      </w:pPr>
      <w:r w:rsidRPr="00BE5BAD">
        <w:t>conside</w:t>
      </w:r>
      <w:r w:rsidR="00710112" w:rsidRPr="00BE5BAD">
        <w:t>rando</w:t>
      </w:r>
    </w:p>
    <w:p w14:paraId="51664F5A" w14:textId="1A3C24B0" w:rsidR="00AB38FD" w:rsidRPr="00BE5BAD" w:rsidRDefault="00AB38FD" w:rsidP="00AB38FD">
      <w:r w:rsidRPr="00BE5BAD">
        <w:rPr>
          <w:i/>
          <w:iCs/>
        </w:rPr>
        <w:t>a)</w:t>
      </w:r>
      <w:r w:rsidRPr="00BE5BAD">
        <w:tab/>
      </w:r>
      <w:r w:rsidR="00BE5BAD" w:rsidRPr="00BE5BAD">
        <w:t>que, de conformidad con el número 118 del Convenio de la UIT, el ámbito general del orden del día de una conferencia mundial de radiocomunicaciones debe establecerse con una antelación de cuatro a seis años y que el orden del día definitiv</w:t>
      </w:r>
      <w:r w:rsidR="00433EE0">
        <w:t>o</w:t>
      </w:r>
      <w:r w:rsidR="00BE5BAD" w:rsidRPr="00BE5BAD">
        <w:t xml:space="preserve"> deberá establecerlo el Consejo dos años antes de la Conferencia;</w:t>
      </w:r>
    </w:p>
    <w:p w14:paraId="5CFF0929" w14:textId="6B54D1D4" w:rsidR="00AB38FD" w:rsidRPr="00BE5BAD" w:rsidRDefault="00AB38FD" w:rsidP="00AB38FD">
      <w:r w:rsidRPr="00BE5BAD">
        <w:rPr>
          <w:i/>
          <w:iCs/>
        </w:rPr>
        <w:t>b)</w:t>
      </w:r>
      <w:r w:rsidRPr="00BE5BAD">
        <w:tab/>
      </w:r>
      <w:r w:rsidR="00BE5BAD" w:rsidRPr="00BE5BAD">
        <w:t>el Artículo 13 de la Constitución de la UIT, sobre competencia y calendario de las conferencias mundiales de radiocomunicaciones, y el Artículo 7 del Convenio, relativo a sus órdenes del día;</w:t>
      </w:r>
    </w:p>
    <w:p w14:paraId="3F0F3F17" w14:textId="3002B30B" w:rsidR="00AB38FD" w:rsidRPr="00BE5BAD" w:rsidRDefault="00AB38FD" w:rsidP="00AB38FD">
      <w:r w:rsidRPr="00BE5BAD">
        <w:rPr>
          <w:i/>
          <w:iCs/>
        </w:rPr>
        <w:t>c)</w:t>
      </w:r>
      <w:r w:rsidRPr="00BE5BAD">
        <w:tab/>
      </w:r>
      <w:r w:rsidR="00BE5BAD" w:rsidRPr="00BE5BAD">
        <w:t>las Resoluciones y Recomendaciones pertinentes de las anteriores Conferencias Administrativas Mundiales de Radiocomunicaciones (CAMR) y Conferencias Mundiales de Radiocomunicaciones (CMR),</w:t>
      </w:r>
    </w:p>
    <w:p w14:paraId="46F41CFD" w14:textId="4CAE80B2" w:rsidR="00AB38FD" w:rsidRPr="00BE5BAD" w:rsidRDefault="00AB38FD" w:rsidP="00CA67AE">
      <w:pPr>
        <w:pStyle w:val="Call"/>
      </w:pPr>
      <w:r w:rsidRPr="00BE5BAD">
        <w:t>reco</w:t>
      </w:r>
      <w:r w:rsidR="00BE5BAD" w:rsidRPr="00BE5BAD">
        <w:t>nociendo</w:t>
      </w:r>
    </w:p>
    <w:p w14:paraId="1E08E244" w14:textId="6E7421E1" w:rsidR="00AB38FD" w:rsidRPr="00BE5BAD" w:rsidRDefault="00AB38FD" w:rsidP="00AB38FD">
      <w:r w:rsidRPr="00BE5BAD">
        <w:rPr>
          <w:i/>
          <w:iCs/>
        </w:rPr>
        <w:t>a)</w:t>
      </w:r>
      <w:r w:rsidRPr="00BE5BAD">
        <w:tab/>
      </w:r>
      <w:r w:rsidR="00BE5BAD">
        <w:t>que esta Conferencia ha identificado varias cuestiones urgentes que requieren se prosiga su examen en la CMR-27;</w:t>
      </w:r>
    </w:p>
    <w:p w14:paraId="55DD01B3" w14:textId="5A313DF2" w:rsidR="00AB38FD" w:rsidRPr="00BE5BAD" w:rsidRDefault="00AB38FD" w:rsidP="00AB38FD">
      <w:r w:rsidRPr="00BE5BAD">
        <w:rPr>
          <w:i/>
          <w:iCs/>
        </w:rPr>
        <w:lastRenderedPageBreak/>
        <w:t>b)</w:t>
      </w:r>
      <w:r w:rsidRPr="00BE5BAD">
        <w:tab/>
      </w:r>
      <w:r w:rsidR="00415C1C">
        <w:t>que, al preparar el presente orden del día</w:t>
      </w:r>
      <w:r w:rsidRPr="00BE5BAD">
        <w:t>,</w:t>
      </w:r>
      <w:r w:rsidR="00415C1C">
        <w:t xml:space="preserve"> muchos de los puntos propuestos por las administraciones no pudieron incluirse, debiendo posponerse para órdenes del día de futuras conferencias,</w:t>
      </w:r>
    </w:p>
    <w:p w14:paraId="1A97164F" w14:textId="6A09508E" w:rsidR="00AB38FD" w:rsidRPr="00415C1C" w:rsidRDefault="00AB38FD" w:rsidP="00CA67AE">
      <w:pPr>
        <w:pStyle w:val="Call"/>
      </w:pPr>
      <w:r w:rsidRPr="00415C1C">
        <w:t>res</w:t>
      </w:r>
      <w:r w:rsidR="00415C1C" w:rsidRPr="00415C1C">
        <w:t>uelve</w:t>
      </w:r>
    </w:p>
    <w:p w14:paraId="313F85DA" w14:textId="093A5D00" w:rsidR="00AB38FD" w:rsidRPr="00415C1C" w:rsidRDefault="00415C1C" w:rsidP="00AB38FD">
      <w:r w:rsidRPr="00415C1C">
        <w:t xml:space="preserve">recomendar al Consejo la celebración de una Conferencia Mundial de Radiocomunicaciones en 2027 con una duración de cuatro </w:t>
      </w:r>
      <w:r w:rsidR="00433EE0">
        <w:t>s</w:t>
      </w:r>
      <w:r w:rsidRPr="00415C1C">
        <w:t>emanas, con el siguiente orden de</w:t>
      </w:r>
      <w:r>
        <w:t>l día</w:t>
      </w:r>
      <w:r w:rsidR="00875884">
        <w:t>:</w:t>
      </w:r>
    </w:p>
    <w:p w14:paraId="6CFEDC07" w14:textId="3745E948" w:rsidR="00AB38FD" w:rsidRPr="00BE5BAD" w:rsidRDefault="00AB38FD" w:rsidP="00AB38FD">
      <w:r w:rsidRPr="00BE5BAD">
        <w:t>1</w:t>
      </w:r>
      <w:r w:rsidRPr="00BE5BAD">
        <w:tab/>
      </w:r>
      <w:r w:rsidR="00415C1C">
        <w:t>sobre la base de las propuestas de las administraciones, teniendo en cuenta los resultados de la CMR-23 y el Informe de la Reunión Preparatoria de la Conferencia, y con la debida consideración a las necesidades de servicios existentes y futuros en las bandas de frecuencias consideradas, examinar y adoptar las medidas oportunas en relación con los temas siguientes:</w:t>
      </w:r>
    </w:p>
    <w:p w14:paraId="084BDE99" w14:textId="70FEA765" w:rsidR="00AB38FD" w:rsidRPr="004B0352" w:rsidRDefault="00AB38FD" w:rsidP="00AB38FD">
      <w:pPr>
        <w:rPr>
          <w:b/>
          <w:bCs/>
        </w:rPr>
      </w:pPr>
      <w:r w:rsidRPr="00BE5BAD">
        <w:t>1.1</w:t>
      </w:r>
      <w:r w:rsidRPr="00BE5BAD">
        <w:tab/>
      </w:r>
      <w:r w:rsidR="004B0352">
        <w:t xml:space="preserve">la posibilidad de efectuar atribuciones adicionales de espectro al servicio de radiolocalización a título coprimario en la banda de </w:t>
      </w:r>
      <w:r w:rsidR="00433EE0">
        <w:t>frecuencias</w:t>
      </w:r>
      <w:r w:rsidR="004B0352">
        <w:t xml:space="preserve"> 231,5-275 GHz y la nueva identificación</w:t>
      </w:r>
      <w:r w:rsidR="00613C19">
        <w:t xml:space="preserve"> posible</w:t>
      </w:r>
      <w:r w:rsidR="004B0352">
        <w:t xml:space="preserve"> de espectro para aplicaciones de radiolocalización en las bandas de frecuencias en la gama de frecuencias 275-700 GHz para sistemas de imágenes en ondas milimétricas y submilimétricas, de conformidad con la Resolución </w:t>
      </w:r>
      <w:r w:rsidR="004B0352">
        <w:rPr>
          <w:b/>
          <w:bCs/>
        </w:rPr>
        <w:t>663 (CMR-</w:t>
      </w:r>
      <w:r w:rsidR="00E40121">
        <w:rPr>
          <w:b/>
          <w:bCs/>
        </w:rPr>
        <w:t>23</w:t>
      </w:r>
      <w:r w:rsidR="004B0352">
        <w:rPr>
          <w:b/>
          <w:bCs/>
        </w:rPr>
        <w:t>)</w:t>
      </w:r>
      <w:r w:rsidR="004B0352" w:rsidRPr="003A2460">
        <w:t xml:space="preserve">; </w:t>
      </w:r>
      <w:r w:rsidR="00A03323" w:rsidRPr="00BE5BAD">
        <w:rPr>
          <w:b/>
          <w:bCs/>
          <w:color w:val="FF0000"/>
        </w:rPr>
        <w:t>[</w:t>
      </w:r>
      <w:r w:rsidR="00A03323">
        <w:rPr>
          <w:b/>
          <w:bCs/>
          <w:color w:val="FF0000"/>
        </w:rPr>
        <w:t>Véase el</w:t>
      </w:r>
      <w:r w:rsidR="00A03323" w:rsidRPr="00BE5BAD">
        <w:rPr>
          <w:b/>
          <w:bCs/>
          <w:color w:val="FF0000"/>
        </w:rPr>
        <w:t xml:space="preserve"> Add</w:t>
      </w:r>
      <w:r w:rsidR="00A03323">
        <w:rPr>
          <w:b/>
          <w:bCs/>
          <w:color w:val="FF0000"/>
        </w:rPr>
        <w:t>é</w:t>
      </w:r>
      <w:r w:rsidR="00A03323" w:rsidRPr="00BE5BAD">
        <w:rPr>
          <w:b/>
          <w:bCs/>
          <w:color w:val="FF0000"/>
        </w:rPr>
        <w:t>ndum 9 (Add.27)]</w:t>
      </w:r>
      <w:r w:rsidR="00A03323" w:rsidRPr="00BE5BAD">
        <w:rPr>
          <w:rStyle w:val="FootnoteReference"/>
        </w:rPr>
        <w:footnoteReference w:customMarkFollows="1" w:id="2"/>
        <w:t>*</w:t>
      </w:r>
    </w:p>
    <w:p w14:paraId="61A75657" w14:textId="254557A2" w:rsidR="00AB38FD" w:rsidRPr="00BE5BAD" w:rsidRDefault="00AB38FD" w:rsidP="00AB38FD">
      <w:pPr>
        <w:rPr>
          <w:b/>
          <w:bCs/>
        </w:rPr>
      </w:pPr>
      <w:r w:rsidRPr="00BE5BAD">
        <w:t>1.2</w:t>
      </w:r>
      <w:r w:rsidRPr="00BE5BAD">
        <w:tab/>
      </w:r>
      <w:r w:rsidR="005C3758">
        <w:rPr>
          <w:rFonts w:eastAsia="MS Mincho"/>
        </w:rPr>
        <w:t xml:space="preserve">mejorar la utilización de las frecuencias marítimas en ondas métricas, de conformidad con la Resolución </w:t>
      </w:r>
      <w:r w:rsidR="005C3758">
        <w:rPr>
          <w:rFonts w:eastAsia="MS Mincho"/>
          <w:b/>
          <w:bCs/>
        </w:rPr>
        <w:t>363 (Rev. CMR-23)</w:t>
      </w:r>
      <w:r w:rsidR="005C3758" w:rsidRPr="00B149F3">
        <w:rPr>
          <w:rFonts w:eastAsia="MS Mincho"/>
        </w:rPr>
        <w:t>;</w:t>
      </w:r>
      <w:r w:rsidR="008C54CC">
        <w:rPr>
          <w:rFonts w:eastAsia="MS Mincho"/>
          <w:b/>
          <w:bCs/>
        </w:rPr>
        <w:t xml:space="preserve"> </w:t>
      </w:r>
      <w:r w:rsidRPr="00BE5BAD">
        <w:rPr>
          <w:b/>
          <w:bCs/>
          <w:color w:val="FF0000"/>
        </w:rPr>
        <w:t>[</w:t>
      </w:r>
      <w:r w:rsidR="005C3758">
        <w:rPr>
          <w:b/>
          <w:bCs/>
          <w:color w:val="FF0000"/>
        </w:rPr>
        <w:t>Véase el</w:t>
      </w:r>
      <w:r w:rsidRPr="00BE5BAD">
        <w:rPr>
          <w:b/>
          <w:bCs/>
          <w:color w:val="FF0000"/>
        </w:rPr>
        <w:t xml:space="preserve"> Add</w:t>
      </w:r>
      <w:r w:rsidR="008A3B2B">
        <w:rPr>
          <w:b/>
          <w:bCs/>
          <w:color w:val="FF0000"/>
        </w:rPr>
        <w:t>é</w:t>
      </w:r>
      <w:r w:rsidRPr="00BE5BAD">
        <w:rPr>
          <w:b/>
          <w:bCs/>
          <w:color w:val="FF0000"/>
        </w:rPr>
        <w:t>ndum 10 (Add.27)]</w:t>
      </w:r>
    </w:p>
    <w:p w14:paraId="6BA841BC" w14:textId="4BC7FD62" w:rsidR="00AB38FD" w:rsidRPr="00BE5BAD" w:rsidRDefault="00AB38FD" w:rsidP="00AB38FD">
      <w:pPr>
        <w:rPr>
          <w:rFonts w:eastAsia="MS Mincho"/>
        </w:rPr>
      </w:pPr>
      <w:r w:rsidRPr="00BE5BAD">
        <w:rPr>
          <w:rFonts w:eastAsia="MS Mincho"/>
        </w:rPr>
        <w:t>1.3</w:t>
      </w:r>
      <w:r w:rsidRPr="00BE5BAD">
        <w:rPr>
          <w:rFonts w:eastAsia="MS Mincho"/>
        </w:rPr>
        <w:tab/>
      </w:r>
      <w:r w:rsidR="00B21095">
        <w:rPr>
          <w:szCs w:val="24"/>
          <w:lang w:eastAsia="ko-KR"/>
        </w:rPr>
        <w:t xml:space="preserve">estudiar y desarrollar medidas técnicas y reglamentarias parara garantizar la coexistencia entre los radares de apertura sintética (SAR) a bordo de vehículos espaciales del servicio de exploración de la Tierra por satélite (activo) y el servicio de radiodeterminación en la banda de frencuencias 9 200 – 10 400 MHz, de conformidad con la Resolución </w:t>
      </w:r>
      <w:r w:rsidR="00B21095">
        <w:rPr>
          <w:b/>
          <w:bCs/>
          <w:szCs w:val="24"/>
          <w:lang w:eastAsia="ko-KR"/>
        </w:rPr>
        <w:t>[ACP-AI10-7) (CMR-23)</w:t>
      </w:r>
      <w:r w:rsidR="008C54CC" w:rsidRPr="00B149F3">
        <w:t>;</w:t>
      </w:r>
      <w:r w:rsidR="008C54CC">
        <w:rPr>
          <w:b/>
          <w:bCs/>
          <w:szCs w:val="24"/>
          <w:lang w:eastAsia="ko-KR"/>
        </w:rPr>
        <w:t xml:space="preserve"> </w:t>
      </w:r>
      <w:r w:rsidRPr="00BE5BAD">
        <w:rPr>
          <w:b/>
          <w:bCs/>
          <w:color w:val="FF0000"/>
        </w:rPr>
        <w:t>[</w:t>
      </w:r>
      <w:r w:rsidR="00B21095">
        <w:rPr>
          <w:b/>
          <w:bCs/>
          <w:color w:val="FF0000"/>
        </w:rPr>
        <w:t>Véase el</w:t>
      </w:r>
      <w:r w:rsidRPr="00BE5BAD">
        <w:rPr>
          <w:b/>
          <w:bCs/>
          <w:color w:val="FF0000"/>
        </w:rPr>
        <w:t xml:space="preserve"> Add</w:t>
      </w:r>
      <w:r w:rsidR="00B21095">
        <w:rPr>
          <w:b/>
          <w:bCs/>
          <w:color w:val="FF0000"/>
        </w:rPr>
        <w:t>é</w:t>
      </w:r>
      <w:r w:rsidRPr="00BE5BAD">
        <w:rPr>
          <w:b/>
          <w:bCs/>
          <w:color w:val="FF0000"/>
        </w:rPr>
        <w:t>ndum 13 (Add.27)]</w:t>
      </w:r>
    </w:p>
    <w:p w14:paraId="30EECC59" w14:textId="6E397AF1" w:rsidR="00AB38FD" w:rsidRPr="00BE5BAD" w:rsidRDefault="00AB38FD" w:rsidP="00AB38FD">
      <w:pPr>
        <w:rPr>
          <w:rFonts w:eastAsia="MS Mincho"/>
        </w:rPr>
      </w:pPr>
      <w:r w:rsidRPr="00BE5BAD">
        <w:rPr>
          <w:rFonts w:eastAsia="MS Mincho"/>
        </w:rPr>
        <w:t>1.4</w:t>
      </w:r>
      <w:r w:rsidRPr="00BE5BAD">
        <w:rPr>
          <w:rFonts w:eastAsia="MS Mincho"/>
        </w:rPr>
        <w:tab/>
      </w:r>
      <w:r w:rsidR="00AC3CC3">
        <w:t xml:space="preserve">para considerar disposiciones reglamentarias para los sensores meteorológicos espaciales, incluida una definición y designación del servicio de radiocomunicaciones correspondiente, y </w:t>
      </w:r>
      <w:r w:rsidR="00873C36">
        <w:t>posibles nuevas atribuciones</w:t>
      </w:r>
      <w:r w:rsidR="00AC3CC3">
        <w:t xml:space="preserve"> al servicio de radiocomunicaciones designado, (por ejemplo, MetAids) en las gamas de frecuencias en torno a 30</w:t>
      </w:r>
      <w:r w:rsidR="00B149F3">
        <w:t> </w:t>
      </w:r>
      <w:r w:rsidR="00AC3CC3">
        <w:t xml:space="preserve">MHz, 38,2 MHz, </w:t>
      </w:r>
      <w:r w:rsidR="00AC3CC3">
        <w:rPr>
          <w:i/>
          <w:iCs/>
        </w:rPr>
        <w:t>y otras gamas de frecuencia adicionales, según decida la CMR-23</w:t>
      </w:r>
      <w:r w:rsidR="00AC3CC3">
        <w:rPr>
          <w:i/>
          <w:iCs/>
          <w:vertAlign w:val="superscript"/>
        </w:rPr>
        <w:t>Nota</w:t>
      </w:r>
      <w:r w:rsidR="00873C36">
        <w:t xml:space="preserve">, de conformidad con la Resolución </w:t>
      </w:r>
      <w:r w:rsidR="00873C36">
        <w:rPr>
          <w:b/>
          <w:bCs/>
        </w:rPr>
        <w:t>657 (Rev.CMR-23)</w:t>
      </w:r>
      <w:r w:rsidR="00873C36">
        <w:t>;</w:t>
      </w:r>
      <w:r w:rsidR="00AC3CC3">
        <w:t xml:space="preserve"> </w:t>
      </w:r>
      <w:r w:rsidRPr="00BE5BAD">
        <w:rPr>
          <w:b/>
          <w:bCs/>
          <w:color w:val="FF0000"/>
        </w:rPr>
        <w:t>[</w:t>
      </w:r>
      <w:r w:rsidR="00873C36">
        <w:rPr>
          <w:b/>
          <w:bCs/>
          <w:color w:val="FF0000"/>
        </w:rPr>
        <w:t>Véase el Addéndum</w:t>
      </w:r>
      <w:r w:rsidRPr="00BE5BAD">
        <w:rPr>
          <w:b/>
          <w:bCs/>
          <w:color w:val="FF0000"/>
        </w:rPr>
        <w:t xml:space="preserve"> 14 (Add.27)]</w:t>
      </w:r>
    </w:p>
    <w:p w14:paraId="71ABB642" w14:textId="52203A40" w:rsidR="00BB1422" w:rsidRPr="00404326" w:rsidRDefault="00BB1422" w:rsidP="00BB1422">
      <w:pPr>
        <w:rPr>
          <w:i/>
          <w:lang w:eastAsia="ja-JP"/>
        </w:rPr>
      </w:pPr>
      <w:r w:rsidRPr="00404326">
        <w:rPr>
          <w:i/>
        </w:rPr>
        <w:t>Not</w:t>
      </w:r>
      <w:r w:rsidR="00404326" w:rsidRPr="00404326">
        <w:rPr>
          <w:i/>
        </w:rPr>
        <w:t>a</w:t>
      </w:r>
      <w:r w:rsidRPr="00404326">
        <w:rPr>
          <w:i/>
        </w:rPr>
        <w:t>:</w:t>
      </w:r>
      <w:r w:rsidR="00B149F3">
        <w:rPr>
          <w:i/>
        </w:rPr>
        <w:t xml:space="preserve"> </w:t>
      </w:r>
      <w:r w:rsidR="00404326" w:rsidRPr="00404326">
        <w:rPr>
          <w:i/>
          <w:lang w:eastAsia="ja-JP"/>
        </w:rPr>
        <w:t>En lo que respecta a la posibilidad de incluir o</w:t>
      </w:r>
      <w:r w:rsidR="00404326">
        <w:rPr>
          <w:i/>
          <w:lang w:eastAsia="ja-JP"/>
        </w:rPr>
        <w:t>tras bandas de frecuencia</w:t>
      </w:r>
      <w:r w:rsidR="00433EE0">
        <w:rPr>
          <w:i/>
          <w:lang w:eastAsia="ja-JP"/>
        </w:rPr>
        <w:t>s,</w:t>
      </w:r>
      <w:r w:rsidR="00404326">
        <w:rPr>
          <w:i/>
          <w:lang w:eastAsia="ja-JP"/>
        </w:rPr>
        <w:t xml:space="preserve"> se hará una consideración y un examen por los Miembros de la ATP en la CMR-23.</w:t>
      </w:r>
    </w:p>
    <w:p w14:paraId="54224055" w14:textId="57FFAA30" w:rsidR="00AB38FD" w:rsidRPr="00BE5BAD" w:rsidRDefault="00AB38FD" w:rsidP="00AB38FD">
      <w:pPr>
        <w:rPr>
          <w:rFonts w:eastAsia="MS Mincho"/>
        </w:rPr>
      </w:pPr>
      <w:r w:rsidRPr="00BE5BAD">
        <w:rPr>
          <w:rFonts w:eastAsia="MS Mincho"/>
        </w:rPr>
        <w:t>1.5</w:t>
      </w:r>
      <w:r w:rsidRPr="00BE5BAD">
        <w:rPr>
          <w:rFonts w:eastAsia="MS Mincho"/>
        </w:rPr>
        <w:tab/>
      </w:r>
      <w:r w:rsidR="00A65B44">
        <w:rPr>
          <w:rFonts w:eastAsia="MS Mincho"/>
        </w:rPr>
        <w:t>considerar una nueva atribución a título primario al servicio fijo por satélite (espacio-Tierra) en la banda de frecuencias 17,3</w:t>
      </w:r>
      <w:r w:rsidR="00314564">
        <w:rPr>
          <w:rFonts w:eastAsia="MS Mincho"/>
        </w:rPr>
        <w:t>-</w:t>
      </w:r>
      <w:r w:rsidR="00A65B44">
        <w:rPr>
          <w:rFonts w:eastAsia="MS Mincho"/>
        </w:rPr>
        <w:t xml:space="preserve">17,7 GHz en la Región </w:t>
      </w:r>
      <w:r w:rsidR="00314564">
        <w:rPr>
          <w:rFonts w:eastAsia="MS Mincho"/>
        </w:rPr>
        <w:t>3</w:t>
      </w:r>
      <w:r w:rsidR="00A65B44">
        <w:rPr>
          <w:rFonts w:eastAsia="MS Mincho"/>
        </w:rPr>
        <w:t>, y una posible nueva atribución al servicio de radiodifusión por satélite (espacio-Tierra) en la banda de frecuencias 17,3-17,8 GHz en la Región 3, al tiempo que se garantiza la protección de las atribuciones primarias existentes en la misma banda y en bandas adyacentes;</w:t>
      </w:r>
      <w:r w:rsidR="003E69FC">
        <w:rPr>
          <w:rFonts w:eastAsia="MS Mincho"/>
        </w:rPr>
        <w:t xml:space="preserve"> y los estudios sobre medidas para proteger los servicios primarios de atribución secundaria del servicio de radiolocalización en la banda de frencuencias 17,3</w:t>
      </w:r>
      <w:r w:rsidR="00314564">
        <w:rPr>
          <w:rFonts w:eastAsia="MS Mincho"/>
        </w:rPr>
        <w:noBreakHyphen/>
      </w:r>
      <w:r w:rsidR="003E69FC">
        <w:rPr>
          <w:rFonts w:eastAsia="MS Mincho"/>
        </w:rPr>
        <w:t>17,7</w:t>
      </w:r>
      <w:r w:rsidR="00314564">
        <w:rPr>
          <w:rFonts w:eastAsia="MS Mincho"/>
        </w:rPr>
        <w:t> </w:t>
      </w:r>
      <w:r w:rsidR="003E69FC">
        <w:rPr>
          <w:rFonts w:eastAsia="MS Mincho"/>
        </w:rPr>
        <w:t>GHz en la Región 3 con miras a elaborar las disposiciones que se aplican a los satélites no-geoestacionarios de los sistemas del SFS (</w:t>
      </w:r>
      <w:r w:rsidR="00433EE0">
        <w:rPr>
          <w:rFonts w:eastAsia="MS Mincho"/>
        </w:rPr>
        <w:t>e</w:t>
      </w:r>
      <w:r w:rsidR="003E69FC">
        <w:rPr>
          <w:rFonts w:eastAsia="MS Mincho"/>
        </w:rPr>
        <w:t>spacio-Tierra) en la banda de frecuencia 17,3</w:t>
      </w:r>
      <w:r w:rsidR="00314564">
        <w:rPr>
          <w:rFonts w:eastAsia="MS Mincho"/>
        </w:rPr>
        <w:noBreakHyphen/>
      </w:r>
      <w:r w:rsidR="003E69FC">
        <w:rPr>
          <w:rFonts w:eastAsia="MS Mincho"/>
        </w:rPr>
        <w:t>17,8</w:t>
      </w:r>
      <w:r w:rsidR="00314564">
        <w:rPr>
          <w:rFonts w:eastAsia="MS Mincho"/>
        </w:rPr>
        <w:t> </w:t>
      </w:r>
      <w:r w:rsidR="003E69FC">
        <w:rPr>
          <w:rFonts w:eastAsia="MS Mincho"/>
        </w:rPr>
        <w:t xml:space="preserve">GHz en todas las Regiones, de conformidad con la Resolución </w:t>
      </w:r>
      <w:r w:rsidR="003E69FC">
        <w:rPr>
          <w:rFonts w:eastAsia="MS Mincho"/>
          <w:b/>
          <w:bCs/>
        </w:rPr>
        <w:t>[ACP-AI10-8] (CMR</w:t>
      </w:r>
      <w:r w:rsidR="00314564">
        <w:rPr>
          <w:rFonts w:eastAsia="MS Mincho"/>
          <w:b/>
          <w:bCs/>
        </w:rPr>
        <w:noBreakHyphen/>
      </w:r>
      <w:r w:rsidR="003E69FC">
        <w:rPr>
          <w:rFonts w:eastAsia="MS Mincho"/>
          <w:b/>
          <w:bCs/>
        </w:rPr>
        <w:t>23)</w:t>
      </w:r>
      <w:r w:rsidR="003E69FC">
        <w:rPr>
          <w:rFonts w:eastAsia="MS Mincho"/>
        </w:rPr>
        <w:t xml:space="preserve">; </w:t>
      </w:r>
      <w:r w:rsidRPr="00BE5BAD">
        <w:rPr>
          <w:b/>
          <w:bCs/>
          <w:color w:val="FF0000"/>
        </w:rPr>
        <w:t>[</w:t>
      </w:r>
      <w:r w:rsidR="003E69FC">
        <w:rPr>
          <w:b/>
          <w:bCs/>
          <w:color w:val="FF0000"/>
        </w:rPr>
        <w:t>Véase el Addéndum</w:t>
      </w:r>
      <w:r w:rsidRPr="00BE5BAD">
        <w:rPr>
          <w:b/>
          <w:bCs/>
          <w:color w:val="FF0000"/>
        </w:rPr>
        <w:t xml:space="preserve"> 20 (Add.27)]</w:t>
      </w:r>
    </w:p>
    <w:p w14:paraId="585D7CB2" w14:textId="7C0E990C" w:rsidR="00AB38FD" w:rsidRPr="00605EC9" w:rsidRDefault="00AB38FD" w:rsidP="00314564">
      <w:pPr>
        <w:keepNext/>
        <w:keepLines/>
      </w:pPr>
      <w:r w:rsidRPr="00BE5BAD">
        <w:lastRenderedPageBreak/>
        <w:t>2</w:t>
      </w:r>
      <w:r w:rsidRPr="00BE5BAD">
        <w:tab/>
      </w:r>
      <w:r w:rsidR="00605EC9">
        <w:t>examinar las Recomendaciones UIT-R incorporadas por referencia en el Reglamento de Radiocomunicaciones</w:t>
      </w:r>
      <w:r w:rsidR="00433EE0">
        <w:t xml:space="preserve"> </w:t>
      </w:r>
      <w:r w:rsidR="00605EC9">
        <w:t xml:space="preserve">comunicadas por la Asamblea de Radiocomunicaciones de acuerdo con la Resolución </w:t>
      </w:r>
      <w:r w:rsidR="00605EC9">
        <w:rPr>
          <w:b/>
          <w:bCs/>
        </w:rPr>
        <w:t xml:space="preserve">27 (Rev.CMR-19), </w:t>
      </w:r>
      <w:r w:rsidR="00605EC9">
        <w:t xml:space="preserve">y decidir si se actualizan o no las referencias correspondientes en el Reglamento de Radiocomunicaciones, con arreglo a los principios contenidos en los </w:t>
      </w:r>
      <w:r w:rsidR="00605EC9">
        <w:rPr>
          <w:i/>
          <w:iCs/>
        </w:rPr>
        <w:t>resuelves</w:t>
      </w:r>
      <w:r w:rsidR="00605EC9">
        <w:t xml:space="preserve"> de dicha Resolución;</w:t>
      </w:r>
    </w:p>
    <w:p w14:paraId="1585986D" w14:textId="779B5EF9" w:rsidR="00AB38FD" w:rsidRPr="00BE5BAD" w:rsidRDefault="00AB38FD" w:rsidP="00AB38FD">
      <w:r w:rsidRPr="00BE5BAD">
        <w:t>3</w:t>
      </w:r>
      <w:r w:rsidRPr="00BE5BAD">
        <w:tab/>
      </w:r>
      <w:r w:rsidR="00393A91">
        <w:t>examinar los cambios y las modificaciones consiguientes en el Reglamento de Radiocomunicaciones que requieran las decisiones de la Conferencia;</w:t>
      </w:r>
    </w:p>
    <w:p w14:paraId="41354652" w14:textId="0813F8A0" w:rsidR="00AB38FD" w:rsidRPr="00393A91" w:rsidRDefault="00AB38FD" w:rsidP="00AB38FD">
      <w:pPr>
        <w:rPr>
          <w:color w:val="000000" w:themeColor="text1"/>
        </w:rPr>
      </w:pPr>
      <w:r w:rsidRPr="00BE5BAD">
        <w:t>4</w:t>
      </w:r>
      <w:r w:rsidRPr="00BE5BAD">
        <w:tab/>
      </w:r>
      <w:r w:rsidR="00393A91">
        <w:t xml:space="preserve">de conformidad con la Resolución </w:t>
      </w:r>
      <w:r w:rsidR="00393A91">
        <w:rPr>
          <w:b/>
          <w:bCs/>
        </w:rPr>
        <w:t>95 (Rev.CMR-19)</w:t>
      </w:r>
      <w:r w:rsidR="00393A91">
        <w:t>, considerar las Resoluciones y Recomendaciones de las conferencias anteriores para su posible revisión, sustitución o supresión;</w:t>
      </w:r>
    </w:p>
    <w:p w14:paraId="33D77E86" w14:textId="3DA3F223" w:rsidR="00AB38FD" w:rsidRPr="00BE5BAD" w:rsidRDefault="00AB38FD" w:rsidP="00AB38FD">
      <w:r w:rsidRPr="00BE5BAD">
        <w:t>5</w:t>
      </w:r>
      <w:r w:rsidRPr="00BE5BAD">
        <w:tab/>
      </w:r>
      <w:r w:rsidR="00393A91">
        <w:t>examinar el Informe de la Asamblea de Radiocomunicaciones presentado de acuerdo con los números 135 y 136 del Convenio de la UIT</w:t>
      </w:r>
      <w:r w:rsidR="008C54CC">
        <w:t>;</w:t>
      </w:r>
    </w:p>
    <w:p w14:paraId="6D1DA023" w14:textId="558D0639" w:rsidR="00AB38FD" w:rsidRPr="00BE5BAD" w:rsidRDefault="00AB38FD" w:rsidP="00AB38FD">
      <w:r w:rsidRPr="00BE5BAD">
        <w:t>6</w:t>
      </w:r>
      <w:r w:rsidRPr="00BE5BAD">
        <w:tab/>
      </w:r>
      <w:r w:rsidR="00393A91">
        <w:t>identificar los temas que exigen medidas urgentes de las Comisiones de Estudio de Radiocomunicaciones para la preparación de la próxima Conferencia Mundial de Radiocomunicaciones;</w:t>
      </w:r>
    </w:p>
    <w:p w14:paraId="2495472B" w14:textId="54054AF9" w:rsidR="00AB38FD" w:rsidRPr="00393A91" w:rsidRDefault="00AB38FD" w:rsidP="00AB38FD">
      <w:pPr>
        <w:rPr>
          <w:bCs/>
        </w:rPr>
      </w:pPr>
      <w:r w:rsidRPr="00BE5BAD">
        <w:t>7</w:t>
      </w:r>
      <w:r w:rsidRPr="00BE5BAD">
        <w:tab/>
      </w:r>
      <w:r w:rsidR="00393A91">
        <w:rPr>
          <w:bCs/>
        </w:rPr>
        <w:t xml:space="preserve">considerar posibles modificaciones para responder a lo dispuesto en la Resolución 86 (Rev. Marrakech, 2002) de la Conferencia de Plenipotenciarios, relativa a los procedimientos de publicación anticipada, de coordinación, de notificación y de inscripción de asignaciones de frecuencias de redes de satélite, de conformidad con la Resolución </w:t>
      </w:r>
      <w:r w:rsidR="00393A91">
        <w:rPr>
          <w:b/>
        </w:rPr>
        <w:t>86 (Rev.CMR-07)</w:t>
      </w:r>
      <w:r w:rsidR="00393A91">
        <w:rPr>
          <w:bCs/>
        </w:rPr>
        <w:t>, para facilitar el uso racional, eficiente y económico de las radiofrecuencias y órbitas asociadas, incluida la órbita de los satélites geoestacionarios</w:t>
      </w:r>
      <w:r w:rsidR="008C54CC">
        <w:t>;</w:t>
      </w:r>
    </w:p>
    <w:p w14:paraId="0DD7F831" w14:textId="3018BDDF" w:rsidR="00AB38FD" w:rsidRPr="00A74374" w:rsidRDefault="00AB38FD" w:rsidP="00AB38FD">
      <w:pPr>
        <w:rPr>
          <w:bCs/>
        </w:rPr>
      </w:pPr>
      <w:r w:rsidRPr="00BE5BAD">
        <w:t>8</w:t>
      </w:r>
      <w:r w:rsidRPr="00BE5BAD">
        <w:tab/>
      </w:r>
      <w:r w:rsidR="00A74374">
        <w:rPr>
          <w:bCs/>
        </w:rPr>
        <w:t xml:space="preserve">examinar las propuestas recibidas por las administraciones de suprimir las notas de sus países o de que se suprima el nombre de sus países de las notas, cuando ya no sea necesario, tomando en cuenta la Resolución </w:t>
      </w:r>
      <w:r w:rsidR="00A74374">
        <w:rPr>
          <w:b/>
        </w:rPr>
        <w:t>26 (Rev.CMR-23)</w:t>
      </w:r>
      <w:r w:rsidR="00A74374">
        <w:rPr>
          <w:bCs/>
        </w:rPr>
        <w:t>;</w:t>
      </w:r>
    </w:p>
    <w:p w14:paraId="315932CA" w14:textId="3546D518" w:rsidR="00AB38FD" w:rsidRPr="00BE5BAD" w:rsidRDefault="00AB38FD" w:rsidP="008C54CC">
      <w:r w:rsidRPr="00BE5BAD">
        <w:t>9</w:t>
      </w:r>
      <w:r w:rsidRPr="00BE5BAD">
        <w:tab/>
      </w:r>
      <w:r w:rsidR="002C1A6F">
        <w:t xml:space="preserve">examinar y aprobar el Informe del </w:t>
      </w:r>
      <w:proofErr w:type="gramStart"/>
      <w:r w:rsidR="002C1A6F">
        <w:t>Director</w:t>
      </w:r>
      <w:proofErr w:type="gramEnd"/>
      <w:r w:rsidR="002C1A6F">
        <w:t xml:space="preserve"> de la Oficina de Radiocomunicaciones, de conformidad con el Artículo 7 de la Convención de la UIT</w:t>
      </w:r>
      <w:r w:rsidR="008C54CC">
        <w:t>:</w:t>
      </w:r>
    </w:p>
    <w:p w14:paraId="45FE31B2" w14:textId="5965C71A" w:rsidR="00AB38FD" w:rsidRPr="00BE5BAD" w:rsidRDefault="00AB38FD" w:rsidP="008C54CC">
      <w:r w:rsidRPr="00BE5BAD">
        <w:t>9.1</w:t>
      </w:r>
      <w:r w:rsidRPr="00BE5BAD">
        <w:tab/>
      </w:r>
      <w:r w:rsidR="00EB096A">
        <w:t>sobre las actividades del Sector de Radiocomunicaciones desde la CMR-23;</w:t>
      </w:r>
      <w:r w:rsidR="00EB096A" w:rsidRPr="00BE5BAD">
        <w:rPr>
          <w:rStyle w:val="FootnoteReference"/>
        </w:rPr>
        <w:footnoteReference w:id="3"/>
      </w:r>
    </w:p>
    <w:p w14:paraId="43C549FD" w14:textId="4D1B21ED" w:rsidR="00AB38FD" w:rsidRPr="00BE5BAD" w:rsidRDefault="00AB38FD" w:rsidP="008C54CC">
      <w:r w:rsidRPr="00BE5BAD">
        <w:t>9.2</w:t>
      </w:r>
      <w:r w:rsidRPr="00BE5BAD">
        <w:tab/>
      </w:r>
      <w:r w:rsidR="00DF0A1A">
        <w:t xml:space="preserve">sobre las dificultades o </w:t>
      </w:r>
      <w:r w:rsidR="00A84D6A">
        <w:t>incoherencias</w:t>
      </w:r>
      <w:r w:rsidR="00DF0A1A">
        <w:t xml:space="preserve"> observadas en la aplicación del Reglamento de Radiocomunicaciones;</w:t>
      </w:r>
      <w:r w:rsidR="00DF0A1A" w:rsidRPr="00BE5BAD">
        <w:rPr>
          <w:rStyle w:val="FootnoteReference"/>
        </w:rPr>
        <w:footnoteReference w:id="4"/>
      </w:r>
      <w:r w:rsidR="00DF0A1A" w:rsidRPr="00BE5BAD">
        <w:t xml:space="preserve"> </w:t>
      </w:r>
      <w:r w:rsidR="00DF0A1A">
        <w:t>y</w:t>
      </w:r>
    </w:p>
    <w:p w14:paraId="02B43DF7" w14:textId="6A1A18E2" w:rsidR="00AB38FD" w:rsidRPr="00DF0A1A" w:rsidRDefault="00AB38FD" w:rsidP="008C54CC">
      <w:r w:rsidRPr="00BE5BAD">
        <w:t>9.3</w:t>
      </w:r>
      <w:r w:rsidRPr="00BE5BAD">
        <w:tab/>
      </w:r>
      <w:r w:rsidR="00DF0A1A">
        <w:t xml:space="preserve">sobre acciones en respuesta a la Resolución </w:t>
      </w:r>
      <w:r w:rsidR="00DF0A1A">
        <w:rPr>
          <w:b/>
        </w:rPr>
        <w:t>80 (Rev.CMR-07)</w:t>
      </w:r>
      <w:r w:rsidR="008C54CC">
        <w:t>;</w:t>
      </w:r>
    </w:p>
    <w:p w14:paraId="57B9D20B" w14:textId="16D341A9" w:rsidR="00AB38FD" w:rsidRPr="008C54CC" w:rsidRDefault="00AB38FD" w:rsidP="00AB38FD">
      <w:r w:rsidRPr="00BE5BAD">
        <w:t>10</w:t>
      </w:r>
      <w:r w:rsidRPr="00BE5BAD">
        <w:rPr>
          <w:b/>
          <w:bCs/>
        </w:rPr>
        <w:tab/>
      </w:r>
      <w:r w:rsidR="00A84D6A">
        <w:rPr>
          <w:iCs/>
        </w:rPr>
        <w:t xml:space="preserve">recomendar al Consejo los puntos que han de incluirse en el orden del día de la próxima CMR, y formular opiniones sobre el orden del día preliminar de la conferencia subsiguiente y sobre los posibles órdenes del día de futuras conferencias, teniendo en cuenta el Artículo 7 del Convenio </w:t>
      </w:r>
      <w:r w:rsidR="00A84D6A" w:rsidRPr="008C54CC">
        <w:t xml:space="preserve">de la UIT y la Resolución </w:t>
      </w:r>
      <w:r w:rsidR="00A84D6A" w:rsidRPr="008C382A">
        <w:rPr>
          <w:b/>
          <w:bCs/>
        </w:rPr>
        <w:t>804 (Rev.CM</w:t>
      </w:r>
      <w:r w:rsidR="008C382A">
        <w:rPr>
          <w:b/>
          <w:bCs/>
        </w:rPr>
        <w:t>R</w:t>
      </w:r>
      <w:r w:rsidR="00A84D6A" w:rsidRPr="008C382A">
        <w:rPr>
          <w:b/>
          <w:bCs/>
        </w:rPr>
        <w:t>-19)</w:t>
      </w:r>
      <w:r w:rsidR="00A84D6A" w:rsidRPr="008C54CC">
        <w:t>,</w:t>
      </w:r>
    </w:p>
    <w:p w14:paraId="0EBBDB60" w14:textId="6FC03FDA" w:rsidR="00AB38FD" w:rsidRPr="00BE5BAD" w:rsidRDefault="00C652A6" w:rsidP="00CA67AE">
      <w:pPr>
        <w:pStyle w:val="Call"/>
      </w:pPr>
      <w:r>
        <w:lastRenderedPageBreak/>
        <w:t>Invita al Consejo de la UIT</w:t>
      </w:r>
    </w:p>
    <w:p w14:paraId="57DBA127" w14:textId="6EE238ED" w:rsidR="00AB38FD" w:rsidRPr="00C652A6" w:rsidRDefault="00C652A6" w:rsidP="00AB38FD">
      <w:r w:rsidRPr="00C652A6">
        <w:t>a que ultime el orden del día y tome las disposiciones necesarias para convocar la CMR-2</w:t>
      </w:r>
      <w:r w:rsidR="002F5F22">
        <w:t>7</w:t>
      </w:r>
      <w:r w:rsidRPr="00C652A6">
        <w:t>, ya que inicie a la</w:t>
      </w:r>
      <w:r>
        <w:t xml:space="preserve"> mayor brevedad posible las consultas necesarias con los Estados Miembros,</w:t>
      </w:r>
    </w:p>
    <w:p w14:paraId="1FC2469D" w14:textId="68857EAB" w:rsidR="00AB38FD" w:rsidRPr="00C652A6" w:rsidRDefault="00C652A6" w:rsidP="00CA67AE">
      <w:pPr>
        <w:pStyle w:val="Call"/>
      </w:pPr>
      <w:r w:rsidRPr="00C652A6">
        <w:t>encarga al Director de l</w:t>
      </w:r>
      <w:r>
        <w:t>a Oficina de Radiocomunicaciones</w:t>
      </w:r>
    </w:p>
    <w:p w14:paraId="7B1BA8A8" w14:textId="04E0D6D9" w:rsidR="00AB38FD" w:rsidRPr="00BE5BAD" w:rsidRDefault="00AB38FD" w:rsidP="00AB38FD">
      <w:r w:rsidRPr="00BE5BAD">
        <w:t>1</w:t>
      </w:r>
      <w:r w:rsidRPr="00BE5BAD">
        <w:tab/>
      </w:r>
      <w:r w:rsidR="00C652A6">
        <w:rPr>
          <w:bCs/>
        </w:rPr>
        <w:t>que tome las medidas necesarias para convocar las sesiones de la Reunión Preparatoria de la Conferencia (RPC) y elabore un informe a la CMR-27</w:t>
      </w:r>
      <w:r w:rsidR="004800DA">
        <w:t>;</w:t>
      </w:r>
    </w:p>
    <w:p w14:paraId="6F223B00" w14:textId="409EF70F" w:rsidR="00AB38FD" w:rsidRPr="00BE5BAD" w:rsidRDefault="00AB38FD" w:rsidP="00AB38FD">
      <w:r w:rsidRPr="00BE5BAD">
        <w:t>2</w:t>
      </w:r>
      <w:r w:rsidRPr="00BE5BAD">
        <w:tab/>
      </w:r>
      <w:r w:rsidR="00C417A2">
        <w:rPr>
          <w:bCs/>
        </w:rPr>
        <w:t>que presente a la segunda sesión de la RPC un proyecto de Informe sobre dificultades o incoherencias observadas en la aplicación del Reglamento de Radiocomunicaciones relativas al punto 9.2 del orden del día y que presente el Informe final al menos cinco meses antes de la próxima CMR,</w:t>
      </w:r>
    </w:p>
    <w:p w14:paraId="0F3E6684" w14:textId="01BAECA8" w:rsidR="00AB38FD" w:rsidRPr="00601F41" w:rsidRDefault="00C417A2" w:rsidP="00CA67AE">
      <w:pPr>
        <w:pStyle w:val="Call"/>
      </w:pPr>
      <w:r w:rsidRPr="00601F41">
        <w:t>encarga al Secretario General</w:t>
      </w:r>
    </w:p>
    <w:p w14:paraId="67EF7EA3" w14:textId="42A2CBD2" w:rsidR="00AB38FD" w:rsidRPr="00C417A2" w:rsidRDefault="00C417A2" w:rsidP="00AB38FD">
      <w:r w:rsidRPr="00C417A2">
        <w:t>que comunique la presente Resolución a las organizaciones internaciones y regionales interesa</w:t>
      </w:r>
      <w:r>
        <w:t>das</w:t>
      </w:r>
      <w:r w:rsidR="00C70307">
        <w:t>.</w:t>
      </w:r>
    </w:p>
    <w:p w14:paraId="401A6EA7" w14:textId="7B78D13D" w:rsidR="00601F41" w:rsidRPr="00BE5BAD" w:rsidRDefault="00C417A2">
      <w:pPr>
        <w:pStyle w:val="Reasons"/>
      </w:pPr>
      <w:r>
        <w:rPr>
          <w:b/>
        </w:rPr>
        <w:t>Motivo</w:t>
      </w:r>
      <w:r w:rsidR="00AB38FD" w:rsidRPr="00BE5BAD">
        <w:rPr>
          <w:b/>
        </w:rPr>
        <w:t>s:</w:t>
      </w:r>
      <w:r w:rsidR="00AB38FD" w:rsidRPr="00BE5BAD">
        <w:tab/>
      </w:r>
      <w:r w:rsidR="00C70307">
        <w:t>Esta n</w:t>
      </w:r>
      <w:r>
        <w:t>ueva Resolución incluye el orden del día de la CMR-27.</w:t>
      </w:r>
    </w:p>
    <w:p w14:paraId="22DABE98" w14:textId="77777777" w:rsidR="00106DCA" w:rsidRPr="00BE5BAD" w:rsidRDefault="00597865">
      <w:pPr>
        <w:pStyle w:val="Proposal"/>
      </w:pPr>
      <w:r w:rsidRPr="00BE5BAD">
        <w:t>ADD</w:t>
      </w:r>
      <w:r w:rsidRPr="00BE5BAD">
        <w:tab/>
        <w:t>ACP/62A27A1/4</w:t>
      </w:r>
    </w:p>
    <w:p w14:paraId="46F6493D" w14:textId="3439FF3C" w:rsidR="0002476D" w:rsidRPr="00BE5BAD" w:rsidRDefault="003F0D50" w:rsidP="0002476D">
      <w:pPr>
        <w:pStyle w:val="ResNo"/>
      </w:pPr>
      <w:r>
        <w:t>PROYECTO DE NUEVA RESOLUCIÓN</w:t>
      </w:r>
      <w:r w:rsidR="0002476D" w:rsidRPr="00BE5BAD">
        <w:t xml:space="preserve"> [ACP-AI10-2]</w:t>
      </w:r>
      <w:r w:rsidR="000A1A91" w:rsidRPr="00BE5BAD">
        <w:t xml:space="preserve"> </w:t>
      </w:r>
      <w:r>
        <w:t>(CMR</w:t>
      </w:r>
      <w:r w:rsidR="000A1A91" w:rsidRPr="00BE5BAD">
        <w:t>-23)</w:t>
      </w:r>
    </w:p>
    <w:p w14:paraId="716479A1" w14:textId="5AF60EB0" w:rsidR="0002476D" w:rsidRPr="00BE5BAD" w:rsidRDefault="00B87376" w:rsidP="0002476D">
      <w:pPr>
        <w:pStyle w:val="Restitle"/>
      </w:pPr>
      <w:r>
        <w:t xml:space="preserve">Orden del día preliminar de la Conferencia Mundial </w:t>
      </w:r>
      <w:r w:rsidR="00B12604">
        <w:br/>
      </w:r>
      <w:r>
        <w:t>de Radi</w:t>
      </w:r>
      <w:r w:rsidR="00B12604">
        <w:t>o</w:t>
      </w:r>
      <w:r>
        <w:t>comunicaciones de 2031</w:t>
      </w:r>
    </w:p>
    <w:p w14:paraId="369B18D7" w14:textId="565DC705" w:rsidR="0002476D" w:rsidRPr="00BE5BAD" w:rsidRDefault="00B87376" w:rsidP="0002476D">
      <w:pPr>
        <w:pStyle w:val="Normalaftertitle"/>
      </w:pPr>
      <w:r>
        <w:t>La Conferencia Mundial de Radiocomunicaciones</w:t>
      </w:r>
      <w:r w:rsidR="0002476D" w:rsidRPr="00BE5BAD">
        <w:t xml:space="preserve"> (Dub</w:t>
      </w:r>
      <w:r>
        <w:t>á</w:t>
      </w:r>
      <w:r w:rsidR="0002476D" w:rsidRPr="00BE5BAD">
        <w:t>i, 2023),</w:t>
      </w:r>
    </w:p>
    <w:p w14:paraId="7714B39D" w14:textId="759835D3" w:rsidR="0002476D" w:rsidRPr="00BE5BAD" w:rsidRDefault="0002476D" w:rsidP="00816854">
      <w:pPr>
        <w:pStyle w:val="Call"/>
      </w:pPr>
      <w:r w:rsidRPr="00BE5BAD">
        <w:t>consider</w:t>
      </w:r>
      <w:r w:rsidR="00B87376">
        <w:t>ando</w:t>
      </w:r>
    </w:p>
    <w:p w14:paraId="703B811F" w14:textId="7CB995DD" w:rsidR="0002476D" w:rsidRPr="00BE5BAD" w:rsidRDefault="0002476D" w:rsidP="0002476D">
      <w:r w:rsidRPr="00BE5BAD">
        <w:rPr>
          <w:i/>
        </w:rPr>
        <w:t>a)</w:t>
      </w:r>
      <w:r w:rsidRPr="00BE5BAD">
        <w:tab/>
      </w:r>
      <w:r w:rsidR="00B12604">
        <w:t>que, de conformidad con el número 118 del Convenio de la UIT, el ámbito general del orden del día para la CMR-27 debería establecerse con una antelación de cuatro a seis años;</w:t>
      </w:r>
    </w:p>
    <w:p w14:paraId="35D58277" w14:textId="19D6DBE6" w:rsidR="0002476D" w:rsidRPr="00BE5BAD" w:rsidRDefault="0002476D" w:rsidP="0002476D">
      <w:r w:rsidRPr="00BE5BAD">
        <w:rPr>
          <w:i/>
        </w:rPr>
        <w:t>b)</w:t>
      </w:r>
      <w:r w:rsidRPr="00BE5BAD">
        <w:tab/>
      </w:r>
      <w:r w:rsidR="005D3BFA">
        <w:t>el Artículo 13 de la Constitución de la UIT, sobre competencia y calendario de las conferencias mundiales de radiocomunicaciones, y el Artículo 7 del Convenio, relativo a sus órdenes del día;</w:t>
      </w:r>
    </w:p>
    <w:p w14:paraId="5AFAE0FA" w14:textId="56CAE08A" w:rsidR="0002476D" w:rsidRPr="00BE5BAD" w:rsidRDefault="0002476D" w:rsidP="0002476D">
      <w:r w:rsidRPr="00BE5BAD">
        <w:rPr>
          <w:i/>
        </w:rPr>
        <w:t>c)</w:t>
      </w:r>
      <w:r w:rsidRPr="00BE5BAD">
        <w:tab/>
      </w:r>
      <w:r w:rsidR="005D3BFA">
        <w:t>las Resoluciones y Recomendaciones pertinentes de las anteriores Conferencias Administrativas Mundiales de Radiocomunicaciones (CAMR) y Conferencias Mundiales de Radiocomunicaciones (CMR),</w:t>
      </w:r>
    </w:p>
    <w:p w14:paraId="6595B72D" w14:textId="1DD46896" w:rsidR="0002476D" w:rsidRPr="005D3BFA" w:rsidRDefault="005D3BFA" w:rsidP="0002476D">
      <w:pPr>
        <w:pStyle w:val="Call"/>
      </w:pPr>
      <w:r w:rsidRPr="005D3BFA">
        <w:t xml:space="preserve">resuelve </w:t>
      </w:r>
      <w:r w:rsidR="00894502">
        <w:t>expresa</w:t>
      </w:r>
      <w:r w:rsidRPr="005D3BFA">
        <w:t>r la siguiente o</w:t>
      </w:r>
      <w:r>
        <w:t>pinión</w:t>
      </w:r>
    </w:p>
    <w:p w14:paraId="3BA129D1" w14:textId="11D8172D" w:rsidR="0002476D" w:rsidRPr="002544A1" w:rsidRDefault="002544A1" w:rsidP="0002476D">
      <w:pPr>
        <w:keepNext/>
      </w:pPr>
      <w:r w:rsidRPr="002544A1">
        <w:t>que se incluyan los siguientes puntos del orden del día prelim</w:t>
      </w:r>
      <w:r>
        <w:t xml:space="preserve">inar </w:t>
      </w:r>
      <w:r w:rsidR="002F5F22">
        <w:t xml:space="preserve">a la </w:t>
      </w:r>
      <w:r>
        <w:t>CMR-</w:t>
      </w:r>
      <w:r w:rsidR="0002476D" w:rsidRPr="002544A1">
        <w:t>31:</w:t>
      </w:r>
    </w:p>
    <w:p w14:paraId="30CE030E" w14:textId="0BCF47FD" w:rsidR="0002476D" w:rsidRPr="00BE5BAD" w:rsidRDefault="0002476D" w:rsidP="0002476D">
      <w:r w:rsidRPr="00BE5BAD">
        <w:t>1</w:t>
      </w:r>
      <w:r w:rsidRPr="00BE5BAD">
        <w:tab/>
      </w:r>
      <w:r w:rsidR="00CC62C3">
        <w:t>tomar las medidas adecuadas con respecto a los temas urgentes que solicitó específicamente la CMR-2</w:t>
      </w:r>
      <w:r w:rsidR="002F5F22">
        <w:t>7</w:t>
      </w:r>
      <w:r w:rsidR="00CC62C3">
        <w:t>;</w:t>
      </w:r>
    </w:p>
    <w:p w14:paraId="6A57F88A" w14:textId="768E5C03" w:rsidR="0002476D" w:rsidRPr="00BE5BAD" w:rsidRDefault="0002476D" w:rsidP="0002476D">
      <w:r w:rsidRPr="00BE5BAD">
        <w:t>2</w:t>
      </w:r>
      <w:r w:rsidRPr="00BE5BAD">
        <w:tab/>
      </w:r>
      <w:r w:rsidR="00CC62C3">
        <w:t>sobre la base de las propuestas de las administraciones y el Informe de la Reunión Preparatoria de la Conferencia, teniendo en cuenta los resultados de la CMR-27, a considerar y tomar las medidas adecuadas con respecto a los temas siguientes:</w:t>
      </w:r>
    </w:p>
    <w:p w14:paraId="4BE6B8C6" w14:textId="0AD17AF5" w:rsidR="0002476D" w:rsidRPr="00BE5BAD" w:rsidRDefault="0002476D" w:rsidP="0002476D">
      <w:r w:rsidRPr="00BE5BAD">
        <w:rPr>
          <w:bCs/>
        </w:rPr>
        <w:t>2.1</w:t>
      </w:r>
      <w:r w:rsidRPr="00BE5BAD">
        <w:rPr>
          <w:b/>
        </w:rPr>
        <w:tab/>
      </w:r>
      <w:r w:rsidR="00884F5E" w:rsidRPr="00255B71">
        <w:t>considerar nuevas atribuciones a los servicios fijo, móvil, de radioastronomía y de exploración de la Tierra por satélite (pasivo) en la gama de frecuencias 275-325 GHz a título coprimario en el Cuadro de atribución de bandas de frecuencias del RR con la consiguiente actualización de los número</w:t>
      </w:r>
      <w:r w:rsidR="00176AE5">
        <w:t>s</w:t>
      </w:r>
      <w:r w:rsidR="00884F5E">
        <w:rPr>
          <w:bCs/>
          <w:color w:val="000000" w:themeColor="text1"/>
        </w:rPr>
        <w:t xml:space="preserve"> </w:t>
      </w:r>
      <w:r w:rsidR="00884F5E" w:rsidRPr="00884F5E">
        <w:rPr>
          <w:b/>
          <w:color w:val="000000" w:themeColor="text1"/>
        </w:rPr>
        <w:t>5.138</w:t>
      </w:r>
      <w:r w:rsidR="00884F5E" w:rsidRPr="00176AE5">
        <w:rPr>
          <w:bCs/>
          <w:color w:val="000000" w:themeColor="text1"/>
        </w:rPr>
        <w:t>,</w:t>
      </w:r>
      <w:r w:rsidR="00176AE5" w:rsidRPr="00176AE5">
        <w:rPr>
          <w:bCs/>
          <w:color w:val="000000" w:themeColor="text1"/>
        </w:rPr>
        <w:t xml:space="preserve"> </w:t>
      </w:r>
      <w:r w:rsidR="00884F5E" w:rsidRPr="00884F5E">
        <w:rPr>
          <w:b/>
          <w:color w:val="000000" w:themeColor="text1"/>
        </w:rPr>
        <w:t>5.149</w:t>
      </w:r>
      <w:r w:rsidR="00884F5E" w:rsidRPr="00176AE5">
        <w:rPr>
          <w:bCs/>
          <w:color w:val="000000" w:themeColor="text1"/>
        </w:rPr>
        <w:t>,</w:t>
      </w:r>
      <w:r w:rsidR="00176AE5" w:rsidRPr="00176AE5">
        <w:rPr>
          <w:bCs/>
          <w:color w:val="000000" w:themeColor="text1"/>
        </w:rPr>
        <w:t xml:space="preserve"> </w:t>
      </w:r>
      <w:r w:rsidR="00884F5E" w:rsidRPr="00884F5E">
        <w:rPr>
          <w:b/>
          <w:color w:val="000000" w:themeColor="text1"/>
        </w:rPr>
        <w:t>5.340</w:t>
      </w:r>
      <w:r w:rsidR="00884F5E" w:rsidRPr="00176AE5">
        <w:rPr>
          <w:bCs/>
          <w:color w:val="000000" w:themeColor="text1"/>
        </w:rPr>
        <w:t xml:space="preserve">, </w:t>
      </w:r>
      <w:r w:rsidR="00884F5E" w:rsidRPr="00884F5E">
        <w:rPr>
          <w:b/>
          <w:color w:val="000000" w:themeColor="text1"/>
        </w:rPr>
        <w:t xml:space="preserve">5.564A </w:t>
      </w:r>
      <w:r w:rsidR="00884F5E" w:rsidRPr="00176AE5">
        <w:rPr>
          <w:bCs/>
          <w:color w:val="000000" w:themeColor="text1"/>
        </w:rPr>
        <w:t>y</w:t>
      </w:r>
      <w:r w:rsidR="00884F5E" w:rsidRPr="00884F5E">
        <w:rPr>
          <w:b/>
          <w:color w:val="000000" w:themeColor="text1"/>
        </w:rPr>
        <w:t xml:space="preserve"> 5.565</w:t>
      </w:r>
      <w:r w:rsidR="00884F5E">
        <w:rPr>
          <w:bCs/>
          <w:color w:val="000000" w:themeColor="text1"/>
        </w:rPr>
        <w:t xml:space="preserve">, </w:t>
      </w:r>
      <w:r w:rsidR="00884F5E" w:rsidRPr="00255B71">
        <w:t>de conformidad con la Resolución</w:t>
      </w:r>
      <w:r w:rsidR="00884F5E">
        <w:rPr>
          <w:bCs/>
          <w:color w:val="000000" w:themeColor="text1"/>
        </w:rPr>
        <w:t xml:space="preserve"> </w:t>
      </w:r>
      <w:r w:rsidR="00884F5E" w:rsidRPr="00884F5E">
        <w:rPr>
          <w:b/>
          <w:color w:val="000000" w:themeColor="text1"/>
        </w:rPr>
        <w:t>[ACP-AI10-4] (CMR-23)</w:t>
      </w:r>
      <w:r w:rsidR="00884F5E" w:rsidRPr="00176AE5">
        <w:rPr>
          <w:bCs/>
          <w:color w:val="000000" w:themeColor="text1"/>
        </w:rPr>
        <w:t>;</w:t>
      </w:r>
      <w:r w:rsidRPr="00BE5BAD">
        <w:rPr>
          <w:bCs/>
          <w:color w:val="000000" w:themeColor="text1"/>
        </w:rPr>
        <w:t xml:space="preserve"> </w:t>
      </w:r>
      <w:r w:rsidRPr="00BE5BAD">
        <w:rPr>
          <w:b/>
          <w:bCs/>
          <w:color w:val="FF0000"/>
        </w:rPr>
        <w:t>[</w:t>
      </w:r>
      <w:r w:rsidR="00884F5E">
        <w:rPr>
          <w:b/>
          <w:bCs/>
          <w:color w:val="FF0000"/>
        </w:rPr>
        <w:t>Véase el</w:t>
      </w:r>
      <w:r w:rsidRPr="00BE5BAD">
        <w:rPr>
          <w:b/>
          <w:bCs/>
          <w:color w:val="FF0000"/>
        </w:rPr>
        <w:t xml:space="preserve"> Add</w:t>
      </w:r>
      <w:r w:rsidR="00884F5E">
        <w:rPr>
          <w:b/>
          <w:bCs/>
          <w:color w:val="FF0000"/>
        </w:rPr>
        <w:t>é</w:t>
      </w:r>
      <w:r w:rsidRPr="00BE5BAD">
        <w:rPr>
          <w:b/>
          <w:bCs/>
          <w:color w:val="FF0000"/>
        </w:rPr>
        <w:t>ndum 6 (Add.27)]</w:t>
      </w:r>
    </w:p>
    <w:p w14:paraId="6D4B5A52" w14:textId="36DFE949" w:rsidR="0002476D" w:rsidRPr="00BE5BAD" w:rsidRDefault="0002476D" w:rsidP="0002476D">
      <w:pPr>
        <w:rPr>
          <w:bCs/>
        </w:rPr>
      </w:pPr>
      <w:r w:rsidRPr="00BE5BAD">
        <w:lastRenderedPageBreak/>
        <w:t>2.2</w:t>
      </w:r>
      <w:r w:rsidRPr="00BE5BAD">
        <w:tab/>
      </w:r>
      <w:r w:rsidR="006D6A5E">
        <w:t>la utilización de las</w:t>
      </w:r>
      <w:r w:rsidR="00B4157F">
        <w:t xml:space="preserve"> identificaciones existentes para las Telecomunicaciones Móviles Internaciones (IMT) dentro de las gamas de frecuencia [3 400</w:t>
      </w:r>
      <w:r w:rsidR="00461F9A">
        <w:t>-</w:t>
      </w:r>
      <w:r w:rsidR="00B4157F">
        <w:t>3 600 MHz] y [3</w:t>
      </w:r>
      <w:r w:rsidR="00461F9A">
        <w:t> </w:t>
      </w:r>
      <w:r w:rsidR="00B4157F">
        <w:t>600</w:t>
      </w:r>
      <w:r w:rsidR="00461F9A">
        <w:noBreakHyphen/>
      </w:r>
      <w:r w:rsidR="00B4157F">
        <w:t>3</w:t>
      </w:r>
      <w:r w:rsidR="00461F9A">
        <w:t> </w:t>
      </w:r>
      <w:r w:rsidR="00B4157F">
        <w:t>700</w:t>
      </w:r>
      <w:r w:rsidR="00461F9A">
        <w:t> </w:t>
      </w:r>
      <w:r w:rsidR="00B4157F">
        <w:t xml:space="preserve">MHz) con miras a una posible supresión de la limitación relativa al servicio móvil aeronáutico para la utilización de equipos de usuario IMT para aplicaciones no relacionadas con la seguridad, cuando proceda, de conformidad con la Resolución </w:t>
      </w:r>
      <w:r w:rsidR="00B4157F">
        <w:rPr>
          <w:b/>
          <w:bCs/>
        </w:rPr>
        <w:t>[ACP-AI10-5] (CMR-23)</w:t>
      </w:r>
      <w:r w:rsidR="00B4157F">
        <w:t>;</w:t>
      </w:r>
      <w:r w:rsidR="006D6A5E">
        <w:t xml:space="preserve"> </w:t>
      </w:r>
      <w:r w:rsidRPr="00BE5BAD">
        <w:rPr>
          <w:b/>
          <w:bCs/>
          <w:color w:val="FF0000"/>
        </w:rPr>
        <w:t>[</w:t>
      </w:r>
      <w:r w:rsidR="00B4157F">
        <w:rPr>
          <w:b/>
          <w:bCs/>
          <w:color w:val="FF0000"/>
        </w:rPr>
        <w:t>Véase el Addéndum</w:t>
      </w:r>
      <w:r w:rsidRPr="00BE5BAD">
        <w:rPr>
          <w:b/>
          <w:bCs/>
          <w:color w:val="FF0000"/>
        </w:rPr>
        <w:t xml:space="preserve"> 7 (Add.27)]</w:t>
      </w:r>
    </w:p>
    <w:p w14:paraId="7ED4E62F" w14:textId="3F7004E9" w:rsidR="0002476D" w:rsidRPr="00BE5BAD" w:rsidRDefault="0002476D" w:rsidP="0002476D">
      <w:pPr>
        <w:rPr>
          <w:bCs/>
        </w:rPr>
      </w:pPr>
      <w:r w:rsidRPr="00BE5BAD">
        <w:t>2.3</w:t>
      </w:r>
      <w:r w:rsidRPr="00BE5BAD">
        <w:tab/>
      </w:r>
      <w:r w:rsidR="007F34A1">
        <w:rPr>
          <w:rFonts w:eastAsia="SimSun"/>
          <w:bCs/>
          <w:lang w:eastAsia="zh-CN"/>
        </w:rPr>
        <w:t xml:space="preserve">posibles disposiciones reglamentarias para evitar la interferencia perjudicial a los servicios de radiocomunicación causados por transmisión inalámbrica de potencia (TIP), de conformidad con la Resolución </w:t>
      </w:r>
      <w:r w:rsidR="007F34A1">
        <w:rPr>
          <w:rFonts w:eastAsia="SimSun"/>
          <w:b/>
          <w:lang w:eastAsia="zh-CN"/>
        </w:rPr>
        <w:t>[ACP-AI10-6] (CMR-23)</w:t>
      </w:r>
      <w:r w:rsidR="007F34A1">
        <w:rPr>
          <w:rFonts w:eastAsia="SimSun"/>
          <w:bCs/>
          <w:lang w:eastAsia="zh-CN"/>
        </w:rPr>
        <w:t>;</w:t>
      </w:r>
      <w:r w:rsidRPr="00BE5BAD">
        <w:rPr>
          <w:bCs/>
        </w:rPr>
        <w:t xml:space="preserve"> </w:t>
      </w:r>
      <w:r w:rsidRPr="00BE5BAD">
        <w:rPr>
          <w:b/>
          <w:bCs/>
          <w:color w:val="FF0000"/>
        </w:rPr>
        <w:t>[</w:t>
      </w:r>
      <w:r w:rsidR="007F34A1">
        <w:rPr>
          <w:b/>
          <w:bCs/>
          <w:color w:val="FF0000"/>
        </w:rPr>
        <w:t>Véase el</w:t>
      </w:r>
      <w:r w:rsidRPr="00BE5BAD">
        <w:rPr>
          <w:b/>
          <w:bCs/>
          <w:color w:val="FF0000"/>
        </w:rPr>
        <w:t xml:space="preserve"> Add</w:t>
      </w:r>
      <w:r w:rsidR="007F34A1">
        <w:rPr>
          <w:b/>
          <w:bCs/>
          <w:color w:val="FF0000"/>
        </w:rPr>
        <w:t>é</w:t>
      </w:r>
      <w:r w:rsidRPr="00BE5BAD">
        <w:rPr>
          <w:b/>
          <w:bCs/>
          <w:color w:val="FF0000"/>
        </w:rPr>
        <w:t>ndum 8 (Add.27)]</w:t>
      </w:r>
      <w:r w:rsidRPr="00BE5BAD">
        <w:rPr>
          <w:rStyle w:val="FootnoteReference"/>
        </w:rPr>
        <w:footnoteReference w:customMarkFollows="1" w:id="5"/>
        <w:t>*</w:t>
      </w:r>
    </w:p>
    <w:p w14:paraId="488F9694" w14:textId="7219841D" w:rsidR="0002476D" w:rsidRPr="00BE5BAD" w:rsidRDefault="0002476D" w:rsidP="0002476D">
      <w:r w:rsidRPr="00BE5BAD">
        <w:t>2.4</w:t>
      </w:r>
      <w:r w:rsidRPr="00BE5BAD">
        <w:tab/>
      </w:r>
      <w:r w:rsidR="006F2346">
        <w:t xml:space="preserve">las condiciones para el uso de las bandas de frecuencias 71-76 GHz y 81-86 GHz por las estaciones de los servicios por satélite para garantizar la compatibilidad con los servicios pasivos, de conformidad con la Resolución </w:t>
      </w:r>
      <w:r w:rsidR="006F2346">
        <w:rPr>
          <w:b/>
          <w:bCs/>
        </w:rPr>
        <w:t>776 (CMR-19)</w:t>
      </w:r>
      <w:r w:rsidR="006F2346">
        <w:t xml:space="preserve">; </w:t>
      </w:r>
      <w:r w:rsidRPr="00BE5BAD">
        <w:rPr>
          <w:b/>
          <w:bCs/>
          <w:color w:val="FF0000"/>
        </w:rPr>
        <w:t>[</w:t>
      </w:r>
      <w:r w:rsidR="006F2346">
        <w:rPr>
          <w:b/>
          <w:bCs/>
          <w:color w:val="FF0000"/>
        </w:rPr>
        <w:t>Véase el</w:t>
      </w:r>
      <w:r w:rsidRPr="00BE5BAD">
        <w:rPr>
          <w:b/>
          <w:bCs/>
          <w:color w:val="FF0000"/>
        </w:rPr>
        <w:t xml:space="preserve"> Add</w:t>
      </w:r>
      <w:r w:rsidR="006F2346">
        <w:rPr>
          <w:b/>
          <w:bCs/>
          <w:color w:val="FF0000"/>
        </w:rPr>
        <w:t>é</w:t>
      </w:r>
      <w:r w:rsidRPr="00BE5BAD">
        <w:rPr>
          <w:b/>
          <w:bCs/>
          <w:color w:val="FF0000"/>
        </w:rPr>
        <w:t>ndum 11 (Add.27)]</w:t>
      </w:r>
    </w:p>
    <w:p w14:paraId="47908F32" w14:textId="4ED9294B" w:rsidR="0002476D" w:rsidRPr="00BE5BAD" w:rsidRDefault="0002476D" w:rsidP="0002476D">
      <w:r w:rsidRPr="00BE5BAD">
        <w:rPr>
          <w:lang w:eastAsia="zh-CN"/>
        </w:rPr>
        <w:t>2.5</w:t>
      </w:r>
      <w:r w:rsidRPr="00BE5BAD">
        <w:rPr>
          <w:lang w:eastAsia="zh-CN"/>
        </w:rPr>
        <w:tab/>
      </w:r>
      <w:r w:rsidR="006F2346">
        <w:t>considerar una nueva atribución al servicio de exploración de la Tierra por satélite (Tierra-espacio) en la banda de frecuencias 22,55-23,15 GHz, de conformidad con la Resolución</w:t>
      </w:r>
      <w:r w:rsidR="00461F9A">
        <w:t> </w:t>
      </w:r>
      <w:r w:rsidR="006F2346">
        <w:rPr>
          <w:b/>
          <w:bCs/>
        </w:rPr>
        <w:t>664 (CMR-19)</w:t>
      </w:r>
      <w:r w:rsidR="006F2346">
        <w:t xml:space="preserve">; </w:t>
      </w:r>
      <w:r w:rsidRPr="00BE5BAD">
        <w:rPr>
          <w:b/>
          <w:bCs/>
          <w:color w:val="FF0000"/>
        </w:rPr>
        <w:t>[</w:t>
      </w:r>
      <w:r w:rsidR="006F2346">
        <w:rPr>
          <w:b/>
          <w:bCs/>
          <w:color w:val="FF0000"/>
        </w:rPr>
        <w:t xml:space="preserve">Véase el Addéndum </w:t>
      </w:r>
      <w:r w:rsidRPr="00BE5BAD">
        <w:rPr>
          <w:b/>
          <w:bCs/>
          <w:color w:val="FF0000"/>
        </w:rPr>
        <w:t>12 (Add.27)]</w:t>
      </w:r>
    </w:p>
    <w:p w14:paraId="0FD24C6E" w14:textId="225A1409" w:rsidR="0002476D" w:rsidRPr="00BE5BAD" w:rsidRDefault="0002476D" w:rsidP="0002476D">
      <w:r w:rsidRPr="00BE5BAD">
        <w:t>2.6</w:t>
      </w:r>
      <w:r w:rsidRPr="00BE5BAD">
        <w:tab/>
      </w:r>
      <w:r w:rsidR="00B43B62">
        <w:rPr>
          <w:bCs/>
          <w:szCs w:val="24"/>
        </w:rPr>
        <w:t>considerar la atribución de la totalidad o partes de la banda de frecuencias 43,5</w:t>
      </w:r>
      <w:r w:rsidR="00461F9A">
        <w:rPr>
          <w:bCs/>
          <w:szCs w:val="24"/>
        </w:rPr>
        <w:noBreakHyphen/>
      </w:r>
      <w:r w:rsidR="00B43B62">
        <w:rPr>
          <w:bCs/>
          <w:szCs w:val="24"/>
        </w:rPr>
        <w:t>45,5</w:t>
      </w:r>
      <w:r w:rsidR="00461F9A">
        <w:rPr>
          <w:bCs/>
          <w:szCs w:val="24"/>
        </w:rPr>
        <w:t> </w:t>
      </w:r>
      <w:r w:rsidR="00B43B62">
        <w:rPr>
          <w:bCs/>
          <w:szCs w:val="24"/>
        </w:rPr>
        <w:t xml:space="preserve">GHz al servicio fijo por satélite, de conformidad con la Resolución </w:t>
      </w:r>
      <w:r w:rsidR="00B43B62">
        <w:rPr>
          <w:b/>
          <w:szCs w:val="24"/>
        </w:rPr>
        <w:t>177 (CMR-19)</w:t>
      </w:r>
      <w:r w:rsidR="00B43B62">
        <w:rPr>
          <w:bCs/>
          <w:szCs w:val="24"/>
        </w:rPr>
        <w:t>;</w:t>
      </w:r>
      <w:r w:rsidRPr="00BE5BAD">
        <w:rPr>
          <w:bCs/>
          <w:szCs w:val="24"/>
        </w:rPr>
        <w:t xml:space="preserve"> </w:t>
      </w:r>
      <w:r w:rsidRPr="00BE5BAD">
        <w:rPr>
          <w:b/>
          <w:bCs/>
          <w:color w:val="FF0000"/>
        </w:rPr>
        <w:t>[</w:t>
      </w:r>
      <w:r w:rsidR="00B43B62">
        <w:rPr>
          <w:b/>
          <w:bCs/>
          <w:color w:val="FF0000"/>
        </w:rPr>
        <w:t>Véase el</w:t>
      </w:r>
      <w:r w:rsidRPr="00BE5BAD">
        <w:rPr>
          <w:b/>
          <w:bCs/>
          <w:color w:val="FF0000"/>
        </w:rPr>
        <w:t xml:space="preserve"> Add</w:t>
      </w:r>
      <w:r w:rsidR="00B43B62">
        <w:rPr>
          <w:b/>
          <w:bCs/>
          <w:color w:val="FF0000"/>
        </w:rPr>
        <w:t>é</w:t>
      </w:r>
      <w:r w:rsidRPr="00BE5BAD">
        <w:rPr>
          <w:b/>
          <w:bCs/>
          <w:color w:val="FF0000"/>
        </w:rPr>
        <w:t>ndum 15 (Add.27)]</w:t>
      </w:r>
    </w:p>
    <w:p w14:paraId="11CAD495" w14:textId="2C13B199" w:rsidR="0002476D" w:rsidRPr="00BE5BAD" w:rsidRDefault="0002476D" w:rsidP="0002476D">
      <w:pPr>
        <w:rPr>
          <w:b/>
          <w:bCs/>
          <w:color w:val="FF0000"/>
        </w:rPr>
      </w:pPr>
      <w:r w:rsidRPr="00BE5BAD">
        <w:t>2.7</w:t>
      </w:r>
      <w:r w:rsidRPr="00BE5BAD">
        <w:tab/>
      </w:r>
      <w:r w:rsidR="008B2B87">
        <w:t xml:space="preserve">introducción en el Artículo </w:t>
      </w:r>
      <w:r w:rsidR="008B2B87">
        <w:rPr>
          <w:b/>
          <w:bCs/>
        </w:rPr>
        <w:t xml:space="preserve">21 </w:t>
      </w:r>
      <w:r w:rsidR="008B2B87">
        <w:t xml:space="preserve">del Reglamento de Radiocomunicaciones de límites de la densidad de flujo de potencia (dfp) y de la potencia isotrópica radiada equivalente (p.i.r.e.) para los servicios por satélite (SFS, SMS y SRS) para proteger el servicio fijo en las bandas de frecuencias 71-76 GHz y 81-86 GHz, de conformidad con la Resolución </w:t>
      </w:r>
      <w:r w:rsidRPr="00BE5BAD">
        <w:rPr>
          <w:b/>
          <w:bCs/>
        </w:rPr>
        <w:t>[</w:t>
      </w:r>
      <w:r w:rsidRPr="00BE5BAD">
        <w:rPr>
          <w:b/>
        </w:rPr>
        <w:t xml:space="preserve">775 (Rev. </w:t>
      </w:r>
      <w:r w:rsidR="008B2B87">
        <w:rPr>
          <w:b/>
        </w:rPr>
        <w:t>CMR</w:t>
      </w:r>
      <w:r w:rsidRPr="00BE5BAD">
        <w:rPr>
          <w:b/>
        </w:rPr>
        <w:noBreakHyphen/>
        <w:t>23)]</w:t>
      </w:r>
      <w:r w:rsidRPr="00461F9A">
        <w:rPr>
          <w:bCs/>
        </w:rPr>
        <w:t>;</w:t>
      </w:r>
      <w:r w:rsidRPr="00BE5BAD">
        <w:rPr>
          <w:b/>
        </w:rPr>
        <w:t xml:space="preserve"> </w:t>
      </w:r>
      <w:r w:rsidRPr="00BE5BAD">
        <w:rPr>
          <w:b/>
          <w:bCs/>
          <w:color w:val="FF0000"/>
        </w:rPr>
        <w:t>[</w:t>
      </w:r>
      <w:r w:rsidR="008B2B87">
        <w:rPr>
          <w:b/>
          <w:bCs/>
          <w:color w:val="FF0000"/>
        </w:rPr>
        <w:t>Véase el</w:t>
      </w:r>
      <w:r w:rsidRPr="00BE5BAD">
        <w:rPr>
          <w:b/>
          <w:bCs/>
          <w:color w:val="FF0000"/>
        </w:rPr>
        <w:t xml:space="preserve"> Add</w:t>
      </w:r>
      <w:r w:rsidR="008B2B87">
        <w:rPr>
          <w:b/>
          <w:bCs/>
          <w:color w:val="FF0000"/>
        </w:rPr>
        <w:t>é</w:t>
      </w:r>
      <w:r w:rsidRPr="00BE5BAD">
        <w:rPr>
          <w:b/>
          <w:bCs/>
          <w:color w:val="FF0000"/>
        </w:rPr>
        <w:t>ndum 16 (Add.27)]</w:t>
      </w:r>
    </w:p>
    <w:p w14:paraId="2D4A0995" w14:textId="038B9F80" w:rsidR="0002476D" w:rsidRPr="00BE5BAD" w:rsidRDefault="0002476D" w:rsidP="00951D6B">
      <w:pPr>
        <w:rPr>
          <w:szCs w:val="22"/>
          <w:lang w:eastAsia="ko-KR"/>
        </w:rPr>
      </w:pPr>
      <w:r w:rsidRPr="00BE5BAD">
        <w:rPr>
          <w:szCs w:val="22"/>
          <w:lang w:eastAsia="ko-KR"/>
        </w:rPr>
        <w:t>2.8</w:t>
      </w:r>
      <w:r w:rsidRPr="00BE5BAD">
        <w:rPr>
          <w:szCs w:val="22"/>
          <w:lang w:eastAsia="ko-KR"/>
        </w:rPr>
        <w:tab/>
      </w:r>
      <w:r w:rsidR="005F09F5" w:rsidRPr="00255B71">
        <w:t>estudiar las posibles revisiones de las condiciones de compartición en la banda de frecuencia 13,75-14 GHz para facilitar el uso de la banda por las estaciones terrenas del SFS con antenas más pequeñas, de conformidad con la Resolución</w:t>
      </w:r>
      <w:r w:rsidR="005F09F5">
        <w:rPr>
          <w:szCs w:val="22"/>
          <w:lang w:eastAsia="zh-CN"/>
        </w:rPr>
        <w:t xml:space="preserve"> </w:t>
      </w:r>
      <w:r w:rsidR="005F09F5">
        <w:rPr>
          <w:b/>
          <w:bCs/>
          <w:szCs w:val="22"/>
          <w:lang w:eastAsia="zh-CN"/>
        </w:rPr>
        <w:t>[ACP-AI10-9] (CMR-23)</w:t>
      </w:r>
      <w:r w:rsidR="005F09F5">
        <w:rPr>
          <w:szCs w:val="22"/>
          <w:lang w:eastAsia="zh-CN"/>
        </w:rPr>
        <w:t xml:space="preserve">; </w:t>
      </w:r>
      <w:r w:rsidRPr="00BE5BAD">
        <w:rPr>
          <w:b/>
          <w:bCs/>
          <w:color w:val="FF0000"/>
        </w:rPr>
        <w:t>[</w:t>
      </w:r>
      <w:r w:rsidR="005F09F5">
        <w:rPr>
          <w:b/>
          <w:bCs/>
          <w:color w:val="FF0000"/>
        </w:rPr>
        <w:t xml:space="preserve">Véase el </w:t>
      </w:r>
      <w:r w:rsidRPr="00BE5BAD">
        <w:rPr>
          <w:b/>
          <w:bCs/>
          <w:color w:val="FF0000"/>
        </w:rPr>
        <w:t>Add</w:t>
      </w:r>
      <w:r w:rsidR="005F09F5">
        <w:rPr>
          <w:b/>
          <w:bCs/>
          <w:color w:val="FF0000"/>
        </w:rPr>
        <w:t>é</w:t>
      </w:r>
      <w:r w:rsidRPr="00BE5BAD">
        <w:rPr>
          <w:b/>
          <w:bCs/>
          <w:color w:val="FF0000"/>
        </w:rPr>
        <w:t>ndum 21 (Add.27)]</w:t>
      </w:r>
    </w:p>
    <w:p w14:paraId="1DC0ED87" w14:textId="1AE07C63" w:rsidR="0002476D" w:rsidRPr="00E21590" w:rsidRDefault="0002476D" w:rsidP="00951D6B">
      <w:r w:rsidRPr="00BE5BAD">
        <w:t>3</w:t>
      </w:r>
      <w:r w:rsidRPr="00BE5BAD">
        <w:tab/>
      </w:r>
      <w:r w:rsidR="00E21590">
        <w:t xml:space="preserve">examinar las Recomendaciones UIT-R revisadas e incorporadas por referencia en el Reglamento de Radiocomunicaciones, comunicadas por la Asamblea de Radiocomunicaciones, de conformidad con el </w:t>
      </w:r>
      <w:r w:rsidR="00E21590" w:rsidRPr="00E21590">
        <w:rPr>
          <w:i/>
          <w:iCs/>
        </w:rPr>
        <w:t>resuelve además</w:t>
      </w:r>
      <w:r w:rsidR="00E21590">
        <w:t xml:space="preserve"> de la Resolución </w:t>
      </w:r>
      <w:r w:rsidR="00E21590">
        <w:rPr>
          <w:b/>
          <w:bCs/>
        </w:rPr>
        <w:t xml:space="preserve">27 </w:t>
      </w:r>
      <w:r w:rsidR="00E21590">
        <w:t>(</w:t>
      </w:r>
      <w:r w:rsidR="00E21590">
        <w:rPr>
          <w:b/>
          <w:bCs/>
        </w:rPr>
        <w:t>Rev. CMR-19)</w:t>
      </w:r>
      <w:r w:rsidR="00E21590">
        <w:t xml:space="preserve">, y decidir si se actualizan o no las referencias correspondientes en el Reglamento de Radiocomunicaciones con arreglos a los principios contenidos en el </w:t>
      </w:r>
      <w:r w:rsidR="00E21590">
        <w:rPr>
          <w:i/>
          <w:iCs/>
        </w:rPr>
        <w:t xml:space="preserve">resuelve </w:t>
      </w:r>
      <w:r w:rsidR="00E21590">
        <w:t>de dicha Resolución;</w:t>
      </w:r>
    </w:p>
    <w:p w14:paraId="0D651828" w14:textId="6C3E144B" w:rsidR="0002476D" w:rsidRPr="00BE5BAD" w:rsidRDefault="0002476D" w:rsidP="00951D6B">
      <w:r w:rsidRPr="00BE5BAD">
        <w:t>4</w:t>
      </w:r>
      <w:r w:rsidRPr="00BE5BAD">
        <w:tab/>
      </w:r>
      <w:r w:rsidR="00554CF8">
        <w:t xml:space="preserve">de conformidad con la Resolución </w:t>
      </w:r>
      <w:r w:rsidR="00554CF8">
        <w:rPr>
          <w:b/>
          <w:bCs/>
        </w:rPr>
        <w:t>95 (Rev.CMR-19)</w:t>
      </w:r>
      <w:r w:rsidR="00554CF8">
        <w:t xml:space="preserve">, </w:t>
      </w:r>
      <w:r w:rsidR="00E21590">
        <w:t>examinar los cambios y las modificaciones consiguientes en el Reglamento de Radiocomunicaciones que requieran las decisiones de la Conferencia;</w:t>
      </w:r>
    </w:p>
    <w:p w14:paraId="7A5C6E46" w14:textId="018FA82D" w:rsidR="0002476D" w:rsidRPr="0050373D" w:rsidRDefault="0002476D" w:rsidP="00951D6B">
      <w:pPr>
        <w:rPr>
          <w:color w:val="000000" w:themeColor="text1"/>
        </w:rPr>
      </w:pPr>
      <w:r w:rsidRPr="00BE5BAD">
        <w:t>5</w:t>
      </w:r>
      <w:r w:rsidRPr="00BE5BAD">
        <w:tab/>
      </w:r>
      <w:r w:rsidR="0050373D">
        <w:t>considerar las Resoluciones y Recomendaciones de las conferencias anteriores para su posible revisión, sustitución o supresión;</w:t>
      </w:r>
    </w:p>
    <w:p w14:paraId="46FF7907" w14:textId="7F3370D4" w:rsidR="0002476D" w:rsidRPr="00BE5BAD" w:rsidRDefault="0002476D" w:rsidP="00951D6B">
      <w:r w:rsidRPr="00BE5BAD">
        <w:t>6</w:t>
      </w:r>
      <w:r w:rsidRPr="00BE5BAD">
        <w:tab/>
      </w:r>
      <w:r w:rsidR="0050373D">
        <w:t xml:space="preserve">examinar el Informe de la Asamblea de Radiocomunicaciones presentado de acuerdo con los números 135 y 136 del Convenio de la UIT, y tomar las </w:t>
      </w:r>
      <w:r w:rsidR="00745BF8">
        <w:t>medidas</w:t>
      </w:r>
      <w:r w:rsidR="0050373D">
        <w:t xml:space="preserve"> adecuadas al respecto;</w:t>
      </w:r>
    </w:p>
    <w:p w14:paraId="51D2D649" w14:textId="28E6B2E1" w:rsidR="0002476D" w:rsidRPr="00BE5BAD" w:rsidRDefault="0002476D" w:rsidP="00951D6B">
      <w:r w:rsidRPr="00BE5BAD">
        <w:t>7</w:t>
      </w:r>
      <w:r w:rsidRPr="00BE5BAD">
        <w:tab/>
      </w:r>
      <w:r w:rsidR="0050373D">
        <w:t>identificar los temas que exigen medidas urgentes de las Comisiones de Estudio de Radiocomunicaciones;</w:t>
      </w:r>
    </w:p>
    <w:p w14:paraId="20739912" w14:textId="737C74D7" w:rsidR="0002476D" w:rsidRPr="0050373D" w:rsidRDefault="0002476D" w:rsidP="0002476D">
      <w:pPr>
        <w:rPr>
          <w:bCs/>
        </w:rPr>
      </w:pPr>
      <w:r w:rsidRPr="00BE5BAD">
        <w:lastRenderedPageBreak/>
        <w:t>8</w:t>
      </w:r>
      <w:r w:rsidRPr="00BE5BAD">
        <w:tab/>
      </w:r>
      <w:r w:rsidR="0050373D">
        <w:rPr>
          <w:bCs/>
        </w:rPr>
        <w:t xml:space="preserve">considerar posibles modificaciones para responder a lo dispuesto en la Resolución 86 (Rev. Marrakech, 2022) de la Conferencia de Plenipotenciarios de publicación anticipada, de coordinación, de notificación y de inscripción de asignaciones de frecuencias de redes de satélite, de conformidad con la Resolución </w:t>
      </w:r>
      <w:r w:rsidR="0050373D">
        <w:rPr>
          <w:b/>
        </w:rPr>
        <w:t>86 (Rev. CMR-07)</w:t>
      </w:r>
      <w:r w:rsidR="0050373D">
        <w:rPr>
          <w:bCs/>
        </w:rPr>
        <w:t>, para facilitar el uso racional, eficiente y económico de las radiofrecuencias y órbitas asociadas, incluida la órbita de los satélites geoestacionarios;</w:t>
      </w:r>
    </w:p>
    <w:p w14:paraId="0DC40642" w14:textId="2BB9A4D9" w:rsidR="0002476D" w:rsidRPr="005B3B97" w:rsidRDefault="0002476D" w:rsidP="0002476D">
      <w:pPr>
        <w:rPr>
          <w:bCs/>
        </w:rPr>
      </w:pPr>
      <w:r w:rsidRPr="00BE5BAD">
        <w:t>9</w:t>
      </w:r>
      <w:r w:rsidRPr="00BE5BAD">
        <w:tab/>
      </w:r>
      <w:r w:rsidR="005B3B97">
        <w:rPr>
          <w:bCs/>
        </w:rPr>
        <w:t xml:space="preserve">examinar las peticiones de las administraciones de suprimir las notas de sus países o de que se suprima el nombre de sus países de las notas, cuando ya no sea necesario, teniendo en cuenta la Resolución </w:t>
      </w:r>
      <w:r w:rsidR="005B3B97">
        <w:rPr>
          <w:b/>
        </w:rPr>
        <w:t>26 (Rev.CMR-23)</w:t>
      </w:r>
      <w:r w:rsidR="005B3B97">
        <w:rPr>
          <w:bCs/>
        </w:rPr>
        <w:t>, y adoptar las medidas oportunas al respecto;</w:t>
      </w:r>
    </w:p>
    <w:p w14:paraId="3430C6BA" w14:textId="7800B2FE" w:rsidR="0002476D" w:rsidRPr="00BE5BAD" w:rsidRDefault="0002476D" w:rsidP="0002476D">
      <w:r w:rsidRPr="00BE5BAD">
        <w:t>10</w:t>
      </w:r>
      <w:r w:rsidRPr="00BE5BAD">
        <w:tab/>
      </w:r>
      <w:r w:rsidR="005B3B97">
        <w:rPr>
          <w:bCs/>
        </w:rPr>
        <w:t>examinar y aprobar el Informe del Director de la Oficina de Radiocomunicaciones, de conformidad con el Artículo 7 de la Convención de la UIT;</w:t>
      </w:r>
    </w:p>
    <w:p w14:paraId="4E44A29D" w14:textId="62004E6B" w:rsidR="0002476D" w:rsidRPr="00BE5BAD" w:rsidRDefault="0002476D" w:rsidP="0002476D">
      <w:r w:rsidRPr="00BE5BAD">
        <w:t>10.1</w:t>
      </w:r>
      <w:r w:rsidRPr="00BE5BAD">
        <w:tab/>
      </w:r>
      <w:r w:rsidR="005B3B97">
        <w:t>sobre las actividades del Sector de Radiocomunicaciones desde la CMR-27;</w:t>
      </w:r>
      <w:r w:rsidR="005B3B97" w:rsidRPr="00BE5BAD">
        <w:rPr>
          <w:rStyle w:val="FootnoteReference"/>
        </w:rPr>
        <w:footnoteReference w:customMarkFollows="1" w:id="6"/>
        <w:t>1</w:t>
      </w:r>
    </w:p>
    <w:p w14:paraId="3A1F4118" w14:textId="3F538B51" w:rsidR="0002476D" w:rsidRPr="00BE5BAD" w:rsidRDefault="0002476D" w:rsidP="0002476D">
      <w:r w:rsidRPr="00BE5BAD">
        <w:t>10.2</w:t>
      </w:r>
      <w:r w:rsidRPr="00BE5BAD">
        <w:tab/>
      </w:r>
      <w:r w:rsidR="00B035C9">
        <w:t>sobre las dificultades o incoherencias observadas en la aplicación del Reglamento de Radiocomunicaciones;</w:t>
      </w:r>
      <w:r w:rsidR="00B035C9" w:rsidRPr="00BE5BAD">
        <w:rPr>
          <w:rStyle w:val="FootnoteReference"/>
        </w:rPr>
        <w:footnoteReference w:customMarkFollows="1" w:id="7"/>
        <w:t>2</w:t>
      </w:r>
      <w:r w:rsidR="00B035C9">
        <w:t xml:space="preserve"> y</w:t>
      </w:r>
    </w:p>
    <w:p w14:paraId="5C110A50" w14:textId="654775AC" w:rsidR="0002476D" w:rsidRPr="00BE5BAD" w:rsidRDefault="0002476D" w:rsidP="0002476D">
      <w:r w:rsidRPr="00BE5BAD">
        <w:t>10.3</w:t>
      </w:r>
      <w:r w:rsidRPr="00BE5BAD">
        <w:tab/>
      </w:r>
      <w:r w:rsidR="00B035C9">
        <w:t>sobre acciones en respuesta a la Resolución</w:t>
      </w:r>
      <w:r w:rsidRPr="00BE5BAD">
        <w:t> </w:t>
      </w:r>
      <w:r w:rsidRPr="00BE5BAD">
        <w:rPr>
          <w:b/>
          <w:bCs/>
        </w:rPr>
        <w:t>80 (Rev</w:t>
      </w:r>
      <w:r w:rsidR="00B035C9">
        <w:rPr>
          <w:b/>
          <w:bCs/>
        </w:rPr>
        <w:t>.CMR</w:t>
      </w:r>
      <w:r w:rsidRPr="00BE5BAD">
        <w:rPr>
          <w:b/>
          <w:bCs/>
        </w:rPr>
        <w:noBreakHyphen/>
      </w:r>
      <w:r w:rsidRPr="00BE5BAD">
        <w:rPr>
          <w:b/>
        </w:rPr>
        <w:t>07</w:t>
      </w:r>
      <w:r w:rsidRPr="00BE5BAD">
        <w:rPr>
          <w:b/>
          <w:bCs/>
        </w:rPr>
        <w:t>)</w:t>
      </w:r>
      <w:r w:rsidRPr="00BE5BAD">
        <w:t>;</w:t>
      </w:r>
    </w:p>
    <w:p w14:paraId="14C57BAD" w14:textId="0E874660" w:rsidR="0002476D" w:rsidRPr="002061ED" w:rsidRDefault="0002476D" w:rsidP="0002476D">
      <w:r w:rsidRPr="00BE5BAD">
        <w:t>11</w:t>
      </w:r>
      <w:r w:rsidRPr="00BE5BAD">
        <w:rPr>
          <w:b/>
          <w:bCs/>
        </w:rPr>
        <w:tab/>
      </w:r>
      <w:r w:rsidR="002061ED">
        <w:rPr>
          <w:iCs/>
        </w:rPr>
        <w:t xml:space="preserve">recomendar al Consejo de la UIT los puntos que han de incluirse en el orden del día de la próxima Conferencia Mundial de Radiocomunicaciones, y el orden del día preliminar de las conferencias subsiguientes, de conformidad con el Artículo 7 del Convenio y la Resolución </w:t>
      </w:r>
      <w:r w:rsidR="002061ED">
        <w:rPr>
          <w:b/>
          <w:bCs/>
          <w:iCs/>
        </w:rPr>
        <w:t>804 (Rev.CMR-23),</w:t>
      </w:r>
    </w:p>
    <w:p w14:paraId="772662CD" w14:textId="06C862CD" w:rsidR="0002476D" w:rsidRPr="002061ED" w:rsidRDefault="002061ED" w:rsidP="0002476D">
      <w:pPr>
        <w:pStyle w:val="Call"/>
      </w:pPr>
      <w:r w:rsidRPr="002061ED">
        <w:t>invita al Consejo de l</w:t>
      </w:r>
      <w:r>
        <w:t xml:space="preserve">a UIT </w:t>
      </w:r>
    </w:p>
    <w:p w14:paraId="16A95334" w14:textId="2A0960D2" w:rsidR="0002476D" w:rsidRPr="002061ED" w:rsidRDefault="002061ED" w:rsidP="0002476D">
      <w:r w:rsidRPr="002061ED">
        <w:t>a que ultime el orden del día y tome las disposiciones necesarias para convocar la CMR-31, y que inicie a la</w:t>
      </w:r>
      <w:r>
        <w:t xml:space="preserve"> mayor brevedad posible las consultas necesarias con los Estados Miembros,</w:t>
      </w:r>
    </w:p>
    <w:p w14:paraId="78E9A7C3" w14:textId="03147048" w:rsidR="0002476D" w:rsidRPr="008F6761" w:rsidRDefault="008F6761" w:rsidP="0002476D">
      <w:pPr>
        <w:pStyle w:val="Call"/>
      </w:pPr>
      <w:r w:rsidRPr="008F6761">
        <w:t xml:space="preserve">encarga al </w:t>
      </w:r>
      <w:proofErr w:type="gramStart"/>
      <w:r w:rsidRPr="008F6761">
        <w:t>Directo</w:t>
      </w:r>
      <w:r w:rsidR="001E47BC">
        <w:t>r</w:t>
      </w:r>
      <w:proofErr w:type="gramEnd"/>
      <w:r w:rsidRPr="008F6761">
        <w:t xml:space="preserve"> de l</w:t>
      </w:r>
      <w:r>
        <w:t xml:space="preserve">a Oficina de Radiocomunicaciones </w:t>
      </w:r>
    </w:p>
    <w:p w14:paraId="36D5D4AF" w14:textId="1C689A49" w:rsidR="0002476D" w:rsidRPr="00BE5BAD" w:rsidRDefault="0002476D" w:rsidP="0002476D">
      <w:r w:rsidRPr="00BE5BAD">
        <w:t>1</w:t>
      </w:r>
      <w:r w:rsidRPr="00BE5BAD">
        <w:tab/>
      </w:r>
      <w:r w:rsidR="00B40AEF">
        <w:t>que tome las medidas necesarias para convocar las sesiones de la Reunión Preparatoria de la Conferencia (RPC) y elabore un informe a la CMR-31;</w:t>
      </w:r>
    </w:p>
    <w:p w14:paraId="444D0654" w14:textId="1D52AE51" w:rsidR="0002476D" w:rsidRPr="00BE5BAD" w:rsidRDefault="0002476D" w:rsidP="0002476D">
      <w:r w:rsidRPr="00BE5BAD">
        <w:t>2</w:t>
      </w:r>
      <w:r w:rsidRPr="00BE5BAD">
        <w:tab/>
      </w:r>
      <w:r w:rsidR="00863B8A">
        <w:rPr>
          <w:bCs/>
        </w:rPr>
        <w:t>que presente a la segunda sesión de la RPC un proyecto de Informe sobre las dificultades o incoherencias observadas en la aplicación del Reglamento de Radiocomunicaciones a que se refiere el punto 10.2 del orden del día y presente el Informe final al menos cinco meses antes de la próxima CMR,</w:t>
      </w:r>
    </w:p>
    <w:p w14:paraId="59F8ACAA" w14:textId="29AD51A0" w:rsidR="0002476D" w:rsidRPr="008D2304" w:rsidRDefault="00863B8A" w:rsidP="0002476D">
      <w:pPr>
        <w:pStyle w:val="Call"/>
      </w:pPr>
      <w:r w:rsidRPr="008D2304">
        <w:t>encarga al Secretario General</w:t>
      </w:r>
    </w:p>
    <w:p w14:paraId="3A601271" w14:textId="1BC352C4" w:rsidR="0002476D" w:rsidRPr="00863B8A" w:rsidRDefault="00863B8A" w:rsidP="008C54CC">
      <w:r w:rsidRPr="00863B8A">
        <w:t>que comunique la presente Resolución a las organizaciones internaciones y regionales interesa</w:t>
      </w:r>
      <w:r>
        <w:t>das.</w:t>
      </w:r>
    </w:p>
    <w:p w14:paraId="1EF8245A" w14:textId="2DF29582" w:rsidR="0002476D" w:rsidRPr="00816854" w:rsidRDefault="0002476D" w:rsidP="00D26D71">
      <w:pPr>
        <w:jc w:val="center"/>
      </w:pPr>
      <w:r w:rsidRPr="00BE5BAD">
        <w:t>______________</w:t>
      </w:r>
    </w:p>
    <w:sectPr w:rsidR="0002476D" w:rsidRPr="00816854">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2AC4" w14:textId="77777777" w:rsidR="00167EF3" w:rsidRPr="00BE5BAD" w:rsidRDefault="00167EF3">
      <w:r w:rsidRPr="00BE5BAD">
        <w:separator/>
      </w:r>
    </w:p>
  </w:endnote>
  <w:endnote w:type="continuationSeparator" w:id="0">
    <w:p w14:paraId="41451652" w14:textId="77777777" w:rsidR="00167EF3" w:rsidRPr="00BE5BAD" w:rsidRDefault="00167EF3">
      <w:r w:rsidRPr="00BE5B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75F3" w14:textId="77777777" w:rsidR="00E45D05" w:rsidRPr="00BE5BAD" w:rsidRDefault="00E45D05">
    <w:pPr>
      <w:framePr w:wrap="around" w:vAnchor="text" w:hAnchor="margin" w:xAlign="right" w:y="1"/>
    </w:pPr>
    <w:r w:rsidRPr="00BE5BAD">
      <w:fldChar w:fldCharType="begin"/>
    </w:r>
    <w:r w:rsidRPr="00BE5BAD">
      <w:instrText xml:space="preserve">PAGE  </w:instrText>
    </w:r>
    <w:r w:rsidRPr="00BE5BAD">
      <w:fldChar w:fldCharType="end"/>
    </w:r>
  </w:p>
  <w:p w14:paraId="7D5DC2B7" w14:textId="5B2A6DD8" w:rsidR="00E45D05" w:rsidRPr="00E02CC6" w:rsidRDefault="00E45D05">
    <w:pPr>
      <w:ind w:right="360"/>
      <w:rPr>
        <w:lang w:val="en-US"/>
      </w:rPr>
    </w:pPr>
    <w:r w:rsidRPr="00BE5BAD">
      <w:fldChar w:fldCharType="begin"/>
    </w:r>
    <w:r w:rsidRPr="00E02CC6">
      <w:rPr>
        <w:lang w:val="en-US"/>
      </w:rPr>
      <w:instrText xml:space="preserve"> FILENAME \p  \* MERGEFORMAT </w:instrText>
    </w:r>
    <w:r w:rsidRPr="00BE5BAD">
      <w:fldChar w:fldCharType="separate"/>
    </w:r>
    <w:r w:rsidR="00F320AA" w:rsidRPr="00E02CC6">
      <w:rPr>
        <w:lang w:val="en-US"/>
      </w:rPr>
      <w:t>Q:\TEMPLATE\ITUOffice2007\POOL\DPM templates\WRC-23\E.docx</w:t>
    </w:r>
    <w:r w:rsidRPr="00BE5BAD">
      <w:fldChar w:fldCharType="end"/>
    </w:r>
    <w:r w:rsidRPr="00E02CC6">
      <w:rPr>
        <w:lang w:val="en-US"/>
      </w:rPr>
      <w:tab/>
    </w:r>
    <w:r w:rsidRPr="00BE5BAD">
      <w:fldChar w:fldCharType="begin"/>
    </w:r>
    <w:r w:rsidRPr="00BE5BAD">
      <w:instrText xml:space="preserve"> SAVEDATE \@ DD.MM.YY </w:instrText>
    </w:r>
    <w:r w:rsidRPr="00BE5BAD">
      <w:fldChar w:fldCharType="separate"/>
    </w:r>
    <w:r w:rsidR="00014B78">
      <w:rPr>
        <w:noProof/>
      </w:rPr>
      <w:t>27.10.23</w:t>
    </w:r>
    <w:r w:rsidRPr="00BE5BAD">
      <w:fldChar w:fldCharType="end"/>
    </w:r>
    <w:r w:rsidRPr="00E02CC6">
      <w:rPr>
        <w:lang w:val="en-US"/>
      </w:rPr>
      <w:tab/>
    </w:r>
    <w:r w:rsidRPr="00BE5BAD">
      <w:fldChar w:fldCharType="begin"/>
    </w:r>
    <w:r w:rsidRPr="00BE5BAD">
      <w:instrText xml:space="preserve"> PRINTDATE \@ DD.MM.YY </w:instrText>
    </w:r>
    <w:r w:rsidRPr="00BE5BAD">
      <w:fldChar w:fldCharType="separate"/>
    </w:r>
    <w:r w:rsidR="00F320AA" w:rsidRPr="00BE5BAD">
      <w:t>10.02.17</w:t>
    </w:r>
    <w:r w:rsidRPr="00BE5BA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3B13" w14:textId="2A939EDE" w:rsidR="00E45D05" w:rsidRPr="00694F13" w:rsidRDefault="00E45D05" w:rsidP="009B1EA1">
    <w:pPr>
      <w:pStyle w:val="Footer"/>
      <w:rPr>
        <w:noProof w:val="0"/>
        <w:lang w:val="en-US"/>
      </w:rPr>
    </w:pPr>
    <w:r w:rsidRPr="00BE5BAD">
      <w:rPr>
        <w:noProof w:val="0"/>
      </w:rPr>
      <w:fldChar w:fldCharType="begin"/>
    </w:r>
    <w:r w:rsidRPr="00E02CC6">
      <w:rPr>
        <w:noProof w:val="0"/>
        <w:lang w:val="en-US"/>
      </w:rPr>
      <w:instrText xml:space="preserve"> FILENAME \p  \* MERGEFORMAT </w:instrText>
    </w:r>
    <w:r w:rsidRPr="00BE5BAD">
      <w:rPr>
        <w:noProof w:val="0"/>
      </w:rPr>
      <w:fldChar w:fldCharType="separate"/>
    </w:r>
    <w:r w:rsidR="00694F13">
      <w:rPr>
        <w:lang w:val="en-US"/>
      </w:rPr>
      <w:t>P:\ESP\ITU-R\CONF-R\CMR23\000\062ADD27ADD01S.docx</w:t>
    </w:r>
    <w:r w:rsidRPr="00BE5BAD">
      <w:rPr>
        <w:noProof w:val="0"/>
      </w:rPr>
      <w:fldChar w:fldCharType="end"/>
    </w:r>
    <w:r w:rsidR="00694F13" w:rsidRPr="00694F13">
      <w:rPr>
        <w:noProof w:val="0"/>
        <w:lang w:val="en-US"/>
      </w:rPr>
      <w:t xml:space="preserve"> </w:t>
    </w:r>
    <w:r w:rsidR="00694F13">
      <w:rPr>
        <w:noProof w:val="0"/>
        <w:lang w:val="en-US"/>
      </w:rPr>
      <w:t>(528976)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3B86" w14:textId="0DC261F3" w:rsidR="00EA143F" w:rsidRPr="00EA143F" w:rsidRDefault="00EA143F">
    <w:pPr>
      <w:pStyle w:val="Footer"/>
      <w:rPr>
        <w:noProof w:val="0"/>
        <w:lang w:val="en-US"/>
      </w:rPr>
    </w:pPr>
    <w:r w:rsidRPr="00BE5BAD">
      <w:rPr>
        <w:noProof w:val="0"/>
      </w:rPr>
      <w:fldChar w:fldCharType="begin"/>
    </w:r>
    <w:r w:rsidRPr="00E02CC6">
      <w:rPr>
        <w:noProof w:val="0"/>
        <w:lang w:val="en-US"/>
      </w:rPr>
      <w:instrText xml:space="preserve"> FILENAME \p  \* MERGEFORMAT </w:instrText>
    </w:r>
    <w:r w:rsidRPr="00BE5BAD">
      <w:rPr>
        <w:noProof w:val="0"/>
      </w:rPr>
      <w:fldChar w:fldCharType="separate"/>
    </w:r>
    <w:r>
      <w:rPr>
        <w:lang w:val="en-US"/>
      </w:rPr>
      <w:t>P:\ESP\ITU-R\CONF-R\CMR23\000\062ADD27ADD01S.docx</w:t>
    </w:r>
    <w:r w:rsidRPr="00BE5BAD">
      <w:rPr>
        <w:noProof w:val="0"/>
      </w:rPr>
      <w:fldChar w:fldCharType="end"/>
    </w:r>
    <w:r w:rsidRPr="00694F13">
      <w:rPr>
        <w:noProof w:val="0"/>
        <w:lang w:val="en-US"/>
      </w:rPr>
      <w:t xml:space="preserve"> </w:t>
    </w:r>
    <w:r>
      <w:rPr>
        <w:noProof w:val="0"/>
        <w:lang w:val="en-US"/>
      </w:rPr>
      <w:t>(528976)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EE5A" w14:textId="77777777" w:rsidR="00167EF3" w:rsidRPr="00BE5BAD" w:rsidRDefault="00167EF3">
      <w:r w:rsidRPr="00BE5BAD">
        <w:rPr>
          <w:b/>
        </w:rPr>
        <w:t>_______________</w:t>
      </w:r>
    </w:p>
  </w:footnote>
  <w:footnote w:type="continuationSeparator" w:id="0">
    <w:p w14:paraId="6F5BCDAE" w14:textId="77777777" w:rsidR="00167EF3" w:rsidRPr="00BE5BAD" w:rsidRDefault="00167EF3">
      <w:r w:rsidRPr="00BE5BAD">
        <w:continuationSeparator/>
      </w:r>
    </w:p>
  </w:footnote>
  <w:footnote w:id="1">
    <w:p w14:paraId="5C21BD2D" w14:textId="7FFD0DDF" w:rsidR="00A16F01" w:rsidRPr="00BE5BAD" w:rsidRDefault="00597865" w:rsidP="00755998">
      <w:pPr>
        <w:pStyle w:val="FootnoteText"/>
      </w:pPr>
      <w:bookmarkStart w:id="15" w:name="_Hlk147414287"/>
      <w:r w:rsidRPr="00BE5BAD">
        <w:rPr>
          <w:rStyle w:val="FootnoteReference"/>
        </w:rPr>
        <w:t>*</w:t>
      </w:r>
      <w:bookmarkEnd w:id="15"/>
      <w:r w:rsidRPr="00BE5BAD">
        <w:tab/>
      </w:r>
      <w:r w:rsidR="00924FEF">
        <w:t>La presencia de corchetes alrededor de determinadas bandas de frecuencias en esta Resolución significa que la CMR-23 examinará y revisará la inclusión de esas bandas de frecuencias entre corchetes y tomará una decisión al respecto</w:t>
      </w:r>
      <w:r w:rsidRPr="00BE5BAD">
        <w:t>.</w:t>
      </w:r>
    </w:p>
  </w:footnote>
  <w:footnote w:id="2">
    <w:p w14:paraId="56365763" w14:textId="098313C8" w:rsidR="00A03323" w:rsidRPr="00D20ABE" w:rsidRDefault="00A03323" w:rsidP="00A03323">
      <w:pPr>
        <w:pStyle w:val="FootnoteText"/>
      </w:pPr>
      <w:r w:rsidRPr="00D20ABE">
        <w:rPr>
          <w:rStyle w:val="FootnoteReference"/>
        </w:rPr>
        <w:t>*</w:t>
      </w:r>
      <w:r w:rsidRPr="00D20ABE">
        <w:tab/>
      </w:r>
      <w:r w:rsidR="00D20ABE" w:rsidRPr="00D20ABE">
        <w:t>Los Miembros de la ATP apoyan la implementación de e</w:t>
      </w:r>
      <w:r w:rsidR="00D20ABE">
        <w:t>ste punto en el orden del día de la CMR-27 o la CMR-31, con una preferencia por la CMR-27.</w:t>
      </w:r>
    </w:p>
  </w:footnote>
  <w:footnote w:id="3">
    <w:p w14:paraId="709594E4" w14:textId="77AECE96" w:rsidR="00EB096A" w:rsidRPr="00333EB5" w:rsidRDefault="00EB096A" w:rsidP="00EB096A">
      <w:pPr>
        <w:pStyle w:val="FootnoteText"/>
      </w:pPr>
      <w:r w:rsidRPr="008C382A">
        <w:rPr>
          <w:rStyle w:val="FootnoteReference"/>
          <w:color w:val="000000" w:themeColor="text1"/>
          <w:szCs w:val="18"/>
        </w:rPr>
        <w:footnoteRef/>
      </w:r>
      <w:r w:rsidRPr="00333EB5">
        <w:tab/>
      </w:r>
      <w:r w:rsidR="00333EB5">
        <w:t xml:space="preserve">Este </w:t>
      </w:r>
      <w:r w:rsidR="00333EB5" w:rsidRPr="00333EB5">
        <w:t xml:space="preserve">subpunto del orden del día permanente de la CMR se limita estrictamente al Informe del </w:t>
      </w:r>
      <w:proofErr w:type="gramStart"/>
      <w:r w:rsidR="00333EB5" w:rsidRPr="00333EB5">
        <w:t>Director</w:t>
      </w:r>
      <w:proofErr w:type="gramEnd"/>
      <w:r w:rsidR="00333EB5">
        <w:t>, en relación a</w:t>
      </w:r>
      <w:r w:rsidR="00333EB5" w:rsidRPr="00333EB5">
        <w:t xml:space="preserve"> las actividades del UIT-R desde la última CMR; y</w:t>
      </w:r>
      <w:r w:rsidR="00333EB5">
        <w:t xml:space="preserve"> se evitarán</w:t>
      </w:r>
      <w:r w:rsidR="00333EB5" w:rsidRPr="00333EB5">
        <w:t xml:space="preserve"> algunos temas como los punto</w:t>
      </w:r>
      <w:r w:rsidR="00333EB5">
        <w:t>s independientes ocultos del orden del día, particularmente esos temas que requieran algún cambio/enmienda al Reglamento de Radiocomunicaciones.</w:t>
      </w:r>
    </w:p>
  </w:footnote>
  <w:footnote w:id="4">
    <w:p w14:paraId="67EBE2EB" w14:textId="08383F51" w:rsidR="00DF0A1A" w:rsidRPr="00333EB5" w:rsidRDefault="00DF0A1A" w:rsidP="00DF0A1A">
      <w:pPr>
        <w:pStyle w:val="FootnoteText"/>
      </w:pPr>
      <w:r w:rsidRPr="008C382A">
        <w:rPr>
          <w:rStyle w:val="FootnoteReference"/>
          <w:szCs w:val="18"/>
        </w:rPr>
        <w:footnoteRef/>
      </w:r>
      <w:r w:rsidRPr="008C382A">
        <w:rPr>
          <w:sz w:val="18"/>
          <w:szCs w:val="18"/>
        </w:rPr>
        <w:tab/>
      </w:r>
      <w:r w:rsidR="00333EB5" w:rsidRPr="00333EB5">
        <w:t>Este subpunto del orden del día</w:t>
      </w:r>
      <w:r w:rsidR="00333EB5">
        <w:t xml:space="preserve"> de la CMR</w:t>
      </w:r>
      <w:r w:rsidR="00333EB5" w:rsidRPr="00333EB5">
        <w:t xml:space="preserve"> se limita e</w:t>
      </w:r>
      <w:r w:rsidR="00333EB5">
        <w:t xml:space="preserve">strictamente al Informe del </w:t>
      </w:r>
      <w:proofErr w:type="gramStart"/>
      <w:r w:rsidR="00333EB5">
        <w:t>Director</w:t>
      </w:r>
      <w:proofErr w:type="gramEnd"/>
      <w:r w:rsidR="00333EB5">
        <w:t xml:space="preserve">, en relación con las dificultades o incoherencias observadas en la aplicación del Reglamento de Radiocomunicaciones y las observaciones de las administraciones. Se invita a </w:t>
      </w:r>
      <w:proofErr w:type="gramStart"/>
      <w:r w:rsidR="00333EB5">
        <w:t>los administraciones</w:t>
      </w:r>
      <w:proofErr w:type="gramEnd"/>
      <w:r w:rsidR="00333EB5">
        <w:t xml:space="preserve"> a que informen al Director de la Oficina de Radiocomunicaciones de las dificultades o incoherencias observadas en el Reglamento de Radiocomunicaciones.</w:t>
      </w:r>
    </w:p>
  </w:footnote>
  <w:footnote w:id="5">
    <w:p w14:paraId="12B0421C" w14:textId="2AE58D14" w:rsidR="0002476D" w:rsidRPr="00BC79A3" w:rsidRDefault="0002476D" w:rsidP="0002476D">
      <w:pPr>
        <w:pStyle w:val="FootnoteText"/>
      </w:pPr>
      <w:r w:rsidRPr="00BE5BAD">
        <w:rPr>
          <w:rStyle w:val="FootnoteReference"/>
        </w:rPr>
        <w:t>*</w:t>
      </w:r>
      <w:r w:rsidRPr="00BE5BAD">
        <w:tab/>
      </w:r>
      <w:r w:rsidR="00BC79A3" w:rsidRPr="00BC79A3">
        <w:t>Dependiendo de la carga de trabajo de la CMR-27, l</w:t>
      </w:r>
      <w:r w:rsidR="00BC79A3">
        <w:t>os Miembros de la APT han de considerar transferir este punto del orden del día de la CMR-31 a la CMR-27.</w:t>
      </w:r>
    </w:p>
  </w:footnote>
  <w:footnote w:id="6">
    <w:p w14:paraId="6BDFBCAD" w14:textId="28BA8CEF" w:rsidR="005B3B97" w:rsidRPr="008D2304" w:rsidRDefault="005B3B97" w:rsidP="005B3B97">
      <w:pPr>
        <w:pStyle w:val="FootnoteText"/>
      </w:pPr>
      <w:r w:rsidRPr="008D2304">
        <w:rPr>
          <w:rStyle w:val="FootnoteReference"/>
        </w:rPr>
        <w:t>1</w:t>
      </w:r>
      <w:r w:rsidRPr="008D2304">
        <w:t xml:space="preserve"> </w:t>
      </w:r>
      <w:r w:rsidRPr="008D2304">
        <w:tab/>
      </w:r>
      <w:r w:rsidR="008D2304">
        <w:t xml:space="preserve">Este </w:t>
      </w:r>
      <w:r w:rsidR="008D2304" w:rsidRPr="00333EB5">
        <w:t>subpunto del orden del día permanente de la CMR se limita estrictamente al Informe del Director</w:t>
      </w:r>
      <w:r w:rsidR="008D2304">
        <w:t>, en relación a</w:t>
      </w:r>
      <w:r w:rsidR="008D2304" w:rsidRPr="00333EB5">
        <w:t xml:space="preserve"> las actividades del UIT-R desde la última CMR; y</w:t>
      </w:r>
      <w:r w:rsidR="008D2304">
        <w:t xml:space="preserve"> se evitarán</w:t>
      </w:r>
      <w:r w:rsidR="008D2304" w:rsidRPr="00333EB5">
        <w:t xml:space="preserve"> algunos temas como los punto</w:t>
      </w:r>
      <w:r w:rsidR="008D2304">
        <w:t>s independientes ocultos del orden del día, particularmente esos temas que requieran algún cambio/enmienda al Reglamento de Radiocomunicaciones.</w:t>
      </w:r>
    </w:p>
  </w:footnote>
  <w:footnote w:id="7">
    <w:p w14:paraId="4814CDEA" w14:textId="71F34A1D" w:rsidR="00B035C9" w:rsidRPr="008D2304" w:rsidRDefault="00B035C9" w:rsidP="00B035C9">
      <w:pPr>
        <w:pStyle w:val="FootnoteText"/>
      </w:pPr>
      <w:r w:rsidRPr="008D2304">
        <w:rPr>
          <w:rStyle w:val="FootnoteReference"/>
        </w:rPr>
        <w:t>2</w:t>
      </w:r>
      <w:r w:rsidRPr="008D2304">
        <w:t xml:space="preserve"> </w:t>
      </w:r>
      <w:r w:rsidRPr="008D2304">
        <w:tab/>
      </w:r>
      <w:r w:rsidR="008D2304" w:rsidRPr="00333EB5">
        <w:t>Este subpunto del orden del día</w:t>
      </w:r>
      <w:r w:rsidR="008D2304">
        <w:t xml:space="preserve"> de la CMR</w:t>
      </w:r>
      <w:r w:rsidR="008D2304" w:rsidRPr="00333EB5">
        <w:t xml:space="preserve"> se limita e</w:t>
      </w:r>
      <w:r w:rsidR="008D2304">
        <w:t>strictamente al Informe del Director, en relación con las dificultades o incoherencias observadas en la aplicación del Reglamento de Radiocomunicaciones y las observaciones de las administraciones. Se invita a l</w:t>
      </w:r>
      <w:r w:rsidR="009D3A9C">
        <w:t>a</w:t>
      </w:r>
      <w:r w:rsidR="008D2304">
        <w:t xml:space="preserve">s administraciones a que informen al </w:t>
      </w:r>
      <w:proofErr w:type="gramStart"/>
      <w:r w:rsidR="008D2304">
        <w:t>Director</w:t>
      </w:r>
      <w:proofErr w:type="gramEnd"/>
      <w:r w:rsidR="008D2304">
        <w:t xml:space="preserve"> de la Oficina de Radiocomunicaciones de 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F64C" w14:textId="77777777" w:rsidR="00E45D05" w:rsidRPr="00BE5BAD" w:rsidRDefault="00A066F1" w:rsidP="00187BD9">
    <w:pPr>
      <w:pStyle w:val="Header"/>
    </w:pPr>
    <w:r w:rsidRPr="00BE5BAD">
      <w:fldChar w:fldCharType="begin"/>
    </w:r>
    <w:r w:rsidRPr="00BE5BAD">
      <w:instrText xml:space="preserve"> PAGE  \* MERGEFORMAT </w:instrText>
    </w:r>
    <w:r w:rsidRPr="00BE5BAD">
      <w:fldChar w:fldCharType="separate"/>
    </w:r>
    <w:r w:rsidR="009B1EA1" w:rsidRPr="00BE5BAD">
      <w:t>2</w:t>
    </w:r>
    <w:r w:rsidRPr="00BE5BAD">
      <w:fldChar w:fldCharType="end"/>
    </w:r>
  </w:p>
  <w:p w14:paraId="35B5A5CA" w14:textId="1703192E" w:rsidR="00A066F1" w:rsidRPr="00BE5BAD" w:rsidRDefault="00BC75DE" w:rsidP="00241FA2">
    <w:pPr>
      <w:pStyle w:val="Header"/>
    </w:pPr>
    <w:r w:rsidRPr="00BE5BAD">
      <w:t>WRC</w:t>
    </w:r>
    <w:r w:rsidR="006D70B0" w:rsidRPr="00BE5BAD">
      <w:t>23</w:t>
    </w:r>
    <w:r w:rsidR="00A066F1" w:rsidRPr="00BE5BAD">
      <w:t>/</w:t>
    </w:r>
    <w:bookmarkStart w:id="16" w:name="OLE_LINK1"/>
    <w:bookmarkStart w:id="17" w:name="OLE_LINK2"/>
    <w:bookmarkStart w:id="18" w:name="OLE_LINK3"/>
    <w:r w:rsidR="00EB55C6" w:rsidRPr="00BE5BAD">
      <w:t>62(Add.</w:t>
    </w:r>
    <w:proofErr w:type="gramStart"/>
    <w:r w:rsidR="00EB55C6" w:rsidRPr="00BE5BAD">
      <w:t>27)(</w:t>
    </w:r>
    <w:proofErr w:type="gramEnd"/>
    <w:r w:rsidR="00EB55C6" w:rsidRPr="00BE5BAD">
      <w:t>Add.1)</w:t>
    </w:r>
    <w:bookmarkEnd w:id="16"/>
    <w:bookmarkEnd w:id="17"/>
    <w:bookmarkEnd w:id="18"/>
    <w:r w:rsidR="00187BD9" w:rsidRPr="00BE5BAD">
      <w:t>-</w:t>
    </w:r>
    <w:r w:rsidR="00E42F28">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18968045">
    <w:abstractNumId w:val="0"/>
  </w:num>
  <w:num w:numId="2" w16cid:durableId="17308832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B78"/>
    <w:rsid w:val="00016F21"/>
    <w:rsid w:val="00022A29"/>
    <w:rsid w:val="0002476D"/>
    <w:rsid w:val="00025BE4"/>
    <w:rsid w:val="000355FD"/>
    <w:rsid w:val="00041349"/>
    <w:rsid w:val="00051E39"/>
    <w:rsid w:val="000626C8"/>
    <w:rsid w:val="00064AFE"/>
    <w:rsid w:val="000705F2"/>
    <w:rsid w:val="00076E47"/>
    <w:rsid w:val="00077239"/>
    <w:rsid w:val="0007795D"/>
    <w:rsid w:val="00086491"/>
    <w:rsid w:val="00091346"/>
    <w:rsid w:val="00095845"/>
    <w:rsid w:val="0009706C"/>
    <w:rsid w:val="000A1A91"/>
    <w:rsid w:val="000D154B"/>
    <w:rsid w:val="000D2DAF"/>
    <w:rsid w:val="000D46C2"/>
    <w:rsid w:val="000E463E"/>
    <w:rsid w:val="000F73FF"/>
    <w:rsid w:val="00106DCA"/>
    <w:rsid w:val="00114CF7"/>
    <w:rsid w:val="00116C7A"/>
    <w:rsid w:val="00120D91"/>
    <w:rsid w:val="00123B68"/>
    <w:rsid w:val="00125269"/>
    <w:rsid w:val="00126F2E"/>
    <w:rsid w:val="00146F6F"/>
    <w:rsid w:val="00161F26"/>
    <w:rsid w:val="00167EF3"/>
    <w:rsid w:val="00176AE5"/>
    <w:rsid w:val="00185C33"/>
    <w:rsid w:val="00187BD9"/>
    <w:rsid w:val="00190B55"/>
    <w:rsid w:val="00197FF7"/>
    <w:rsid w:val="001C3B5F"/>
    <w:rsid w:val="001D058F"/>
    <w:rsid w:val="001E47BC"/>
    <w:rsid w:val="002009EA"/>
    <w:rsid w:val="00202756"/>
    <w:rsid w:val="00202CA0"/>
    <w:rsid w:val="00204477"/>
    <w:rsid w:val="002061ED"/>
    <w:rsid w:val="00212D14"/>
    <w:rsid w:val="00216B6D"/>
    <w:rsid w:val="0022757F"/>
    <w:rsid w:val="002327C7"/>
    <w:rsid w:val="00241FA2"/>
    <w:rsid w:val="002544A1"/>
    <w:rsid w:val="00255B71"/>
    <w:rsid w:val="002572DF"/>
    <w:rsid w:val="00262406"/>
    <w:rsid w:val="00271316"/>
    <w:rsid w:val="00272A57"/>
    <w:rsid w:val="002A494D"/>
    <w:rsid w:val="002B349C"/>
    <w:rsid w:val="002C1A6F"/>
    <w:rsid w:val="002C711F"/>
    <w:rsid w:val="002D58BE"/>
    <w:rsid w:val="002F4747"/>
    <w:rsid w:val="002F5F22"/>
    <w:rsid w:val="00302605"/>
    <w:rsid w:val="00304F4B"/>
    <w:rsid w:val="00313C5D"/>
    <w:rsid w:val="00314564"/>
    <w:rsid w:val="00333EB5"/>
    <w:rsid w:val="00361B37"/>
    <w:rsid w:val="00362285"/>
    <w:rsid w:val="00377BD3"/>
    <w:rsid w:val="00382417"/>
    <w:rsid w:val="00384088"/>
    <w:rsid w:val="003852CE"/>
    <w:rsid w:val="0039169B"/>
    <w:rsid w:val="00393A91"/>
    <w:rsid w:val="003A2460"/>
    <w:rsid w:val="003A7F8C"/>
    <w:rsid w:val="003B2284"/>
    <w:rsid w:val="003B4A17"/>
    <w:rsid w:val="003B532E"/>
    <w:rsid w:val="003C20CD"/>
    <w:rsid w:val="003D0F8B"/>
    <w:rsid w:val="003E0DB6"/>
    <w:rsid w:val="003E1C1C"/>
    <w:rsid w:val="003E69FC"/>
    <w:rsid w:val="003F0D50"/>
    <w:rsid w:val="00404326"/>
    <w:rsid w:val="0041348E"/>
    <w:rsid w:val="00415C1C"/>
    <w:rsid w:val="00420873"/>
    <w:rsid w:val="00432F59"/>
    <w:rsid w:val="00433EE0"/>
    <w:rsid w:val="0043621F"/>
    <w:rsid w:val="00446DDB"/>
    <w:rsid w:val="00457662"/>
    <w:rsid w:val="00461F9A"/>
    <w:rsid w:val="004800DA"/>
    <w:rsid w:val="00492075"/>
    <w:rsid w:val="004969AD"/>
    <w:rsid w:val="004A26C4"/>
    <w:rsid w:val="004B0352"/>
    <w:rsid w:val="004B13CB"/>
    <w:rsid w:val="004B5311"/>
    <w:rsid w:val="004C6465"/>
    <w:rsid w:val="004D26EA"/>
    <w:rsid w:val="004D2BFB"/>
    <w:rsid w:val="004D5D5C"/>
    <w:rsid w:val="004E3FFD"/>
    <w:rsid w:val="004F3DC0"/>
    <w:rsid w:val="0050139F"/>
    <w:rsid w:val="0050373D"/>
    <w:rsid w:val="00542B1B"/>
    <w:rsid w:val="0055140B"/>
    <w:rsid w:val="0055173C"/>
    <w:rsid w:val="00554CF8"/>
    <w:rsid w:val="005646F9"/>
    <w:rsid w:val="005846C2"/>
    <w:rsid w:val="005861D7"/>
    <w:rsid w:val="005964AB"/>
    <w:rsid w:val="00597865"/>
    <w:rsid w:val="005B3B97"/>
    <w:rsid w:val="005C099A"/>
    <w:rsid w:val="005C31A5"/>
    <w:rsid w:val="005C3758"/>
    <w:rsid w:val="005D3BFA"/>
    <w:rsid w:val="005E10C9"/>
    <w:rsid w:val="005E290B"/>
    <w:rsid w:val="005E61DD"/>
    <w:rsid w:val="005F04D8"/>
    <w:rsid w:val="005F09F5"/>
    <w:rsid w:val="0060042D"/>
    <w:rsid w:val="00601F41"/>
    <w:rsid w:val="006023DF"/>
    <w:rsid w:val="00605EC9"/>
    <w:rsid w:val="00613C19"/>
    <w:rsid w:val="00615426"/>
    <w:rsid w:val="00616219"/>
    <w:rsid w:val="00645B7D"/>
    <w:rsid w:val="00657DE0"/>
    <w:rsid w:val="00685313"/>
    <w:rsid w:val="00690F9F"/>
    <w:rsid w:val="00692833"/>
    <w:rsid w:val="00694F13"/>
    <w:rsid w:val="006A6E9B"/>
    <w:rsid w:val="006B7C2A"/>
    <w:rsid w:val="006C23DA"/>
    <w:rsid w:val="006D6A5E"/>
    <w:rsid w:val="006D70B0"/>
    <w:rsid w:val="006E350C"/>
    <w:rsid w:val="006E3D45"/>
    <w:rsid w:val="006F1135"/>
    <w:rsid w:val="006F2346"/>
    <w:rsid w:val="006F6998"/>
    <w:rsid w:val="0070607A"/>
    <w:rsid w:val="00710112"/>
    <w:rsid w:val="007105A3"/>
    <w:rsid w:val="00712EB0"/>
    <w:rsid w:val="007149F9"/>
    <w:rsid w:val="00733A30"/>
    <w:rsid w:val="00745AEE"/>
    <w:rsid w:val="00745BF8"/>
    <w:rsid w:val="00750F10"/>
    <w:rsid w:val="00765115"/>
    <w:rsid w:val="007742CA"/>
    <w:rsid w:val="00774C0B"/>
    <w:rsid w:val="00782E4F"/>
    <w:rsid w:val="00790D70"/>
    <w:rsid w:val="007A2AED"/>
    <w:rsid w:val="007A6F1F"/>
    <w:rsid w:val="007D5320"/>
    <w:rsid w:val="007E58C0"/>
    <w:rsid w:val="007F34A1"/>
    <w:rsid w:val="00800972"/>
    <w:rsid w:val="00804475"/>
    <w:rsid w:val="00811633"/>
    <w:rsid w:val="00814037"/>
    <w:rsid w:val="00816854"/>
    <w:rsid w:val="00841216"/>
    <w:rsid w:val="00842AF0"/>
    <w:rsid w:val="0086171E"/>
    <w:rsid w:val="008629E3"/>
    <w:rsid w:val="00863B8A"/>
    <w:rsid w:val="00872FC8"/>
    <w:rsid w:val="00873C36"/>
    <w:rsid w:val="00875884"/>
    <w:rsid w:val="00880A83"/>
    <w:rsid w:val="008845D0"/>
    <w:rsid w:val="00884D60"/>
    <w:rsid w:val="00884F5E"/>
    <w:rsid w:val="00887CED"/>
    <w:rsid w:val="00894502"/>
    <w:rsid w:val="00896E56"/>
    <w:rsid w:val="008A3B2B"/>
    <w:rsid w:val="008B2B87"/>
    <w:rsid w:val="008B43F2"/>
    <w:rsid w:val="008B6CFF"/>
    <w:rsid w:val="008C382A"/>
    <w:rsid w:val="008C54CC"/>
    <w:rsid w:val="008C71B4"/>
    <w:rsid w:val="008D2304"/>
    <w:rsid w:val="008D5CE8"/>
    <w:rsid w:val="008F5F44"/>
    <w:rsid w:val="008F6761"/>
    <w:rsid w:val="00924FEF"/>
    <w:rsid w:val="009274B4"/>
    <w:rsid w:val="00933533"/>
    <w:rsid w:val="00934EA2"/>
    <w:rsid w:val="00936162"/>
    <w:rsid w:val="00944A5C"/>
    <w:rsid w:val="00951D6B"/>
    <w:rsid w:val="00952A66"/>
    <w:rsid w:val="0098630F"/>
    <w:rsid w:val="00990851"/>
    <w:rsid w:val="009B1EA1"/>
    <w:rsid w:val="009B3FA0"/>
    <w:rsid w:val="009B7C9A"/>
    <w:rsid w:val="009C56E5"/>
    <w:rsid w:val="009C7716"/>
    <w:rsid w:val="009D2FA2"/>
    <w:rsid w:val="009D377E"/>
    <w:rsid w:val="009D3A9C"/>
    <w:rsid w:val="009E5FC8"/>
    <w:rsid w:val="009E687A"/>
    <w:rsid w:val="009F236F"/>
    <w:rsid w:val="009F2A90"/>
    <w:rsid w:val="009F4522"/>
    <w:rsid w:val="00A02A64"/>
    <w:rsid w:val="00A03323"/>
    <w:rsid w:val="00A066F1"/>
    <w:rsid w:val="00A141AF"/>
    <w:rsid w:val="00A14D2D"/>
    <w:rsid w:val="00A16D29"/>
    <w:rsid w:val="00A16F01"/>
    <w:rsid w:val="00A238A0"/>
    <w:rsid w:val="00A30305"/>
    <w:rsid w:val="00A31D2D"/>
    <w:rsid w:val="00A4600A"/>
    <w:rsid w:val="00A538A6"/>
    <w:rsid w:val="00A54C25"/>
    <w:rsid w:val="00A65B44"/>
    <w:rsid w:val="00A710E7"/>
    <w:rsid w:val="00A72721"/>
    <w:rsid w:val="00A7372E"/>
    <w:rsid w:val="00A74374"/>
    <w:rsid w:val="00A8284C"/>
    <w:rsid w:val="00A84D6A"/>
    <w:rsid w:val="00A93B85"/>
    <w:rsid w:val="00AA0B18"/>
    <w:rsid w:val="00AA3C65"/>
    <w:rsid w:val="00AA666F"/>
    <w:rsid w:val="00AB38FD"/>
    <w:rsid w:val="00AC3CC3"/>
    <w:rsid w:val="00AC4754"/>
    <w:rsid w:val="00AD08FC"/>
    <w:rsid w:val="00AD7914"/>
    <w:rsid w:val="00AE514B"/>
    <w:rsid w:val="00B035C9"/>
    <w:rsid w:val="00B12604"/>
    <w:rsid w:val="00B12D26"/>
    <w:rsid w:val="00B149F3"/>
    <w:rsid w:val="00B21095"/>
    <w:rsid w:val="00B40888"/>
    <w:rsid w:val="00B40AEF"/>
    <w:rsid w:val="00B4157F"/>
    <w:rsid w:val="00B43B62"/>
    <w:rsid w:val="00B63593"/>
    <w:rsid w:val="00B639E9"/>
    <w:rsid w:val="00B70852"/>
    <w:rsid w:val="00B817CD"/>
    <w:rsid w:val="00B81A7D"/>
    <w:rsid w:val="00B8378A"/>
    <w:rsid w:val="00B87376"/>
    <w:rsid w:val="00B91EF7"/>
    <w:rsid w:val="00B94AD0"/>
    <w:rsid w:val="00BB1422"/>
    <w:rsid w:val="00BB3A95"/>
    <w:rsid w:val="00BC4AFB"/>
    <w:rsid w:val="00BC75DE"/>
    <w:rsid w:val="00BC79A3"/>
    <w:rsid w:val="00BD1D53"/>
    <w:rsid w:val="00BD6CCE"/>
    <w:rsid w:val="00BE5BAD"/>
    <w:rsid w:val="00C0018F"/>
    <w:rsid w:val="00C15730"/>
    <w:rsid w:val="00C16A5A"/>
    <w:rsid w:val="00C20466"/>
    <w:rsid w:val="00C214ED"/>
    <w:rsid w:val="00C234E6"/>
    <w:rsid w:val="00C239A1"/>
    <w:rsid w:val="00C324A8"/>
    <w:rsid w:val="00C417A2"/>
    <w:rsid w:val="00C438F7"/>
    <w:rsid w:val="00C54517"/>
    <w:rsid w:val="00C56F70"/>
    <w:rsid w:val="00C57B91"/>
    <w:rsid w:val="00C6460F"/>
    <w:rsid w:val="00C64CD8"/>
    <w:rsid w:val="00C652A6"/>
    <w:rsid w:val="00C70307"/>
    <w:rsid w:val="00C82695"/>
    <w:rsid w:val="00C97C68"/>
    <w:rsid w:val="00CA1A47"/>
    <w:rsid w:val="00CA3DFC"/>
    <w:rsid w:val="00CA67AE"/>
    <w:rsid w:val="00CB44E5"/>
    <w:rsid w:val="00CC247A"/>
    <w:rsid w:val="00CC62C3"/>
    <w:rsid w:val="00CE388F"/>
    <w:rsid w:val="00CE5E47"/>
    <w:rsid w:val="00CF020F"/>
    <w:rsid w:val="00CF2B5B"/>
    <w:rsid w:val="00D06D07"/>
    <w:rsid w:val="00D06EF9"/>
    <w:rsid w:val="00D14CE0"/>
    <w:rsid w:val="00D20ABE"/>
    <w:rsid w:val="00D255D4"/>
    <w:rsid w:val="00D268B3"/>
    <w:rsid w:val="00D26D71"/>
    <w:rsid w:val="00D52FD6"/>
    <w:rsid w:val="00D54009"/>
    <w:rsid w:val="00D5651D"/>
    <w:rsid w:val="00D57A34"/>
    <w:rsid w:val="00D74898"/>
    <w:rsid w:val="00D801ED"/>
    <w:rsid w:val="00D936BC"/>
    <w:rsid w:val="00D94B32"/>
    <w:rsid w:val="00D96530"/>
    <w:rsid w:val="00DA1CB1"/>
    <w:rsid w:val="00DA2454"/>
    <w:rsid w:val="00DD44AF"/>
    <w:rsid w:val="00DE2AC3"/>
    <w:rsid w:val="00DE5692"/>
    <w:rsid w:val="00DE6300"/>
    <w:rsid w:val="00DF0A1A"/>
    <w:rsid w:val="00DF1CF5"/>
    <w:rsid w:val="00DF4BC6"/>
    <w:rsid w:val="00DF78E0"/>
    <w:rsid w:val="00E02CC6"/>
    <w:rsid w:val="00E03C94"/>
    <w:rsid w:val="00E205BC"/>
    <w:rsid w:val="00E21590"/>
    <w:rsid w:val="00E26226"/>
    <w:rsid w:val="00E40121"/>
    <w:rsid w:val="00E42F28"/>
    <w:rsid w:val="00E45D05"/>
    <w:rsid w:val="00E477BB"/>
    <w:rsid w:val="00E55816"/>
    <w:rsid w:val="00E55AEF"/>
    <w:rsid w:val="00E64F0A"/>
    <w:rsid w:val="00E86687"/>
    <w:rsid w:val="00E976C1"/>
    <w:rsid w:val="00EA12E5"/>
    <w:rsid w:val="00EA143F"/>
    <w:rsid w:val="00EB0812"/>
    <w:rsid w:val="00EB096A"/>
    <w:rsid w:val="00EB3338"/>
    <w:rsid w:val="00EB54B2"/>
    <w:rsid w:val="00EB55C6"/>
    <w:rsid w:val="00ED2BA9"/>
    <w:rsid w:val="00ED44EC"/>
    <w:rsid w:val="00EF1932"/>
    <w:rsid w:val="00EF71B6"/>
    <w:rsid w:val="00F02766"/>
    <w:rsid w:val="00F05BD4"/>
    <w:rsid w:val="00F06473"/>
    <w:rsid w:val="00F320AA"/>
    <w:rsid w:val="00F6155B"/>
    <w:rsid w:val="00F65C19"/>
    <w:rsid w:val="00F7498C"/>
    <w:rsid w:val="00F822B0"/>
    <w:rsid w:val="00FA2736"/>
    <w:rsid w:val="00FB4C71"/>
    <w:rsid w:val="00FC5457"/>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51C5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BA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ED2BA9"/>
    <w:pPr>
      <w:keepNext/>
      <w:keepLines/>
      <w:spacing w:before="280"/>
      <w:ind w:left="1134" w:hanging="1134"/>
      <w:outlineLvl w:val="0"/>
    </w:pPr>
    <w:rPr>
      <w:b/>
      <w:sz w:val="28"/>
    </w:rPr>
  </w:style>
  <w:style w:type="paragraph" w:styleId="Heading2">
    <w:name w:val="heading 2"/>
    <w:basedOn w:val="Heading1"/>
    <w:next w:val="Normal"/>
    <w:qFormat/>
    <w:rsid w:val="00ED2BA9"/>
    <w:pPr>
      <w:spacing w:before="200"/>
      <w:outlineLvl w:val="1"/>
    </w:pPr>
    <w:rPr>
      <w:sz w:val="24"/>
    </w:rPr>
  </w:style>
  <w:style w:type="paragraph" w:styleId="Heading3">
    <w:name w:val="heading 3"/>
    <w:basedOn w:val="Heading1"/>
    <w:next w:val="Normal"/>
    <w:qFormat/>
    <w:rsid w:val="00ED2BA9"/>
    <w:pPr>
      <w:tabs>
        <w:tab w:val="clear" w:pos="1134"/>
      </w:tabs>
      <w:spacing w:before="200"/>
      <w:outlineLvl w:val="2"/>
    </w:pPr>
    <w:rPr>
      <w:sz w:val="24"/>
    </w:rPr>
  </w:style>
  <w:style w:type="paragraph" w:styleId="Heading4">
    <w:name w:val="heading 4"/>
    <w:basedOn w:val="Heading3"/>
    <w:next w:val="Normal"/>
    <w:qFormat/>
    <w:rsid w:val="00ED2BA9"/>
    <w:pPr>
      <w:outlineLvl w:val="3"/>
    </w:pPr>
  </w:style>
  <w:style w:type="paragraph" w:styleId="Heading5">
    <w:name w:val="heading 5"/>
    <w:basedOn w:val="Heading4"/>
    <w:next w:val="Normal"/>
    <w:qFormat/>
    <w:rsid w:val="00ED2BA9"/>
    <w:pPr>
      <w:outlineLvl w:val="4"/>
    </w:pPr>
  </w:style>
  <w:style w:type="paragraph" w:styleId="Heading6">
    <w:name w:val="heading 6"/>
    <w:basedOn w:val="Heading4"/>
    <w:next w:val="Normal"/>
    <w:qFormat/>
    <w:rsid w:val="00ED2BA9"/>
    <w:pPr>
      <w:outlineLvl w:val="5"/>
    </w:pPr>
  </w:style>
  <w:style w:type="paragraph" w:styleId="Heading7">
    <w:name w:val="heading 7"/>
    <w:basedOn w:val="Heading6"/>
    <w:next w:val="Normal"/>
    <w:qFormat/>
    <w:rsid w:val="00ED2BA9"/>
    <w:pPr>
      <w:outlineLvl w:val="6"/>
    </w:pPr>
  </w:style>
  <w:style w:type="paragraph" w:styleId="Heading8">
    <w:name w:val="heading 8"/>
    <w:basedOn w:val="Heading6"/>
    <w:next w:val="Normal"/>
    <w:qFormat/>
    <w:rsid w:val="00ED2BA9"/>
    <w:pPr>
      <w:outlineLvl w:val="7"/>
    </w:pPr>
  </w:style>
  <w:style w:type="paragraph" w:styleId="Heading9">
    <w:name w:val="heading 9"/>
    <w:basedOn w:val="Heading6"/>
    <w:next w:val="Normal"/>
    <w:qFormat/>
    <w:rsid w:val="00ED2BA9"/>
    <w:pPr>
      <w:outlineLvl w:val="8"/>
    </w:pPr>
  </w:style>
  <w:style w:type="character" w:default="1" w:styleId="DefaultParagraphFont">
    <w:name w:val="Default Paragraph Font"/>
    <w:uiPriority w:val="1"/>
    <w:semiHidden/>
    <w:unhideWhenUsed/>
    <w:rsid w:val="00ED2B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2BA9"/>
  </w:style>
  <w:style w:type="paragraph" w:customStyle="1" w:styleId="Agendaitem">
    <w:name w:val="Agenda_item"/>
    <w:basedOn w:val="Normal"/>
    <w:next w:val="Normalaftertitle"/>
    <w:qFormat/>
    <w:rsid w:val="00ED2BA9"/>
    <w:pPr>
      <w:overflowPunct/>
      <w:autoSpaceDE/>
      <w:autoSpaceDN/>
      <w:adjustRightInd/>
      <w:spacing w:before="240"/>
      <w:jc w:val="center"/>
      <w:textAlignment w:val="auto"/>
    </w:pPr>
    <w:rPr>
      <w:sz w:val="28"/>
    </w:rPr>
  </w:style>
  <w:style w:type="paragraph" w:customStyle="1" w:styleId="AnnexNo">
    <w:name w:val="Annex_No"/>
    <w:basedOn w:val="Normal"/>
    <w:next w:val="Annexref"/>
    <w:rsid w:val="00ED2BA9"/>
    <w:pPr>
      <w:keepNext/>
      <w:keepLines/>
      <w:spacing w:before="480" w:after="80"/>
      <w:jc w:val="center"/>
    </w:pPr>
    <w:rPr>
      <w:caps/>
      <w:sz w:val="28"/>
    </w:rPr>
  </w:style>
  <w:style w:type="paragraph" w:customStyle="1" w:styleId="Annexref">
    <w:name w:val="Annex_ref"/>
    <w:basedOn w:val="Normal"/>
    <w:next w:val="Annextitle"/>
    <w:rsid w:val="00ED2BA9"/>
    <w:pPr>
      <w:keepNext/>
      <w:keepLines/>
      <w:spacing w:after="280"/>
      <w:jc w:val="center"/>
    </w:pPr>
  </w:style>
  <w:style w:type="paragraph" w:customStyle="1" w:styleId="Annextitle">
    <w:name w:val="Annex_title"/>
    <w:basedOn w:val="Normal"/>
    <w:next w:val="Normalaftertitle"/>
    <w:rsid w:val="00ED2BA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ED2BA9"/>
    <w:rPr>
      <w:rFonts w:ascii="Times New Roman" w:hAnsi="Times New Roman"/>
      <w:b/>
    </w:rPr>
  </w:style>
  <w:style w:type="character" w:customStyle="1" w:styleId="Appref">
    <w:name w:val="App_ref"/>
    <w:basedOn w:val="DefaultParagraphFont"/>
    <w:rsid w:val="00ED2BA9"/>
  </w:style>
  <w:style w:type="paragraph" w:customStyle="1" w:styleId="AppendixNo">
    <w:name w:val="Appendix_No"/>
    <w:basedOn w:val="AnnexNo"/>
    <w:next w:val="Annexref"/>
    <w:rsid w:val="00ED2BA9"/>
  </w:style>
  <w:style w:type="paragraph" w:customStyle="1" w:styleId="ApptoAnnex">
    <w:name w:val="App_to_Annex"/>
    <w:basedOn w:val="AppendixNo"/>
    <w:qFormat/>
    <w:rsid w:val="00ED2BA9"/>
  </w:style>
  <w:style w:type="paragraph" w:customStyle="1" w:styleId="Appendixref">
    <w:name w:val="Appendix_ref"/>
    <w:basedOn w:val="Annexref"/>
    <w:next w:val="Annextitle"/>
    <w:rsid w:val="00ED2BA9"/>
  </w:style>
  <w:style w:type="paragraph" w:customStyle="1" w:styleId="Appendixtitle">
    <w:name w:val="Appendix_title"/>
    <w:basedOn w:val="Annextitle"/>
    <w:next w:val="Normalaftertitle"/>
    <w:rsid w:val="00ED2BA9"/>
  </w:style>
  <w:style w:type="character" w:customStyle="1" w:styleId="Artdef">
    <w:name w:val="Art_def"/>
    <w:basedOn w:val="DefaultParagraphFont"/>
    <w:rsid w:val="00ED2BA9"/>
    <w:rPr>
      <w:rFonts w:ascii="Times New Roman" w:hAnsi="Times New Roman"/>
      <w:b/>
    </w:rPr>
  </w:style>
  <w:style w:type="paragraph" w:customStyle="1" w:styleId="Artheading">
    <w:name w:val="Art_heading"/>
    <w:basedOn w:val="Normal"/>
    <w:next w:val="Normalaftertitle"/>
    <w:rsid w:val="00ED2BA9"/>
    <w:pPr>
      <w:spacing w:before="480"/>
      <w:jc w:val="center"/>
    </w:pPr>
    <w:rPr>
      <w:rFonts w:ascii="Times New Roman Bold" w:hAnsi="Times New Roman Bold"/>
      <w:b/>
      <w:sz w:val="28"/>
    </w:rPr>
  </w:style>
  <w:style w:type="paragraph" w:customStyle="1" w:styleId="ArtNo">
    <w:name w:val="Art_No"/>
    <w:basedOn w:val="Normal"/>
    <w:next w:val="Arttitle"/>
    <w:rsid w:val="00ED2BA9"/>
    <w:pPr>
      <w:keepNext/>
      <w:keepLines/>
      <w:spacing w:before="480"/>
      <w:jc w:val="center"/>
    </w:pPr>
    <w:rPr>
      <w:caps/>
      <w:sz w:val="28"/>
    </w:rPr>
  </w:style>
  <w:style w:type="character" w:customStyle="1" w:styleId="Artref">
    <w:name w:val="Art_ref"/>
    <w:basedOn w:val="DefaultParagraphFont"/>
    <w:rsid w:val="00ED2BA9"/>
  </w:style>
  <w:style w:type="paragraph" w:customStyle="1" w:styleId="Arttitle">
    <w:name w:val="Art_title"/>
    <w:basedOn w:val="Normal"/>
    <w:next w:val="Normalaftertitle"/>
    <w:rsid w:val="00ED2BA9"/>
    <w:pPr>
      <w:keepNext/>
      <w:keepLines/>
      <w:spacing w:before="240"/>
      <w:jc w:val="center"/>
    </w:pPr>
    <w:rPr>
      <w:b/>
      <w:sz w:val="28"/>
    </w:rPr>
  </w:style>
  <w:style w:type="paragraph" w:customStyle="1" w:styleId="Border">
    <w:name w:val="Border"/>
    <w:basedOn w:val="Normal"/>
    <w:rsid w:val="00ED2BA9"/>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all">
    <w:name w:val="Call"/>
    <w:basedOn w:val="Normal"/>
    <w:next w:val="Normal"/>
    <w:link w:val="CallChar"/>
    <w:rsid w:val="00ED2BA9"/>
    <w:pPr>
      <w:keepNext/>
      <w:keepLines/>
      <w:spacing w:before="160"/>
      <w:ind w:left="1134"/>
    </w:pPr>
    <w:rPr>
      <w:i/>
    </w:rPr>
  </w:style>
  <w:style w:type="paragraph" w:customStyle="1" w:styleId="ChapNo">
    <w:name w:val="Chap_No"/>
    <w:basedOn w:val="ArtNo"/>
    <w:next w:val="Chaptitle"/>
    <w:rsid w:val="00ED2BA9"/>
    <w:rPr>
      <w:rFonts w:ascii="Times New Roman Bold" w:hAnsi="Times New Roman Bold"/>
      <w:b/>
    </w:rPr>
  </w:style>
  <w:style w:type="paragraph" w:customStyle="1" w:styleId="Chaptitle">
    <w:name w:val="Chap_title"/>
    <w:basedOn w:val="Arttitle"/>
    <w:next w:val="Normalaftertitle"/>
    <w:rsid w:val="00ED2BA9"/>
  </w:style>
  <w:style w:type="character" w:styleId="EndnoteReference">
    <w:name w:val="endnote reference"/>
    <w:basedOn w:val="DefaultParagraphFont"/>
    <w:rsid w:val="00ED2BA9"/>
    <w:rPr>
      <w:vertAlign w:val="superscript"/>
    </w:rPr>
  </w:style>
  <w:style w:type="paragraph" w:customStyle="1" w:styleId="enumlev1">
    <w:name w:val="enumlev1"/>
    <w:basedOn w:val="Normal"/>
    <w:rsid w:val="00ED2BA9"/>
    <w:pPr>
      <w:tabs>
        <w:tab w:val="clear" w:pos="2268"/>
        <w:tab w:val="left" w:pos="2608"/>
        <w:tab w:val="left" w:pos="3345"/>
      </w:tabs>
      <w:spacing w:before="80"/>
      <w:ind w:left="1134" w:hanging="1134"/>
    </w:pPr>
  </w:style>
  <w:style w:type="paragraph" w:customStyle="1" w:styleId="enumlev2">
    <w:name w:val="enumlev2"/>
    <w:basedOn w:val="enumlev1"/>
    <w:rsid w:val="00ED2BA9"/>
    <w:pPr>
      <w:ind w:left="1871" w:hanging="737"/>
    </w:pPr>
  </w:style>
  <w:style w:type="paragraph" w:customStyle="1" w:styleId="enumlev3">
    <w:name w:val="enumlev3"/>
    <w:basedOn w:val="enumlev2"/>
    <w:rsid w:val="00ED2BA9"/>
    <w:pPr>
      <w:ind w:left="2268" w:hanging="397"/>
    </w:pPr>
  </w:style>
  <w:style w:type="paragraph" w:customStyle="1" w:styleId="Equation">
    <w:name w:val="Equation"/>
    <w:basedOn w:val="Normal"/>
    <w:rsid w:val="00ED2BA9"/>
    <w:pPr>
      <w:tabs>
        <w:tab w:val="clear" w:pos="1871"/>
        <w:tab w:val="clear" w:pos="2268"/>
        <w:tab w:val="center" w:pos="4820"/>
        <w:tab w:val="right" w:pos="9639"/>
      </w:tabs>
    </w:pPr>
  </w:style>
  <w:style w:type="paragraph" w:customStyle="1" w:styleId="Equationlegend">
    <w:name w:val="Equation_legend"/>
    <w:basedOn w:val="NormalIndent"/>
    <w:rsid w:val="00ED2BA9"/>
    <w:pPr>
      <w:tabs>
        <w:tab w:val="clear" w:pos="1134"/>
        <w:tab w:val="clear" w:pos="2268"/>
        <w:tab w:val="right" w:pos="1871"/>
        <w:tab w:val="left" w:pos="2041"/>
      </w:tabs>
      <w:spacing w:before="80"/>
      <w:ind w:left="2041" w:hanging="2041"/>
    </w:pPr>
  </w:style>
  <w:style w:type="paragraph" w:styleId="NormalIndent">
    <w:name w:val="Normal Indent"/>
    <w:basedOn w:val="Normal"/>
    <w:rsid w:val="00ED2BA9"/>
    <w:pPr>
      <w:ind w:left="1134"/>
    </w:pPr>
  </w:style>
  <w:style w:type="paragraph" w:customStyle="1" w:styleId="Figure">
    <w:name w:val="Figure"/>
    <w:basedOn w:val="Normal"/>
    <w:next w:val="Figuretitle"/>
    <w:rsid w:val="00ED2BA9"/>
    <w:pPr>
      <w:keepNext/>
      <w:keepLines/>
      <w:jc w:val="center"/>
    </w:pPr>
  </w:style>
  <w:style w:type="paragraph" w:customStyle="1" w:styleId="Figurelegend">
    <w:name w:val="Figure_legend"/>
    <w:basedOn w:val="Normal"/>
    <w:rsid w:val="00ED2BA9"/>
    <w:pPr>
      <w:keepNext/>
      <w:keepLines/>
      <w:spacing w:before="20" w:after="20"/>
    </w:pPr>
    <w:rPr>
      <w:sz w:val="18"/>
    </w:rPr>
  </w:style>
  <w:style w:type="paragraph" w:customStyle="1" w:styleId="FigureNo">
    <w:name w:val="Figure_No"/>
    <w:basedOn w:val="Normal"/>
    <w:next w:val="Figuretitle"/>
    <w:rsid w:val="00ED2BA9"/>
    <w:pPr>
      <w:keepNext/>
      <w:keepLines/>
      <w:spacing w:before="480" w:after="120"/>
      <w:jc w:val="center"/>
    </w:pPr>
    <w:rPr>
      <w:caps/>
      <w:sz w:val="20"/>
    </w:rPr>
  </w:style>
  <w:style w:type="paragraph" w:customStyle="1" w:styleId="Figuretitle">
    <w:name w:val="Figure_title"/>
    <w:basedOn w:val="Normal"/>
    <w:next w:val="Normal"/>
    <w:rsid w:val="00ED2BA9"/>
    <w:pPr>
      <w:spacing w:after="480"/>
      <w:jc w:val="center"/>
    </w:pPr>
    <w:rPr>
      <w:b/>
      <w:sz w:val="20"/>
    </w:rPr>
  </w:style>
  <w:style w:type="paragraph" w:customStyle="1" w:styleId="Figurewithouttitle">
    <w:name w:val="Figure_without_title"/>
    <w:basedOn w:val="FigureNo"/>
    <w:next w:val="Normal"/>
    <w:rsid w:val="00ED2BA9"/>
    <w:pPr>
      <w:keepNext w:val="0"/>
    </w:pPr>
  </w:style>
  <w:style w:type="paragraph" w:styleId="Footer">
    <w:name w:val="footer"/>
    <w:basedOn w:val="Normal"/>
    <w:link w:val="FooterChar"/>
    <w:rsid w:val="00ED2BA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s-ES_tradnl" w:eastAsia="en-US"/>
    </w:rPr>
  </w:style>
  <w:style w:type="paragraph" w:customStyle="1" w:styleId="FirstFooter">
    <w:name w:val="FirstFooter"/>
    <w:basedOn w:val="Footer"/>
    <w:rsid w:val="00ED2BA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D2BA9"/>
    <w:rPr>
      <w:position w:val="6"/>
      <w:sz w:val="18"/>
    </w:rPr>
  </w:style>
  <w:style w:type="paragraph" w:styleId="FootnoteText">
    <w:name w:val="footnote text"/>
    <w:basedOn w:val="Normal"/>
    <w:link w:val="FootnoteTextChar"/>
    <w:rsid w:val="00ED2BA9"/>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745AEE"/>
    <w:rPr>
      <w:rFonts w:ascii="Times New Roman" w:hAnsi="Times New Roman"/>
      <w:sz w:val="24"/>
      <w:lang w:val="es-ES_tradnl" w:eastAsia="en-US"/>
    </w:rPr>
  </w:style>
  <w:style w:type="paragraph" w:styleId="Header">
    <w:name w:val="header"/>
    <w:basedOn w:val="Normal"/>
    <w:link w:val="HeaderChar"/>
    <w:rsid w:val="00ED2BA9"/>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s-ES_tradnl" w:eastAsia="en-US"/>
    </w:rPr>
  </w:style>
  <w:style w:type="paragraph" w:customStyle="1" w:styleId="Normalaftertitle">
    <w:name w:val="Normal after title"/>
    <w:basedOn w:val="Normal"/>
    <w:next w:val="Normal"/>
    <w:link w:val="NormalaftertitleChar"/>
    <w:rsid w:val="00ED2BA9"/>
    <w:pPr>
      <w:spacing w:before="280"/>
    </w:pPr>
  </w:style>
  <w:style w:type="paragraph" w:customStyle="1" w:styleId="Section1">
    <w:name w:val="Section_1"/>
    <w:basedOn w:val="Normal"/>
    <w:rsid w:val="00ED2BA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D2BA9"/>
    <w:rPr>
      <w:b w:val="0"/>
      <w:i/>
    </w:rPr>
  </w:style>
  <w:style w:type="paragraph" w:customStyle="1" w:styleId="Section3">
    <w:name w:val="Section_3"/>
    <w:basedOn w:val="Section1"/>
    <w:rsid w:val="00ED2BA9"/>
    <w:rPr>
      <w:b w:val="0"/>
    </w:rPr>
  </w:style>
  <w:style w:type="paragraph" w:customStyle="1" w:styleId="SectionNo">
    <w:name w:val="Section_No"/>
    <w:basedOn w:val="AnnexNo"/>
    <w:next w:val="Normal"/>
    <w:rsid w:val="00ED2BA9"/>
  </w:style>
  <w:style w:type="paragraph" w:customStyle="1" w:styleId="Sectiontitle">
    <w:name w:val="Section_title"/>
    <w:basedOn w:val="Annextitle"/>
    <w:next w:val="Normalaftertitle"/>
    <w:rsid w:val="00ED2BA9"/>
  </w:style>
  <w:style w:type="paragraph" w:customStyle="1" w:styleId="Source">
    <w:name w:val="Source"/>
    <w:basedOn w:val="Normal"/>
    <w:next w:val="Normal"/>
    <w:rsid w:val="00ED2BA9"/>
    <w:pPr>
      <w:spacing w:before="840"/>
      <w:jc w:val="center"/>
    </w:pPr>
    <w:rPr>
      <w:b/>
      <w:sz w:val="28"/>
    </w:rPr>
  </w:style>
  <w:style w:type="paragraph" w:customStyle="1" w:styleId="SpecialFooter">
    <w:name w:val="Special Footer"/>
    <w:basedOn w:val="Footer"/>
    <w:rsid w:val="00ED2BA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ED2BA9"/>
  </w:style>
  <w:style w:type="character" w:customStyle="1" w:styleId="Tablefreq">
    <w:name w:val="Table_freq"/>
    <w:basedOn w:val="DefaultParagraphFont"/>
    <w:rsid w:val="00ED2BA9"/>
    <w:rPr>
      <w:b/>
      <w:color w:val="auto"/>
      <w:sz w:val="20"/>
    </w:rPr>
  </w:style>
  <w:style w:type="paragraph" w:customStyle="1" w:styleId="Tablehead">
    <w:name w:val="Table_head"/>
    <w:basedOn w:val="Tabletext"/>
    <w:next w:val="Tabletext"/>
    <w:rsid w:val="00ED2BA9"/>
    <w:pPr>
      <w:keepNext/>
      <w:spacing w:before="80" w:after="80"/>
      <w:jc w:val="center"/>
    </w:pPr>
    <w:rPr>
      <w:b/>
    </w:rPr>
  </w:style>
  <w:style w:type="paragraph" w:customStyle="1" w:styleId="Tablelegend">
    <w:name w:val="Table_legend"/>
    <w:basedOn w:val="Tabletext"/>
    <w:rsid w:val="00ED2BA9"/>
    <w:pPr>
      <w:tabs>
        <w:tab w:val="clear" w:pos="284"/>
      </w:tabs>
      <w:spacing w:before="120"/>
    </w:pPr>
  </w:style>
  <w:style w:type="paragraph" w:customStyle="1" w:styleId="TableNo">
    <w:name w:val="Table_No"/>
    <w:basedOn w:val="Normal"/>
    <w:next w:val="Normal"/>
    <w:rsid w:val="00ED2BA9"/>
    <w:pPr>
      <w:keepNext/>
      <w:spacing w:before="560" w:after="120"/>
      <w:jc w:val="center"/>
    </w:pPr>
    <w:rPr>
      <w:caps/>
      <w:sz w:val="20"/>
    </w:rPr>
  </w:style>
  <w:style w:type="paragraph" w:customStyle="1" w:styleId="Tableref">
    <w:name w:val="Table_ref"/>
    <w:basedOn w:val="Normal"/>
    <w:next w:val="Normal"/>
    <w:rsid w:val="00ED2BA9"/>
    <w:pPr>
      <w:keepNext/>
      <w:spacing w:before="560"/>
      <w:jc w:val="center"/>
    </w:pPr>
    <w:rPr>
      <w:sz w:val="20"/>
    </w:rPr>
  </w:style>
  <w:style w:type="paragraph" w:customStyle="1" w:styleId="Normalend">
    <w:name w:val="Normal_end"/>
    <w:basedOn w:val="Normal"/>
    <w:qFormat/>
    <w:rsid w:val="00ED2BA9"/>
  </w:style>
  <w:style w:type="paragraph" w:customStyle="1" w:styleId="Proposal">
    <w:name w:val="Proposal"/>
    <w:basedOn w:val="Normal"/>
    <w:next w:val="Normal"/>
    <w:rsid w:val="00ED2BA9"/>
    <w:pPr>
      <w:keepNext/>
      <w:spacing w:before="240"/>
    </w:pPr>
    <w:rPr>
      <w:rFonts w:hAnsi="Times New Roman Bold"/>
      <w:b/>
    </w:rPr>
  </w:style>
  <w:style w:type="paragraph" w:customStyle="1" w:styleId="Reasons">
    <w:name w:val="Reasons"/>
    <w:basedOn w:val="Normal"/>
    <w:rsid w:val="00ED2BA9"/>
    <w:pPr>
      <w:tabs>
        <w:tab w:val="clear" w:pos="1871"/>
        <w:tab w:val="clear" w:pos="2268"/>
        <w:tab w:val="left" w:pos="1588"/>
        <w:tab w:val="left" w:pos="1985"/>
      </w:tabs>
    </w:pPr>
  </w:style>
  <w:style w:type="paragraph" w:customStyle="1" w:styleId="Questiondate">
    <w:name w:val="Question_date"/>
    <w:basedOn w:val="Recdate"/>
    <w:next w:val="Normalaftertitle"/>
    <w:rsid w:val="00ED2BA9"/>
  </w:style>
  <w:style w:type="paragraph" w:customStyle="1" w:styleId="QuestionNo">
    <w:name w:val="Question_No"/>
    <w:basedOn w:val="RecNo"/>
    <w:next w:val="Questiontitle"/>
    <w:rsid w:val="00ED2BA9"/>
  </w:style>
  <w:style w:type="paragraph" w:customStyle="1" w:styleId="Questiontitle">
    <w:name w:val="Question_title"/>
    <w:basedOn w:val="Rectitle"/>
    <w:next w:val="Normal"/>
    <w:rsid w:val="00ED2BA9"/>
  </w:style>
  <w:style w:type="paragraph" w:styleId="TOC1">
    <w:name w:val="toc 1"/>
    <w:basedOn w:val="Normal"/>
    <w:rsid w:val="00ED2BA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D2BA9"/>
    <w:pPr>
      <w:spacing w:before="120"/>
    </w:pPr>
  </w:style>
  <w:style w:type="paragraph" w:styleId="TOC3">
    <w:name w:val="toc 3"/>
    <w:basedOn w:val="TOC2"/>
    <w:rsid w:val="00ED2BA9"/>
  </w:style>
  <w:style w:type="paragraph" w:styleId="TOC4">
    <w:name w:val="toc 4"/>
    <w:basedOn w:val="TOC3"/>
    <w:rsid w:val="00ED2BA9"/>
  </w:style>
  <w:style w:type="paragraph" w:styleId="TOC5">
    <w:name w:val="toc 5"/>
    <w:basedOn w:val="TOC4"/>
    <w:rsid w:val="00ED2BA9"/>
  </w:style>
  <w:style w:type="paragraph" w:styleId="TOC6">
    <w:name w:val="toc 6"/>
    <w:basedOn w:val="TOC4"/>
    <w:rsid w:val="00ED2BA9"/>
  </w:style>
  <w:style w:type="paragraph" w:styleId="TOC7">
    <w:name w:val="toc 7"/>
    <w:basedOn w:val="TOC4"/>
    <w:rsid w:val="00ED2BA9"/>
  </w:style>
  <w:style w:type="paragraph" w:styleId="TOC8">
    <w:name w:val="toc 8"/>
    <w:basedOn w:val="TOC4"/>
    <w:rsid w:val="00ED2BA9"/>
  </w:style>
  <w:style w:type="paragraph" w:customStyle="1" w:styleId="Title1">
    <w:name w:val="Title 1"/>
    <w:basedOn w:val="Source"/>
    <w:next w:val="Normal"/>
    <w:rsid w:val="00ED2BA9"/>
    <w:pPr>
      <w:tabs>
        <w:tab w:val="left" w:pos="567"/>
        <w:tab w:val="left" w:pos="1701"/>
        <w:tab w:val="left" w:pos="2835"/>
      </w:tabs>
      <w:spacing w:before="240"/>
    </w:pPr>
    <w:rPr>
      <w:b w:val="0"/>
      <w:caps/>
    </w:rPr>
  </w:style>
  <w:style w:type="paragraph" w:customStyle="1" w:styleId="Title2">
    <w:name w:val="Title 2"/>
    <w:basedOn w:val="Source"/>
    <w:next w:val="Normal"/>
    <w:rsid w:val="00ED2BA9"/>
    <w:pPr>
      <w:overflowPunct/>
      <w:autoSpaceDE/>
      <w:autoSpaceDN/>
      <w:adjustRightInd/>
      <w:spacing w:before="480"/>
      <w:textAlignment w:val="auto"/>
    </w:pPr>
    <w:rPr>
      <w:b w:val="0"/>
      <w:caps/>
    </w:rPr>
  </w:style>
  <w:style w:type="paragraph" w:customStyle="1" w:styleId="Title3">
    <w:name w:val="Title 3"/>
    <w:basedOn w:val="Title2"/>
    <w:next w:val="Normal"/>
    <w:rsid w:val="00ED2BA9"/>
    <w:pPr>
      <w:spacing w:before="240"/>
    </w:pPr>
    <w:rPr>
      <w:caps w:val="0"/>
    </w:rPr>
  </w:style>
  <w:style w:type="paragraph" w:customStyle="1" w:styleId="Title4">
    <w:name w:val="Title 4"/>
    <w:basedOn w:val="Title3"/>
    <w:next w:val="Heading1"/>
    <w:rsid w:val="00ED2BA9"/>
    <w:rPr>
      <w:b/>
    </w:rPr>
  </w:style>
  <w:style w:type="paragraph" w:customStyle="1" w:styleId="Tabletext">
    <w:name w:val="Table_text"/>
    <w:basedOn w:val="Normal"/>
    <w:rsid w:val="00ED2B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ED2BA9"/>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ED2BA9"/>
    <w:pPr>
      <w:keepNext/>
      <w:spacing w:before="160"/>
    </w:pPr>
    <w:rPr>
      <w:rFonts w:ascii="Times" w:hAnsi="Times"/>
      <w:i/>
    </w:rPr>
  </w:style>
  <w:style w:type="paragraph" w:customStyle="1" w:styleId="Headingb">
    <w:name w:val="Heading_b"/>
    <w:basedOn w:val="Normal"/>
    <w:next w:val="Normal"/>
    <w:rsid w:val="00ED2BA9"/>
    <w:pPr>
      <w:keepNext/>
      <w:spacing w:before="160"/>
    </w:pPr>
    <w:rPr>
      <w:rFonts w:ascii="Times" w:hAnsi="Times"/>
      <w:b/>
    </w:rPr>
  </w:style>
  <w:style w:type="paragraph" w:customStyle="1" w:styleId="Note">
    <w:name w:val="Note"/>
    <w:basedOn w:val="Normal"/>
    <w:rsid w:val="00ED2BA9"/>
    <w:pPr>
      <w:tabs>
        <w:tab w:val="left" w:pos="284"/>
      </w:tabs>
      <w:spacing w:before="80"/>
    </w:pPr>
  </w:style>
  <w:style w:type="paragraph" w:customStyle="1" w:styleId="Part1">
    <w:name w:val="Part_1"/>
    <w:basedOn w:val="Normal"/>
    <w:qFormat/>
    <w:rsid w:val="00ED2BA9"/>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ED2BA9"/>
  </w:style>
  <w:style w:type="paragraph" w:customStyle="1" w:styleId="Partref">
    <w:name w:val="Part_ref"/>
    <w:basedOn w:val="Annexref"/>
    <w:next w:val="Parttitle"/>
    <w:rsid w:val="00ED2BA9"/>
  </w:style>
  <w:style w:type="paragraph" w:customStyle="1" w:styleId="Parttitle">
    <w:name w:val="Part_title"/>
    <w:basedOn w:val="Annextitle"/>
    <w:next w:val="Normalaftertitle"/>
    <w:rsid w:val="00ED2BA9"/>
  </w:style>
  <w:style w:type="paragraph" w:customStyle="1" w:styleId="Recdate">
    <w:name w:val="Rec_date"/>
    <w:basedOn w:val="Recref"/>
    <w:next w:val="Normalaftertitle"/>
    <w:rsid w:val="00ED2BA9"/>
    <w:pPr>
      <w:jc w:val="right"/>
    </w:pPr>
    <w:rPr>
      <w:sz w:val="22"/>
    </w:rPr>
  </w:style>
  <w:style w:type="paragraph" w:customStyle="1" w:styleId="RecNo">
    <w:name w:val="Rec_No"/>
    <w:basedOn w:val="Normal"/>
    <w:next w:val="Rectitle"/>
    <w:rsid w:val="00ED2BA9"/>
    <w:pPr>
      <w:keepNext/>
      <w:keepLines/>
      <w:spacing w:before="480"/>
      <w:jc w:val="center"/>
    </w:pPr>
    <w:rPr>
      <w:caps/>
      <w:sz w:val="28"/>
    </w:rPr>
  </w:style>
  <w:style w:type="paragraph" w:customStyle="1" w:styleId="Rectitle">
    <w:name w:val="Rec_title"/>
    <w:basedOn w:val="RecNo"/>
    <w:next w:val="Recref"/>
    <w:rsid w:val="00ED2BA9"/>
    <w:pPr>
      <w:spacing w:before="240"/>
    </w:pPr>
    <w:rPr>
      <w:rFonts w:ascii="Times New Roman Bold" w:hAnsi="Times New Roman Bold"/>
      <w:b/>
      <w:caps w:val="0"/>
    </w:rPr>
  </w:style>
  <w:style w:type="paragraph" w:customStyle="1" w:styleId="ResNo">
    <w:name w:val="Res_No"/>
    <w:basedOn w:val="RecNo"/>
    <w:next w:val="Normal"/>
    <w:rsid w:val="00ED2BA9"/>
  </w:style>
  <w:style w:type="paragraph" w:customStyle="1" w:styleId="Restitle">
    <w:name w:val="Res_title"/>
    <w:basedOn w:val="Rectitle"/>
    <w:next w:val="Resref"/>
    <w:link w:val="RestitleChar"/>
    <w:rsid w:val="00ED2BA9"/>
  </w:style>
  <w:style w:type="paragraph" w:customStyle="1" w:styleId="AppArtNo">
    <w:name w:val="App_Art_No"/>
    <w:basedOn w:val="ArtNo"/>
    <w:next w:val="AppArttitle"/>
    <w:qFormat/>
    <w:rsid w:val="00ED2BA9"/>
  </w:style>
  <w:style w:type="paragraph" w:customStyle="1" w:styleId="AppArttitle">
    <w:name w:val="App_Art_title"/>
    <w:basedOn w:val="Arttitle"/>
    <w:next w:val="Normalaftertitle"/>
    <w:qFormat/>
    <w:rsid w:val="00ED2BA9"/>
  </w:style>
  <w:style w:type="paragraph" w:customStyle="1" w:styleId="Committee">
    <w:name w:val="Committee"/>
    <w:basedOn w:val="Normal"/>
    <w:qFormat/>
    <w:rsid w:val="00ED2BA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ED2BA9"/>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uiPriority w:val="1"/>
    <w:qFormat/>
    <w:rsid w:val="00ED2BA9"/>
  </w:style>
  <w:style w:type="paragraph" w:customStyle="1" w:styleId="Normalsplit">
    <w:name w:val="Normal_split"/>
    <w:basedOn w:val="Normal"/>
    <w:qFormat/>
    <w:rsid w:val="00CA3DFC"/>
  </w:style>
  <w:style w:type="paragraph" w:customStyle="1" w:styleId="Headingsplit">
    <w:name w:val="Heading_split"/>
    <w:basedOn w:val="Headingi"/>
    <w:next w:val="Normal"/>
    <w:qFormat/>
    <w:rsid w:val="00ED2BA9"/>
    <w:rPr>
      <w:color w:val="000000"/>
    </w:rPr>
  </w:style>
  <w:style w:type="paragraph" w:customStyle="1" w:styleId="MethodHeadingb">
    <w:name w:val="Method_Headingb"/>
    <w:basedOn w:val="Headingb"/>
    <w:qFormat/>
    <w:rsid w:val="00ED2BA9"/>
  </w:style>
  <w:style w:type="paragraph" w:customStyle="1" w:styleId="Methodheading1">
    <w:name w:val="Method_heading1"/>
    <w:basedOn w:val="Heading1"/>
    <w:next w:val="Normal"/>
    <w:qFormat/>
    <w:rsid w:val="00ED2BA9"/>
  </w:style>
  <w:style w:type="paragraph" w:customStyle="1" w:styleId="Methodheading2">
    <w:name w:val="Method_heading2"/>
    <w:basedOn w:val="Heading2"/>
    <w:next w:val="Normal"/>
    <w:qFormat/>
    <w:rsid w:val="00ED2BA9"/>
  </w:style>
  <w:style w:type="paragraph" w:customStyle="1" w:styleId="Methodheading3">
    <w:name w:val="Method_heading3"/>
    <w:basedOn w:val="Heading3"/>
    <w:next w:val="Normal"/>
    <w:qFormat/>
    <w:rsid w:val="00ED2BA9"/>
  </w:style>
  <w:style w:type="paragraph" w:customStyle="1" w:styleId="Methodheading4">
    <w:name w:val="Method_heading4"/>
    <w:basedOn w:val="Heading4"/>
    <w:next w:val="Normal"/>
    <w:qFormat/>
    <w:rsid w:val="00ED2BA9"/>
  </w:style>
  <w:style w:type="paragraph" w:customStyle="1" w:styleId="TableTextS5">
    <w:name w:val="Table_TextS5"/>
    <w:basedOn w:val="Normal"/>
    <w:rsid w:val="00ED2BA9"/>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locked/>
    <w:rsid w:val="00AB38FD"/>
    <w:rPr>
      <w:rFonts w:ascii="Times New Roman" w:hAnsi="Times New Roman"/>
      <w:sz w:val="24"/>
      <w:lang w:val="es-ES_tradnl" w:eastAsia="en-US"/>
    </w:rPr>
  </w:style>
  <w:style w:type="character" w:customStyle="1" w:styleId="CallChar">
    <w:name w:val="Call Char"/>
    <w:basedOn w:val="DefaultParagraphFont"/>
    <w:link w:val="Call"/>
    <w:qFormat/>
    <w:locked/>
    <w:rsid w:val="00AB38FD"/>
    <w:rPr>
      <w:rFonts w:ascii="Times New Roman" w:hAnsi="Times New Roman"/>
      <w:i/>
      <w:sz w:val="24"/>
      <w:lang w:val="es-ES_tradnl" w:eastAsia="en-US"/>
    </w:rPr>
  </w:style>
  <w:style w:type="character" w:customStyle="1" w:styleId="RestitleChar">
    <w:name w:val="Res_title Char"/>
    <w:link w:val="Restitle"/>
    <w:rsid w:val="00AB38FD"/>
    <w:rPr>
      <w:rFonts w:ascii="Times New Roman Bold" w:hAnsi="Times New Roman Bold"/>
      <w:b/>
      <w:sz w:val="28"/>
      <w:lang w:val="es-ES_tradnl" w:eastAsia="en-US"/>
    </w:rPr>
  </w:style>
  <w:style w:type="paragraph" w:styleId="Revision">
    <w:name w:val="Revision"/>
    <w:hidden/>
    <w:uiPriority w:val="99"/>
    <w:semiHidden/>
    <w:rsid w:val="008F5F44"/>
    <w:rPr>
      <w:rFonts w:ascii="Times New Roman" w:hAnsi="Times New Roman"/>
      <w:sz w:val="24"/>
      <w:lang w:val="en-GB" w:eastAsia="en-US"/>
    </w:rPr>
  </w:style>
  <w:style w:type="character" w:styleId="CommentReference">
    <w:name w:val="annotation reference"/>
    <w:basedOn w:val="DefaultParagraphFont"/>
    <w:semiHidden/>
    <w:rsid w:val="00ED2BA9"/>
    <w:rPr>
      <w:sz w:val="16"/>
      <w:szCs w:val="16"/>
    </w:rPr>
  </w:style>
  <w:style w:type="paragraph" w:styleId="CommentText">
    <w:name w:val="annotation text"/>
    <w:basedOn w:val="Normal"/>
    <w:link w:val="CommentTextChar"/>
    <w:semiHidden/>
    <w:rsid w:val="00ED2BA9"/>
    <w:rPr>
      <w:sz w:val="20"/>
    </w:rPr>
  </w:style>
  <w:style w:type="character" w:customStyle="1" w:styleId="CommentTextChar">
    <w:name w:val="Comment Text Char"/>
    <w:basedOn w:val="DefaultParagraphFont"/>
    <w:link w:val="CommentText"/>
    <w:semiHidden/>
    <w:rsid w:val="008C71B4"/>
    <w:rPr>
      <w:rFonts w:ascii="Times New Roman" w:hAnsi="Times New Roman"/>
      <w:lang w:val="es-ES_tradnl" w:eastAsia="en-US"/>
    </w:rPr>
  </w:style>
  <w:style w:type="paragraph" w:customStyle="1" w:styleId="ddate">
    <w:name w:val="ddate"/>
    <w:basedOn w:val="Normal"/>
    <w:rsid w:val="00ED2BA9"/>
    <w:pPr>
      <w:framePr w:hSpace="181" w:wrap="around" w:vAnchor="page" w:hAnchor="margin" w:y="852"/>
      <w:shd w:val="solid" w:color="FFFFFF" w:fill="FFFFFF"/>
      <w:spacing w:before="0"/>
    </w:pPr>
    <w:rPr>
      <w:b/>
      <w:bCs/>
    </w:rPr>
  </w:style>
  <w:style w:type="paragraph" w:customStyle="1" w:styleId="dnum">
    <w:name w:val="dnum"/>
    <w:basedOn w:val="Normal"/>
    <w:rsid w:val="00ED2BA9"/>
    <w:pPr>
      <w:framePr w:hSpace="181" w:wrap="around" w:vAnchor="page" w:hAnchor="margin" w:y="852"/>
      <w:shd w:val="solid" w:color="FFFFFF" w:fill="FFFFFF"/>
    </w:pPr>
    <w:rPr>
      <w:b/>
      <w:bCs/>
    </w:rPr>
  </w:style>
  <w:style w:type="paragraph" w:customStyle="1" w:styleId="dorlang">
    <w:name w:val="dorlang"/>
    <w:basedOn w:val="Normal"/>
    <w:rsid w:val="00ED2BA9"/>
    <w:pPr>
      <w:framePr w:hSpace="181" w:wrap="around" w:vAnchor="page" w:hAnchor="margin" w:y="852"/>
      <w:shd w:val="solid" w:color="FFFFFF" w:fill="FFFFFF"/>
      <w:spacing w:before="0"/>
    </w:pPr>
    <w:rPr>
      <w:b/>
      <w:bCs/>
    </w:rPr>
  </w:style>
  <w:style w:type="paragraph" w:styleId="Index1">
    <w:name w:val="index 1"/>
    <w:basedOn w:val="Normal"/>
    <w:next w:val="Normal"/>
    <w:semiHidden/>
    <w:rsid w:val="00ED2BA9"/>
  </w:style>
  <w:style w:type="paragraph" w:styleId="Index2">
    <w:name w:val="index 2"/>
    <w:basedOn w:val="Normal"/>
    <w:next w:val="Normal"/>
    <w:semiHidden/>
    <w:rsid w:val="00ED2BA9"/>
    <w:pPr>
      <w:ind w:left="283"/>
    </w:pPr>
  </w:style>
  <w:style w:type="paragraph" w:styleId="Index3">
    <w:name w:val="index 3"/>
    <w:basedOn w:val="Normal"/>
    <w:next w:val="Normal"/>
    <w:semiHidden/>
    <w:rsid w:val="00ED2BA9"/>
    <w:pPr>
      <w:ind w:left="566"/>
    </w:pPr>
  </w:style>
  <w:style w:type="paragraph" w:styleId="Index4">
    <w:name w:val="index 4"/>
    <w:basedOn w:val="Normal"/>
    <w:next w:val="Normal"/>
    <w:semiHidden/>
    <w:rsid w:val="00ED2BA9"/>
    <w:pPr>
      <w:ind w:left="849"/>
    </w:pPr>
  </w:style>
  <w:style w:type="paragraph" w:styleId="Index5">
    <w:name w:val="index 5"/>
    <w:basedOn w:val="Normal"/>
    <w:next w:val="Normal"/>
    <w:semiHidden/>
    <w:rsid w:val="00ED2BA9"/>
    <w:pPr>
      <w:ind w:left="1132"/>
    </w:pPr>
  </w:style>
  <w:style w:type="paragraph" w:styleId="Index6">
    <w:name w:val="index 6"/>
    <w:basedOn w:val="Normal"/>
    <w:next w:val="Normal"/>
    <w:semiHidden/>
    <w:rsid w:val="00ED2BA9"/>
    <w:pPr>
      <w:ind w:left="1415"/>
    </w:pPr>
  </w:style>
  <w:style w:type="paragraph" w:styleId="Index7">
    <w:name w:val="index 7"/>
    <w:basedOn w:val="Normal"/>
    <w:next w:val="Normal"/>
    <w:semiHidden/>
    <w:rsid w:val="00ED2BA9"/>
    <w:pPr>
      <w:ind w:left="1698"/>
    </w:pPr>
  </w:style>
  <w:style w:type="paragraph" w:styleId="IndexHeading">
    <w:name w:val="index heading"/>
    <w:basedOn w:val="Normal"/>
    <w:next w:val="Index1"/>
    <w:semiHidden/>
    <w:rsid w:val="00ED2BA9"/>
  </w:style>
  <w:style w:type="character" w:styleId="LineNumber">
    <w:name w:val="line number"/>
    <w:basedOn w:val="DefaultParagraphFont"/>
    <w:rsid w:val="00ED2BA9"/>
  </w:style>
  <w:style w:type="character" w:styleId="PageNumber">
    <w:name w:val="page number"/>
    <w:basedOn w:val="DefaultParagraphFont"/>
    <w:rsid w:val="00ED2BA9"/>
  </w:style>
  <w:style w:type="paragraph" w:customStyle="1" w:styleId="Recref">
    <w:name w:val="Rec_ref"/>
    <w:basedOn w:val="Rectitle"/>
    <w:next w:val="Recdate"/>
    <w:rsid w:val="00ED2BA9"/>
    <w:pPr>
      <w:spacing w:before="120"/>
    </w:pPr>
    <w:rPr>
      <w:rFonts w:ascii="Times New Roman" w:hAnsi="Times New Roman"/>
      <w:b w:val="0"/>
      <w:sz w:val="24"/>
    </w:rPr>
  </w:style>
  <w:style w:type="paragraph" w:customStyle="1" w:styleId="Questionref">
    <w:name w:val="Question_ref"/>
    <w:basedOn w:val="Recref"/>
    <w:next w:val="Questiondate"/>
    <w:rsid w:val="00ED2BA9"/>
  </w:style>
  <w:style w:type="character" w:customStyle="1" w:styleId="Recdef">
    <w:name w:val="Rec_def"/>
    <w:basedOn w:val="DefaultParagraphFont"/>
    <w:rsid w:val="00ED2BA9"/>
    <w:rPr>
      <w:b/>
    </w:rPr>
  </w:style>
  <w:style w:type="paragraph" w:customStyle="1" w:styleId="Reftext">
    <w:name w:val="Ref_text"/>
    <w:basedOn w:val="Normal"/>
    <w:rsid w:val="00ED2BA9"/>
    <w:pPr>
      <w:ind w:left="1134" w:hanging="1134"/>
    </w:pPr>
  </w:style>
  <w:style w:type="paragraph" w:customStyle="1" w:styleId="Reftitle">
    <w:name w:val="Ref_title"/>
    <w:basedOn w:val="Normal"/>
    <w:next w:val="Reftext"/>
    <w:rsid w:val="00ED2BA9"/>
    <w:pPr>
      <w:spacing w:before="480"/>
      <w:jc w:val="center"/>
    </w:pPr>
    <w:rPr>
      <w:caps/>
    </w:rPr>
  </w:style>
  <w:style w:type="paragraph" w:customStyle="1" w:styleId="Repdate">
    <w:name w:val="Rep_date"/>
    <w:basedOn w:val="Recdate"/>
    <w:next w:val="Normalaftertitle"/>
    <w:rsid w:val="00ED2BA9"/>
  </w:style>
  <w:style w:type="paragraph" w:customStyle="1" w:styleId="RepNo">
    <w:name w:val="Rep_No"/>
    <w:basedOn w:val="RecNo"/>
    <w:next w:val="Reptitle"/>
    <w:rsid w:val="00ED2BA9"/>
  </w:style>
  <w:style w:type="paragraph" w:customStyle="1" w:styleId="Repref">
    <w:name w:val="Rep_ref"/>
    <w:basedOn w:val="Recref"/>
    <w:next w:val="Repdate"/>
    <w:rsid w:val="00ED2BA9"/>
  </w:style>
  <w:style w:type="paragraph" w:customStyle="1" w:styleId="Reptitle">
    <w:name w:val="Rep_title"/>
    <w:basedOn w:val="Rectitle"/>
    <w:next w:val="Repref"/>
    <w:rsid w:val="00ED2BA9"/>
  </w:style>
  <w:style w:type="paragraph" w:customStyle="1" w:styleId="Resdate">
    <w:name w:val="Res_date"/>
    <w:basedOn w:val="Recdate"/>
    <w:next w:val="Normalaftertitle"/>
    <w:rsid w:val="00ED2BA9"/>
  </w:style>
  <w:style w:type="character" w:customStyle="1" w:styleId="Resdef">
    <w:name w:val="Res_def"/>
    <w:basedOn w:val="DefaultParagraphFont"/>
    <w:rsid w:val="00ED2BA9"/>
    <w:rPr>
      <w:rFonts w:ascii="Times New Roman" w:hAnsi="Times New Roman"/>
      <w:b/>
    </w:rPr>
  </w:style>
  <w:style w:type="paragraph" w:customStyle="1" w:styleId="Resref">
    <w:name w:val="Res_ref"/>
    <w:basedOn w:val="Recref"/>
    <w:next w:val="Resdate"/>
    <w:rsid w:val="00ED2BA9"/>
  </w:style>
  <w:style w:type="paragraph" w:customStyle="1" w:styleId="toc0">
    <w:name w:val="toc 0"/>
    <w:basedOn w:val="Normal"/>
    <w:next w:val="TOC1"/>
    <w:rsid w:val="00ED2BA9"/>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R23-WRC23-C-0062!A27-A1!MSW-E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E9F03-1624-4C60-A1A9-9150C44900E3}">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b9f87034-1e33-420b-8ff9-da24a529006f"/>
    <ds:schemaRef ds:uri="http://schemas.microsoft.com/office/2006/metadata/properties"/>
    <ds:schemaRef ds:uri="76b7d054-b29f-418b-b414-6b742f999448"/>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47F79970-4952-4D06-8487-FB137CCBF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DA146-F0DA-4D7A-BFED-608E56A630B0}">
  <ds:schemaRefs>
    <ds:schemaRef ds:uri="http://schemas.microsoft.com/sharepoint/v3/contenttype/forms"/>
  </ds:schemaRefs>
</ds:datastoreItem>
</file>

<file path=customXml/itemProps4.xml><?xml version="1.0" encoding="utf-8"?>
<ds:datastoreItem xmlns:ds="http://schemas.openxmlformats.org/officeDocument/2006/customXml" ds:itemID="{1C052DF2-5D9F-41B3-9E58-F1FEC81D550A}">
  <ds:schemaRefs>
    <ds:schemaRef ds:uri="http://schemas.microsoft.com/sharepoint/events"/>
  </ds:schemaRefs>
</ds:datastoreItem>
</file>

<file path=customXml/itemProps5.xml><?xml version="1.0" encoding="utf-8"?>
<ds:datastoreItem xmlns:ds="http://schemas.openxmlformats.org/officeDocument/2006/customXml" ds:itemID="{38783FC4-075B-4078-AD12-6E1A4E3A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187</TotalTime>
  <Pages>7</Pages>
  <Words>2758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R23-WRC23-C-0062!A27-A1!MSW-E</vt:lpstr>
    </vt:vector>
  </TitlesOfParts>
  <Manager>General Secretariat - Pool</Manager>
  <Company>International Telecommunication Union (ITU)</Company>
  <LinksUpToDate>false</LinksUpToDate>
  <CharactersWithSpaces>17936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R23-WRC23-C-0062!A27-A1!MSW-E</dc:title>
  <dc:subject>World Radiocommunication Conference - 2023</dc:subject>
  <dc:creator>Documents Proposals Manager (DPM)</dc:creator>
  <cp:keywords>DPM_v2023.8.1.1_prod</cp:keywords>
  <dc:description>Uploaded on 2015.07.06</dc:description>
  <cp:lastModifiedBy>Catalano Moreira, Rossana</cp:lastModifiedBy>
  <cp:revision>38</cp:revision>
  <cp:lastPrinted>2017-02-10T08:23:00Z</cp:lastPrinted>
  <dcterms:created xsi:type="dcterms:W3CDTF">2023-10-19T09:33:00Z</dcterms:created>
  <dcterms:modified xsi:type="dcterms:W3CDTF">2023-10-27T13:03:00Z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