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16C3C106" w14:textId="77777777" w:rsidTr="004C6D0B">
        <w:trPr>
          <w:cantSplit/>
        </w:trPr>
        <w:tc>
          <w:tcPr>
            <w:tcW w:w="1418" w:type="dxa"/>
            <w:vAlign w:val="center"/>
          </w:tcPr>
          <w:p w14:paraId="575EA57B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8AC188" wp14:editId="572F376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4FF36D3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DE72002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496E3334" wp14:editId="23AF2D3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C953581" w14:textId="77777777" w:rsidTr="00764A5D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6ED0C3E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9F8E5D0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AE9012E" w14:textId="77777777" w:rsidTr="00764A5D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33260A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7EB2580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5230699" w14:textId="77777777" w:rsidTr="00764A5D">
        <w:trPr>
          <w:cantSplit/>
        </w:trPr>
        <w:tc>
          <w:tcPr>
            <w:tcW w:w="6521" w:type="dxa"/>
            <w:gridSpan w:val="2"/>
          </w:tcPr>
          <w:p w14:paraId="77DF115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3A9D37C" w14:textId="77777777" w:rsidR="005651C9" w:rsidRPr="00764A5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64A5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764A5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764A5D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764A5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63F17AB" w14:textId="77777777" w:rsidTr="00764A5D">
        <w:trPr>
          <w:cantSplit/>
        </w:trPr>
        <w:tc>
          <w:tcPr>
            <w:tcW w:w="6521" w:type="dxa"/>
            <w:gridSpan w:val="2"/>
          </w:tcPr>
          <w:p w14:paraId="0BC11186" w14:textId="77777777" w:rsidR="000F33D8" w:rsidRPr="00764A5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8C9F16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C6E7C0E" w14:textId="77777777" w:rsidTr="00764A5D">
        <w:trPr>
          <w:cantSplit/>
        </w:trPr>
        <w:tc>
          <w:tcPr>
            <w:tcW w:w="6521" w:type="dxa"/>
            <w:gridSpan w:val="2"/>
          </w:tcPr>
          <w:p w14:paraId="7D7BE2B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14B69B3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F03C536" w14:textId="77777777" w:rsidTr="009546EA">
        <w:trPr>
          <w:cantSplit/>
        </w:trPr>
        <w:tc>
          <w:tcPr>
            <w:tcW w:w="10031" w:type="dxa"/>
            <w:gridSpan w:val="4"/>
          </w:tcPr>
          <w:p w14:paraId="7599F974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9EF5F4C" w14:textId="77777777">
        <w:trPr>
          <w:cantSplit/>
        </w:trPr>
        <w:tc>
          <w:tcPr>
            <w:tcW w:w="10031" w:type="dxa"/>
            <w:gridSpan w:val="4"/>
          </w:tcPr>
          <w:p w14:paraId="3EB17C03" w14:textId="77777777" w:rsidR="000F33D8" w:rsidRPr="00764A5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64A5D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764A5D" w14:paraId="245C3E73" w14:textId="77777777">
        <w:trPr>
          <w:cantSplit/>
        </w:trPr>
        <w:tc>
          <w:tcPr>
            <w:tcW w:w="10031" w:type="dxa"/>
            <w:gridSpan w:val="4"/>
          </w:tcPr>
          <w:p w14:paraId="2F27C924" w14:textId="7D9D07C9" w:rsidR="000F33D8" w:rsidRPr="00764A5D" w:rsidRDefault="00764A5D" w:rsidP="000F33D8">
            <w:pPr>
              <w:pStyle w:val="Title1"/>
              <w:rPr>
                <w:szCs w:val="26"/>
                <w:lang w:val="en-GB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64A5D" w14:paraId="51AB2D5E" w14:textId="77777777">
        <w:trPr>
          <w:cantSplit/>
        </w:trPr>
        <w:tc>
          <w:tcPr>
            <w:tcW w:w="10031" w:type="dxa"/>
            <w:gridSpan w:val="4"/>
          </w:tcPr>
          <w:p w14:paraId="01D4897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05FDFBA0" w14:textId="77777777">
        <w:trPr>
          <w:cantSplit/>
        </w:trPr>
        <w:tc>
          <w:tcPr>
            <w:tcW w:w="10031" w:type="dxa"/>
            <w:gridSpan w:val="4"/>
          </w:tcPr>
          <w:p w14:paraId="2EF84864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7BAACDB0" w14:textId="77777777" w:rsidR="007F7FFB" w:rsidRPr="00115010" w:rsidRDefault="007F7FFB" w:rsidP="00AE133A">
      <w:r w:rsidRPr="00532D1A">
        <w:t>10</w:t>
      </w:r>
      <w:r w:rsidRPr="00532D1A">
        <w:tab/>
      </w:r>
      <w:r w:rsidRPr="00B4505C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05C">
        <w:rPr>
          <w:b/>
          <w:bCs/>
          <w:iCs/>
        </w:rPr>
        <w:t>804 (</w:t>
      </w:r>
      <w:r w:rsidRPr="00B4505C">
        <w:rPr>
          <w:b/>
          <w:bCs/>
        </w:rPr>
        <w:t>Пересм. ВКР</w:t>
      </w:r>
      <w:r w:rsidRPr="00115010">
        <w:rPr>
          <w:b/>
          <w:bCs/>
        </w:rPr>
        <w:t>-</w:t>
      </w:r>
      <w:r w:rsidRPr="00115010">
        <w:rPr>
          <w:b/>
          <w:bCs/>
          <w:iCs/>
        </w:rPr>
        <w:t>19)</w:t>
      </w:r>
      <w:r w:rsidRPr="00115010">
        <w:t>,</w:t>
      </w:r>
    </w:p>
    <w:p w14:paraId="4AB838AA" w14:textId="24FC1B8F" w:rsidR="00764A5D" w:rsidRPr="00115010" w:rsidRDefault="00115010" w:rsidP="00764A5D">
      <w:pPr>
        <w:pStyle w:val="Headingb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Введение</w:t>
      </w:r>
    </w:p>
    <w:p w14:paraId="296DC9A9" w14:textId="179C6333" w:rsidR="00115010" w:rsidRDefault="00115010" w:rsidP="00764A5D">
      <w:r>
        <w:t>Ч</w:t>
      </w:r>
      <w:r w:rsidRPr="00115010">
        <w:t xml:space="preserve">лены </w:t>
      </w:r>
      <w:r w:rsidRPr="00115010">
        <w:rPr>
          <w:lang w:val="en-GB"/>
        </w:rPr>
        <w:t>A</w:t>
      </w:r>
      <w:r>
        <w:t>ТСЭ</w:t>
      </w:r>
      <w:r w:rsidRPr="00115010">
        <w:t xml:space="preserve"> поддержива</w:t>
      </w:r>
      <w:r>
        <w:t>ют включение в повестку дня ВКР-</w:t>
      </w:r>
      <w:r w:rsidRPr="00115010">
        <w:t xml:space="preserve">27 пункта о технических и </w:t>
      </w:r>
      <w:r>
        <w:t>регламентарных мерах для обеспечения</w:t>
      </w:r>
      <w:r w:rsidRPr="00115010">
        <w:t xml:space="preserve"> сосуществования </w:t>
      </w:r>
      <w:r>
        <w:t xml:space="preserve">между </w:t>
      </w:r>
      <w:r w:rsidR="00E1553F">
        <w:t>бортовыми</w:t>
      </w:r>
      <w:r w:rsidRPr="00115010">
        <w:t xml:space="preserve"> </w:t>
      </w:r>
      <w:r>
        <w:t>РСА</w:t>
      </w:r>
      <w:r w:rsidRPr="00115010">
        <w:t xml:space="preserve"> и </w:t>
      </w:r>
      <w:r>
        <w:t>СРО</w:t>
      </w:r>
      <w:r w:rsidRPr="00115010">
        <w:t xml:space="preserve"> в полосе частот 9,2</w:t>
      </w:r>
      <w:r w:rsidRPr="004C0901">
        <w:rPr>
          <w:rFonts w:eastAsiaTheme="minorEastAsia"/>
          <w:lang w:eastAsia="zh-CN"/>
        </w:rPr>
        <w:t>−</w:t>
      </w:r>
      <w:r w:rsidRPr="00115010">
        <w:t>10,4</w:t>
      </w:r>
      <w:r>
        <w:t> </w:t>
      </w:r>
      <w:r w:rsidRPr="00115010">
        <w:t>ГГц</w:t>
      </w:r>
      <w:r>
        <w:t>.</w:t>
      </w:r>
    </w:p>
    <w:p w14:paraId="1F129F17" w14:textId="5BA32B30" w:rsidR="00764A5D" w:rsidRPr="00953815" w:rsidRDefault="00115010" w:rsidP="00764A5D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7403239E" w14:textId="77777777" w:rsidR="0003535B" w:rsidRPr="00953815" w:rsidRDefault="0003535B" w:rsidP="00BD0D2F"/>
    <w:p w14:paraId="377A6221" w14:textId="77777777" w:rsidR="009B5CC2" w:rsidRPr="0095381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53815">
        <w:br w:type="page"/>
      </w:r>
    </w:p>
    <w:p w14:paraId="6D135E08" w14:textId="77777777" w:rsidR="00724A2E" w:rsidRPr="00953815" w:rsidRDefault="007F7FFB">
      <w:pPr>
        <w:pStyle w:val="Proposal"/>
      </w:pPr>
      <w:r w:rsidRPr="00764A5D">
        <w:rPr>
          <w:lang w:val="en-GB"/>
        </w:rPr>
        <w:lastRenderedPageBreak/>
        <w:t>ADD</w:t>
      </w:r>
      <w:r w:rsidRPr="00953815">
        <w:tab/>
      </w:r>
      <w:r w:rsidRPr="00764A5D">
        <w:rPr>
          <w:lang w:val="en-GB"/>
        </w:rPr>
        <w:t>ACP</w:t>
      </w:r>
      <w:r w:rsidRPr="00953815">
        <w:t>/62</w:t>
      </w:r>
      <w:r w:rsidRPr="00764A5D">
        <w:rPr>
          <w:lang w:val="en-GB"/>
        </w:rPr>
        <w:t>A</w:t>
      </w:r>
      <w:r w:rsidRPr="00953815">
        <w:t>27</w:t>
      </w:r>
      <w:r w:rsidRPr="00764A5D">
        <w:rPr>
          <w:lang w:val="en-GB"/>
        </w:rPr>
        <w:t>A</w:t>
      </w:r>
      <w:r w:rsidRPr="00953815">
        <w:t>13/1</w:t>
      </w:r>
    </w:p>
    <w:p w14:paraId="1B0B5524" w14:textId="27CB9292" w:rsidR="00724A2E" w:rsidRPr="00953815" w:rsidRDefault="007F7FFB">
      <w:pPr>
        <w:pStyle w:val="ResNo"/>
      </w:pPr>
      <w:r>
        <w:t>Проект</w:t>
      </w:r>
      <w:r w:rsidRPr="00953815">
        <w:t xml:space="preserve"> </w:t>
      </w:r>
      <w:r>
        <w:t>новой</w:t>
      </w:r>
      <w:r w:rsidRPr="00953815">
        <w:t xml:space="preserve"> </w:t>
      </w:r>
      <w:r>
        <w:t>Резолюции</w:t>
      </w:r>
      <w:r w:rsidRPr="00953815">
        <w:t xml:space="preserve"> [</w:t>
      </w:r>
      <w:r w:rsidRPr="00764A5D">
        <w:rPr>
          <w:lang w:val="en-GB"/>
        </w:rPr>
        <w:t>ACP</w:t>
      </w:r>
      <w:r w:rsidRPr="00953815">
        <w:t>-</w:t>
      </w:r>
      <w:r w:rsidR="00764A5D">
        <w:rPr>
          <w:lang w:val="en-GB"/>
        </w:rPr>
        <w:t>AI</w:t>
      </w:r>
      <w:r w:rsidR="00764A5D" w:rsidRPr="00953815">
        <w:t>10-1</w:t>
      </w:r>
      <w:r w:rsidRPr="00953815">
        <w:t>]</w:t>
      </w:r>
      <w:r w:rsidR="00764A5D" w:rsidRPr="00953815">
        <w:t xml:space="preserve"> (</w:t>
      </w:r>
      <w:r w:rsidR="00764A5D">
        <w:t>ВКР</w:t>
      </w:r>
      <w:r w:rsidR="00764A5D" w:rsidRPr="00953815">
        <w:t>-23)</w:t>
      </w:r>
    </w:p>
    <w:p w14:paraId="3F45279D" w14:textId="4ADF43EF" w:rsidR="00115010" w:rsidRDefault="00115010" w:rsidP="00764A5D">
      <w:pPr>
        <w:pStyle w:val="Restitle"/>
      </w:pPr>
      <w:bookmarkStart w:id="8" w:name="_Toc319401924"/>
      <w:bookmarkStart w:id="9" w:name="_Toc450048855"/>
      <w:r>
        <w:t>Повестка</w:t>
      </w:r>
      <w:r w:rsidRPr="00115010">
        <w:t xml:space="preserve"> </w:t>
      </w:r>
      <w:r>
        <w:t>дня</w:t>
      </w:r>
      <w:r w:rsidRPr="00115010">
        <w:t xml:space="preserve"> </w:t>
      </w:r>
      <w:r>
        <w:t>В</w:t>
      </w:r>
      <w:r w:rsidRPr="00B4505C">
        <w:t>семирной</w:t>
      </w:r>
      <w:r w:rsidRPr="00115010">
        <w:t xml:space="preserve"> </w:t>
      </w:r>
      <w:r w:rsidRPr="00B4505C">
        <w:t>конференции</w:t>
      </w:r>
      <w:r w:rsidRPr="00115010">
        <w:t xml:space="preserve"> </w:t>
      </w:r>
      <w:r w:rsidRPr="00B4505C">
        <w:t>радиосвязи</w:t>
      </w:r>
      <w:r w:rsidRPr="00115010">
        <w:t xml:space="preserve"> 2027</w:t>
      </w:r>
      <w:r>
        <w:t> года</w:t>
      </w:r>
    </w:p>
    <w:bookmarkEnd w:id="8"/>
    <w:bookmarkEnd w:id="9"/>
    <w:p w14:paraId="399E8AE3" w14:textId="4B7657E9" w:rsidR="00764A5D" w:rsidRPr="00115010" w:rsidRDefault="00115010" w:rsidP="00764A5D">
      <w:pPr>
        <w:pStyle w:val="Normalaftertitle"/>
      </w:pPr>
      <w:r>
        <w:t>Всемирная</w:t>
      </w:r>
      <w:r w:rsidRPr="00115010">
        <w:t xml:space="preserve"> </w:t>
      </w:r>
      <w:r>
        <w:t>конференция</w:t>
      </w:r>
      <w:r w:rsidRPr="00115010">
        <w:t xml:space="preserve"> </w:t>
      </w:r>
      <w:r>
        <w:t>радиосвязи</w:t>
      </w:r>
      <w:r w:rsidRPr="00115010">
        <w:t xml:space="preserve"> (</w:t>
      </w:r>
      <w:r w:rsidRPr="004C0901">
        <w:t>Дубай, 2023</w:t>
      </w:r>
      <w:r>
        <w:t> </w:t>
      </w:r>
      <w:r w:rsidRPr="004C0901">
        <w:t>г.),</w:t>
      </w:r>
    </w:p>
    <w:p w14:paraId="124302A1" w14:textId="77777777" w:rsidR="00764A5D" w:rsidRPr="00115010" w:rsidRDefault="00764A5D" w:rsidP="00764A5D">
      <w:r w:rsidRPr="00115010">
        <w:t>…</w:t>
      </w:r>
    </w:p>
    <w:p w14:paraId="2FC89E00" w14:textId="30A118AF" w:rsidR="00764A5D" w:rsidRPr="00115010" w:rsidRDefault="00115010" w:rsidP="00764A5D">
      <w:pPr>
        <w:pStyle w:val="Call"/>
        <w:spacing w:after="160"/>
        <w:ind w:left="1138"/>
      </w:pPr>
      <w:r>
        <w:t>решает</w:t>
      </w:r>
    </w:p>
    <w:p w14:paraId="0E2A5F9B" w14:textId="22A19B67" w:rsidR="00115010" w:rsidRDefault="00115010" w:rsidP="00764A5D">
      <w:pPr>
        <w:spacing w:after="120"/>
      </w:pPr>
      <w:r w:rsidRPr="00115010">
        <w:t>рекомендо</w:t>
      </w:r>
      <w:r>
        <w:t>вать Совету провести ВКР в 2027 </w:t>
      </w:r>
      <w:r w:rsidRPr="00115010">
        <w:t>году продолжительностью не более четырех недель со следующей повесткой дня</w:t>
      </w:r>
      <w:r>
        <w:t>:</w:t>
      </w:r>
    </w:p>
    <w:p w14:paraId="5840E368" w14:textId="130E322D" w:rsidR="00764A5D" w:rsidRPr="00764A5D" w:rsidRDefault="00764A5D" w:rsidP="00764A5D">
      <w:r w:rsidRPr="00764A5D">
        <w:t>1</w:t>
      </w:r>
      <w:r w:rsidRPr="00764A5D">
        <w:tab/>
      </w:r>
      <w:r w:rsidRPr="004440B8">
        <w:t>на основе предложений администраций, прини</w:t>
      </w:r>
      <w:r w:rsidR="00E1553F">
        <w:t>мая во внимание результаты ВКР-23</w:t>
      </w:r>
      <w:r w:rsidRPr="004440B8">
        <w:t xml:space="preserve">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4C6104D1" w14:textId="77777777" w:rsidR="00764A5D" w:rsidRPr="00115010" w:rsidRDefault="00764A5D" w:rsidP="00764A5D">
      <w:r w:rsidRPr="00115010">
        <w:t>…</w:t>
      </w:r>
    </w:p>
    <w:p w14:paraId="41029F51" w14:textId="789D752B" w:rsidR="00764A5D" w:rsidRPr="00764A5D" w:rsidRDefault="00764A5D" w:rsidP="00764A5D">
      <w:pPr>
        <w:rPr>
          <w:rFonts w:eastAsia="SimSun"/>
          <w:bCs/>
          <w:iCs/>
          <w:highlight w:val="yellow"/>
          <w:lang w:eastAsia="zh-CN"/>
        </w:rPr>
      </w:pPr>
      <w:r w:rsidRPr="00764A5D">
        <w:rPr>
          <w:lang w:eastAsia="ko-KR"/>
        </w:rPr>
        <w:t>1.3</w:t>
      </w:r>
      <w:r w:rsidRPr="00764A5D">
        <w:rPr>
          <w:lang w:eastAsia="ko-KR"/>
        </w:rPr>
        <w:tab/>
      </w:r>
      <w:r w:rsidR="000A764B">
        <w:rPr>
          <w:lang w:eastAsia="ko-KR"/>
        </w:rPr>
        <w:t xml:space="preserve">в соответствии с Резолюцией </w:t>
      </w:r>
      <w:r w:rsidR="000A764B" w:rsidRPr="00764A5D">
        <w:rPr>
          <w:b/>
          <w:bCs/>
          <w:lang w:eastAsia="ko-KR"/>
        </w:rPr>
        <w:t>[</w:t>
      </w:r>
      <w:r w:rsidR="000A764B" w:rsidRPr="00764A5D">
        <w:rPr>
          <w:b/>
          <w:bCs/>
          <w:lang w:val="en-GB" w:eastAsia="ko-KR"/>
        </w:rPr>
        <w:t>ACP</w:t>
      </w:r>
      <w:r w:rsidR="000A764B" w:rsidRPr="00764A5D">
        <w:rPr>
          <w:b/>
          <w:bCs/>
          <w:lang w:eastAsia="ko-KR"/>
        </w:rPr>
        <w:t>-</w:t>
      </w:r>
      <w:r w:rsidR="000A764B" w:rsidRPr="00764A5D">
        <w:rPr>
          <w:b/>
          <w:bCs/>
          <w:lang w:val="en-GB" w:eastAsia="ko-KR"/>
        </w:rPr>
        <w:t>AI</w:t>
      </w:r>
      <w:r w:rsidR="000A764B" w:rsidRPr="00764A5D">
        <w:rPr>
          <w:b/>
          <w:bCs/>
          <w:lang w:eastAsia="ko-KR"/>
        </w:rPr>
        <w:t>10-7] (</w:t>
      </w:r>
      <w:r w:rsidR="000A764B">
        <w:rPr>
          <w:b/>
          <w:bCs/>
          <w:lang w:eastAsia="ko-KR"/>
        </w:rPr>
        <w:t>ВКР</w:t>
      </w:r>
      <w:r w:rsidR="000A764B" w:rsidRPr="00764A5D">
        <w:rPr>
          <w:b/>
          <w:bCs/>
          <w:lang w:eastAsia="ko-KR"/>
        </w:rPr>
        <w:t>-23)</w:t>
      </w:r>
      <w:r w:rsidR="000A764B" w:rsidRPr="00953815">
        <w:rPr>
          <w:b/>
          <w:bCs/>
          <w:lang w:eastAsia="ko-KR"/>
        </w:rPr>
        <w:t xml:space="preserve"> </w:t>
      </w:r>
      <w:r w:rsidRPr="004C0901">
        <w:rPr>
          <w:rFonts w:eastAsiaTheme="minorEastAsia"/>
          <w:lang w:eastAsia="zh-CN"/>
        </w:rPr>
        <w:t>изуч</w:t>
      </w:r>
      <w:r w:rsidR="00983EA8">
        <w:rPr>
          <w:rFonts w:eastAsiaTheme="minorEastAsia"/>
          <w:lang w:eastAsia="zh-CN"/>
        </w:rPr>
        <w:t>ить и разработать технические</w:t>
      </w:r>
      <w:r w:rsidRPr="004C0901">
        <w:rPr>
          <w:rFonts w:eastAsiaTheme="minorEastAsia"/>
          <w:lang w:eastAsia="zh-CN"/>
        </w:rPr>
        <w:t xml:space="preserve"> и регламентарны</w:t>
      </w:r>
      <w:r w:rsidR="00983EA8">
        <w:rPr>
          <w:rFonts w:eastAsiaTheme="minorEastAsia"/>
          <w:lang w:eastAsia="zh-CN"/>
        </w:rPr>
        <w:t>е</w:t>
      </w:r>
      <w:r w:rsidRPr="004C0901">
        <w:rPr>
          <w:rFonts w:eastAsiaTheme="minorEastAsia"/>
          <w:lang w:eastAsia="zh-CN"/>
        </w:rPr>
        <w:t xml:space="preserve"> мер</w:t>
      </w:r>
      <w:r w:rsidR="00983EA8">
        <w:rPr>
          <w:rFonts w:eastAsiaTheme="minorEastAsia"/>
          <w:lang w:eastAsia="zh-CN"/>
        </w:rPr>
        <w:t>ы</w:t>
      </w:r>
      <w:r w:rsidRPr="004C0901">
        <w:rPr>
          <w:rFonts w:eastAsiaTheme="minorEastAsia"/>
          <w:lang w:eastAsia="zh-CN"/>
        </w:rPr>
        <w:t xml:space="preserve"> для обеспечения сосуществования </w:t>
      </w:r>
      <w:r w:rsidR="00E1553F">
        <w:rPr>
          <w:rFonts w:eastAsiaTheme="minorEastAsia"/>
          <w:lang w:eastAsia="zh-CN"/>
        </w:rPr>
        <w:t>бортовых</w:t>
      </w:r>
      <w:r w:rsidRPr="004C0901">
        <w:rPr>
          <w:rFonts w:eastAsiaTheme="minorEastAsia"/>
          <w:lang w:eastAsia="zh-CN"/>
        </w:rPr>
        <w:t xml:space="preserve"> радаров с синтезированной апертурой (РСА)</w:t>
      </w:r>
      <w:r w:rsidR="00E1553F">
        <w:rPr>
          <w:rFonts w:eastAsiaTheme="minorEastAsia"/>
          <w:lang w:eastAsia="zh-CN"/>
        </w:rPr>
        <w:t>, работающих в спутниковой службе</w:t>
      </w:r>
      <w:r w:rsidRPr="004C0901">
        <w:rPr>
          <w:rFonts w:eastAsiaTheme="minorEastAsia"/>
          <w:lang w:eastAsia="zh-CN"/>
        </w:rPr>
        <w:t xml:space="preserve"> исследования Земли (активной)</w:t>
      </w:r>
      <w:r w:rsidR="00E1553F">
        <w:rPr>
          <w:rFonts w:eastAsiaTheme="minorEastAsia"/>
          <w:lang w:eastAsia="zh-CN"/>
        </w:rPr>
        <w:t>,</w:t>
      </w:r>
      <w:r w:rsidRPr="004C0901">
        <w:rPr>
          <w:rFonts w:eastAsiaTheme="minorEastAsia"/>
          <w:lang w:eastAsia="zh-CN"/>
        </w:rPr>
        <w:t xml:space="preserve"> и с</w:t>
      </w:r>
      <w:r w:rsidR="00E1553F">
        <w:rPr>
          <w:rFonts w:eastAsiaTheme="minorEastAsia"/>
          <w:lang w:eastAsia="zh-CN"/>
        </w:rPr>
        <w:t>лужбы радиоопределения в полосе</w:t>
      </w:r>
      <w:r w:rsidRPr="004C0901">
        <w:rPr>
          <w:rFonts w:eastAsiaTheme="minorEastAsia"/>
          <w:lang w:eastAsia="zh-CN"/>
        </w:rPr>
        <w:t xml:space="preserve"> частот 9200−</w:t>
      </w:r>
      <w:r w:rsidRPr="004C0901">
        <w:rPr>
          <w:lang w:eastAsia="zh-CN"/>
        </w:rPr>
        <w:t>10</w:t>
      </w:r>
      <w:r w:rsidRPr="004C0901">
        <w:rPr>
          <w:rFonts w:eastAsiaTheme="minorEastAsia"/>
        </w:rPr>
        <w:t> </w:t>
      </w:r>
      <w:r w:rsidRPr="004C0901">
        <w:rPr>
          <w:lang w:eastAsia="zh-CN"/>
        </w:rPr>
        <w:t>400</w:t>
      </w:r>
      <w:r w:rsidRPr="004C0901">
        <w:rPr>
          <w:rFonts w:eastAsiaTheme="minorEastAsia"/>
          <w:lang w:eastAsia="zh-CN"/>
        </w:rPr>
        <w:t xml:space="preserve"> МГц</w:t>
      </w:r>
      <w:r w:rsidRPr="00764A5D">
        <w:rPr>
          <w:lang w:eastAsia="ko-KR"/>
        </w:rPr>
        <w:t>;</w:t>
      </w:r>
    </w:p>
    <w:p w14:paraId="1CA6B4A7" w14:textId="77777777" w:rsidR="00764A5D" w:rsidRPr="004C3EDB" w:rsidRDefault="00764A5D" w:rsidP="00764A5D">
      <w:r w:rsidRPr="004C3EDB">
        <w:t>…</w:t>
      </w:r>
    </w:p>
    <w:p w14:paraId="2AD8122F" w14:textId="77777777" w:rsidR="00724A2E" w:rsidRPr="00115010" w:rsidRDefault="00724A2E">
      <w:pPr>
        <w:pStyle w:val="Reasons"/>
      </w:pPr>
    </w:p>
    <w:p w14:paraId="3E3E5C68" w14:textId="77777777" w:rsidR="00724A2E" w:rsidRPr="00115010" w:rsidRDefault="007F7FFB">
      <w:pPr>
        <w:pStyle w:val="Proposal"/>
      </w:pPr>
      <w:r w:rsidRPr="00764A5D">
        <w:rPr>
          <w:lang w:val="en-GB"/>
        </w:rPr>
        <w:t>ADD</w:t>
      </w:r>
      <w:r w:rsidRPr="00115010">
        <w:tab/>
      </w:r>
      <w:r w:rsidRPr="00764A5D">
        <w:rPr>
          <w:lang w:val="en-GB"/>
        </w:rPr>
        <w:t>ACP</w:t>
      </w:r>
      <w:r w:rsidRPr="00115010">
        <w:t>/62</w:t>
      </w:r>
      <w:r w:rsidRPr="00764A5D">
        <w:rPr>
          <w:lang w:val="en-GB"/>
        </w:rPr>
        <w:t>A</w:t>
      </w:r>
      <w:r w:rsidRPr="00115010">
        <w:t>27</w:t>
      </w:r>
      <w:r w:rsidRPr="00764A5D">
        <w:rPr>
          <w:lang w:val="en-GB"/>
        </w:rPr>
        <w:t>A</w:t>
      </w:r>
      <w:r w:rsidRPr="00115010">
        <w:t>13/2</w:t>
      </w:r>
    </w:p>
    <w:p w14:paraId="796BD89F" w14:textId="6240B980" w:rsidR="00724A2E" w:rsidRPr="00764A5D" w:rsidRDefault="007F7FFB">
      <w:pPr>
        <w:pStyle w:val="ResNo"/>
      </w:pPr>
      <w:r>
        <w:t>Проект</w:t>
      </w:r>
      <w:r w:rsidRPr="00764A5D">
        <w:t xml:space="preserve"> </w:t>
      </w:r>
      <w:r>
        <w:t>новой</w:t>
      </w:r>
      <w:r w:rsidRPr="00764A5D">
        <w:t xml:space="preserve"> </w:t>
      </w:r>
      <w:r>
        <w:t>Резолюции</w:t>
      </w:r>
      <w:r w:rsidRPr="00764A5D">
        <w:t xml:space="preserve"> [</w:t>
      </w:r>
      <w:r w:rsidRPr="00764A5D">
        <w:rPr>
          <w:lang w:val="en-GB"/>
        </w:rPr>
        <w:t>ACP</w:t>
      </w:r>
      <w:r w:rsidRPr="00764A5D">
        <w:t>-</w:t>
      </w:r>
      <w:r w:rsidR="00764A5D">
        <w:rPr>
          <w:lang w:val="en-GB"/>
        </w:rPr>
        <w:t>AI</w:t>
      </w:r>
      <w:r w:rsidR="00764A5D" w:rsidRPr="00764A5D">
        <w:t>10-7</w:t>
      </w:r>
      <w:r w:rsidRPr="00764A5D">
        <w:t>]</w:t>
      </w:r>
      <w:r w:rsidR="00764A5D" w:rsidRPr="00764A5D">
        <w:t xml:space="preserve"> (</w:t>
      </w:r>
      <w:r w:rsidR="00764A5D">
        <w:t>ВКР</w:t>
      </w:r>
      <w:r w:rsidR="00764A5D" w:rsidRPr="00764A5D">
        <w:t>-23)</w:t>
      </w:r>
    </w:p>
    <w:p w14:paraId="0F8B558E" w14:textId="38405F03" w:rsidR="00764A5D" w:rsidRPr="004C0901" w:rsidRDefault="00764A5D" w:rsidP="00764A5D">
      <w:pPr>
        <w:pStyle w:val="Restitle"/>
        <w:rPr>
          <w:highlight w:val="lightGray"/>
        </w:rPr>
      </w:pPr>
      <w:r w:rsidRPr="004C0901">
        <w:t>Исследования технических и регламентарных мер для обеспечения сосуществования бортовых радаров с синтезированной апертурой</w:t>
      </w:r>
      <w:r w:rsidR="00983EA8">
        <w:t>, работающих в спутниковой службе</w:t>
      </w:r>
      <w:r w:rsidRPr="004C0901">
        <w:t xml:space="preserve"> исследования Земли (активной)</w:t>
      </w:r>
      <w:r w:rsidR="00E926D9">
        <w:t>,</w:t>
      </w:r>
      <w:r w:rsidRPr="004C0901">
        <w:t xml:space="preserve"> и службы радиоопределения в полосе частот 9200−10 400 МГц</w:t>
      </w:r>
    </w:p>
    <w:p w14:paraId="6F5DDD55" w14:textId="77777777" w:rsidR="00764A5D" w:rsidRPr="004C0901" w:rsidRDefault="00764A5D" w:rsidP="00764A5D">
      <w:pPr>
        <w:pStyle w:val="Normalaftertitle"/>
      </w:pPr>
      <w:r w:rsidRPr="004C0901">
        <w:t>Всемирная конференция радиосвязи (Дубай, 2023 г.),</w:t>
      </w:r>
    </w:p>
    <w:p w14:paraId="7F010148" w14:textId="78862EA6" w:rsidR="00764A5D" w:rsidRPr="004C0901" w:rsidRDefault="00764A5D" w:rsidP="00764A5D">
      <w:pPr>
        <w:pStyle w:val="Call"/>
      </w:pPr>
      <w:r w:rsidRPr="004C0901">
        <w:t>учит</w:t>
      </w:r>
      <w:r w:rsidR="000A764B">
        <w:t>ы</w:t>
      </w:r>
      <w:r w:rsidRPr="004C0901">
        <w:t>вая</w:t>
      </w:r>
      <w:r w:rsidRPr="00D91C1C">
        <w:rPr>
          <w:i w:val="0"/>
          <w:iCs/>
        </w:rPr>
        <w:t>,</w:t>
      </w:r>
    </w:p>
    <w:p w14:paraId="649B2DA7" w14:textId="77777777" w:rsidR="00764A5D" w:rsidRPr="004C0901" w:rsidRDefault="00764A5D" w:rsidP="00764A5D">
      <w:pPr>
        <w:rPr>
          <w:rFonts w:eastAsia="DengXian"/>
        </w:rPr>
      </w:pPr>
      <w:r w:rsidRPr="004C0901">
        <w:rPr>
          <w:rFonts w:eastAsia="DengXian"/>
          <w:i/>
        </w:rPr>
        <w:t>a)</w:t>
      </w:r>
      <w:r w:rsidRPr="004C0901">
        <w:rPr>
          <w:rFonts w:eastAsia="DengXian"/>
        </w:rPr>
        <w:tab/>
        <w:t>что спутниковая служба исследования Земли (активная) используется для различных активных применений бортовых космических датчиков, среди которых наиболее широко используется радар с синтезированной апертурой (РСА);</w:t>
      </w:r>
    </w:p>
    <w:p w14:paraId="30333B4E" w14:textId="6D3B59ED" w:rsidR="00764A5D" w:rsidRPr="004C0901" w:rsidRDefault="00764A5D" w:rsidP="00764A5D">
      <w:pPr>
        <w:rPr>
          <w:rFonts w:eastAsia="DengXian"/>
          <w:lang w:eastAsia="zh-CN"/>
        </w:rPr>
      </w:pPr>
      <w:r w:rsidRPr="004C0901">
        <w:rPr>
          <w:rFonts w:eastAsia="DengXian"/>
          <w:i/>
          <w:lang w:eastAsia="zh-CN"/>
        </w:rPr>
        <w:t>b)</w:t>
      </w:r>
      <w:r w:rsidRPr="004C0901">
        <w:rPr>
          <w:rFonts w:eastAsia="DengXian"/>
          <w:lang w:eastAsia="zh-CN"/>
        </w:rPr>
        <w:tab/>
        <w:t>что в соответствии с решениями ВКР-07 и ВКР-15 распределени</w:t>
      </w:r>
      <w:r w:rsidR="000A764B">
        <w:rPr>
          <w:rFonts w:eastAsia="DengXian"/>
          <w:lang w:eastAsia="zh-CN"/>
        </w:rPr>
        <w:t>е</w:t>
      </w:r>
      <w:r w:rsidRPr="004C0901">
        <w:rPr>
          <w:rFonts w:eastAsia="DengXian"/>
          <w:lang w:eastAsia="zh-CN"/>
        </w:rPr>
        <w:t xml:space="preserve"> спутниковой служб</w:t>
      </w:r>
      <w:r w:rsidR="000A764B">
        <w:rPr>
          <w:rFonts w:eastAsia="DengXian"/>
          <w:lang w:eastAsia="zh-CN"/>
        </w:rPr>
        <w:t>е</w:t>
      </w:r>
      <w:r w:rsidRPr="004C0901">
        <w:rPr>
          <w:rFonts w:eastAsia="DengXian"/>
          <w:lang w:eastAsia="zh-CN"/>
        </w:rPr>
        <w:t xml:space="preserve"> исследования Земли (активной) в </w:t>
      </w:r>
      <w:r w:rsidR="000A764B">
        <w:rPr>
          <w:rFonts w:eastAsia="DengXian"/>
          <w:lang w:eastAsia="zh-CN"/>
        </w:rPr>
        <w:t xml:space="preserve">диапазоне </w:t>
      </w:r>
      <w:r w:rsidRPr="004C0901">
        <w:rPr>
          <w:rFonts w:eastAsia="DengXian"/>
          <w:lang w:eastAsia="zh-CN"/>
        </w:rPr>
        <w:t>X был</w:t>
      </w:r>
      <w:r w:rsidR="000A764B">
        <w:rPr>
          <w:rFonts w:eastAsia="DengXian"/>
          <w:lang w:eastAsia="zh-CN"/>
        </w:rPr>
        <w:t>о</w:t>
      </w:r>
      <w:r w:rsidRPr="004C0901">
        <w:rPr>
          <w:rFonts w:eastAsia="DengXian"/>
          <w:lang w:eastAsia="zh-CN"/>
        </w:rPr>
        <w:t xml:space="preserve"> расширен</w:t>
      </w:r>
      <w:r w:rsidR="000A764B">
        <w:rPr>
          <w:rFonts w:eastAsia="DengXian"/>
          <w:lang w:eastAsia="zh-CN"/>
        </w:rPr>
        <w:t>о</w:t>
      </w:r>
      <w:r w:rsidRPr="004C0901">
        <w:rPr>
          <w:rFonts w:eastAsia="DengXian"/>
          <w:lang w:eastAsia="zh-CN"/>
        </w:rPr>
        <w:t xml:space="preserve"> с 9500−9800 МГц до 9200−10 400 МГц и он</w:t>
      </w:r>
      <w:r w:rsidR="000A764B">
        <w:rPr>
          <w:rFonts w:eastAsia="DengXian"/>
          <w:lang w:eastAsia="zh-CN"/>
        </w:rPr>
        <w:t>о</w:t>
      </w:r>
      <w:r w:rsidRPr="004C0901">
        <w:rPr>
          <w:rFonts w:eastAsia="DengXian"/>
          <w:lang w:eastAsia="zh-CN"/>
        </w:rPr>
        <w:t xml:space="preserve"> используется совместно со службой радиоопределения, в том числе с радиолокационной и радионавигационной службами;</w:t>
      </w:r>
    </w:p>
    <w:p w14:paraId="3876FECC" w14:textId="4D5CC7F1" w:rsidR="00764A5D" w:rsidRPr="004C0901" w:rsidRDefault="00764A5D" w:rsidP="00764A5D">
      <w:pPr>
        <w:rPr>
          <w:rFonts w:eastAsia="DengXian"/>
          <w:lang w:eastAsia="zh-CN"/>
        </w:rPr>
      </w:pPr>
      <w:r w:rsidRPr="004C0901">
        <w:rPr>
          <w:rFonts w:eastAsia="DengXian"/>
          <w:i/>
          <w:lang w:eastAsia="zh-CN"/>
        </w:rPr>
        <w:t>c)</w:t>
      </w:r>
      <w:r w:rsidRPr="004C0901">
        <w:rPr>
          <w:rFonts w:eastAsia="DengXian"/>
          <w:lang w:eastAsia="zh-CN"/>
        </w:rPr>
        <w:tab/>
        <w:t>что, проводя исследования на основе допущений и системных параметров до ВКР-15, МСЭ-R приш</w:t>
      </w:r>
      <w:r w:rsidR="000A764B">
        <w:rPr>
          <w:rFonts w:eastAsia="DengXian"/>
          <w:lang w:eastAsia="zh-CN"/>
        </w:rPr>
        <w:t>е</w:t>
      </w:r>
      <w:r w:rsidRPr="004C0901">
        <w:rPr>
          <w:rFonts w:eastAsia="DengXian"/>
          <w:lang w:eastAsia="zh-CN"/>
        </w:rPr>
        <w:t>л к выводу, что процент времени возникновения помех службе радиоопределения будет низким, и на основе этих выводов две ВКР последовательно расширяли распределени</w:t>
      </w:r>
      <w:r w:rsidR="000A764B">
        <w:rPr>
          <w:rFonts w:eastAsia="DengXian"/>
          <w:lang w:eastAsia="zh-CN"/>
        </w:rPr>
        <w:t>е</w:t>
      </w:r>
      <w:r w:rsidRPr="004C0901">
        <w:rPr>
          <w:rFonts w:eastAsia="DengXian"/>
          <w:lang w:eastAsia="zh-CN"/>
        </w:rPr>
        <w:t xml:space="preserve"> спутниковой службе исследования Земли (активной);</w:t>
      </w:r>
    </w:p>
    <w:p w14:paraId="48199B52" w14:textId="73C202CB" w:rsidR="00764A5D" w:rsidRDefault="00764A5D" w:rsidP="00764A5D">
      <w:pPr>
        <w:rPr>
          <w:rFonts w:eastAsia="DengXian"/>
          <w:lang w:eastAsia="zh-CN"/>
        </w:rPr>
      </w:pPr>
      <w:r w:rsidRPr="004C0901">
        <w:rPr>
          <w:rFonts w:eastAsia="DengXian"/>
          <w:i/>
          <w:lang w:eastAsia="zh-CN"/>
        </w:rPr>
        <w:lastRenderedPageBreak/>
        <w:t>d)</w:t>
      </w:r>
      <w:r w:rsidRPr="004C0901">
        <w:rPr>
          <w:rFonts w:eastAsia="DengXian"/>
          <w:lang w:eastAsia="zh-CN"/>
        </w:rPr>
        <w:tab/>
        <w:t xml:space="preserve">что в последние годы по мере развития технологий и снижения затрат количество спутников с РСА в </w:t>
      </w:r>
      <w:r w:rsidR="000A764B">
        <w:rPr>
          <w:rFonts w:eastAsia="DengXian"/>
          <w:lang w:eastAsia="zh-CN"/>
        </w:rPr>
        <w:t>полосе</w:t>
      </w:r>
      <w:r w:rsidRPr="004C0901">
        <w:rPr>
          <w:rFonts w:eastAsia="DengXian"/>
          <w:lang w:eastAsia="zh-CN"/>
        </w:rPr>
        <w:t xml:space="preserve"> </w:t>
      </w:r>
      <w:r w:rsidR="00E926D9">
        <w:rPr>
          <w:rFonts w:eastAsia="DengXian"/>
          <w:lang w:eastAsia="zh-CN"/>
        </w:rPr>
        <w:t xml:space="preserve">частот </w:t>
      </w:r>
      <w:r w:rsidRPr="004C0901">
        <w:rPr>
          <w:rFonts w:eastAsia="DengXian"/>
          <w:lang w:eastAsia="zh-CN"/>
        </w:rPr>
        <w:t>9200−10 400 МГц во всем мире значительно увеличилось и вышло далеко за пределы допущений, делавшихся в исследованиях МСЭ-R в прошлом;</w:t>
      </w:r>
    </w:p>
    <w:p w14:paraId="19687002" w14:textId="77777777" w:rsidR="00764A5D" w:rsidRPr="004C0901" w:rsidRDefault="00764A5D" w:rsidP="00764A5D">
      <w:pPr>
        <w:rPr>
          <w:rFonts w:eastAsia="DengXian"/>
          <w:lang w:eastAsia="zh-CN"/>
        </w:rPr>
      </w:pPr>
      <w:r w:rsidRPr="004C0901">
        <w:rPr>
          <w:rFonts w:eastAsia="DengXian"/>
          <w:i/>
          <w:iCs/>
          <w:lang w:eastAsia="zh-CN"/>
        </w:rPr>
        <w:t>e)</w:t>
      </w:r>
      <w:r w:rsidRPr="004C0901">
        <w:rPr>
          <w:rFonts w:eastAsia="DengXian"/>
          <w:lang w:eastAsia="zh-CN"/>
        </w:rPr>
        <w:tab/>
        <w:t>что за последние годы также изменились системные параметры спутников с РСА по сравнению с прошлыми исследованиями МСЭ-R;</w:t>
      </w:r>
    </w:p>
    <w:p w14:paraId="30D2845A" w14:textId="136364BF" w:rsidR="00854947" w:rsidRDefault="00764A5D" w:rsidP="00854947">
      <w:pPr>
        <w:rPr>
          <w:rFonts w:eastAsia="DengXian"/>
          <w:lang w:eastAsia="zh-CN"/>
        </w:rPr>
      </w:pPr>
      <w:r w:rsidRPr="004C0901">
        <w:rPr>
          <w:rFonts w:eastAsia="DengXian"/>
          <w:i/>
          <w:iCs/>
          <w:lang w:eastAsia="zh-CN"/>
        </w:rPr>
        <w:t>f)</w:t>
      </w:r>
      <w:r w:rsidR="00854947">
        <w:rPr>
          <w:rFonts w:eastAsia="DengXian"/>
          <w:lang w:eastAsia="zh-CN"/>
        </w:rPr>
        <w:tab/>
      </w:r>
      <w:r w:rsidR="00854947" w:rsidRPr="00E926D9">
        <w:rPr>
          <w:rFonts w:eastAsia="DengXian"/>
          <w:lang w:eastAsia="zh-CN"/>
        </w:rPr>
        <w:t xml:space="preserve">что растущее использование </w:t>
      </w:r>
      <w:r w:rsidR="00854947">
        <w:rPr>
          <w:rFonts w:eastAsia="DengXian"/>
          <w:lang w:eastAsia="zh-CN"/>
        </w:rPr>
        <w:t>передатчиков</w:t>
      </w:r>
      <w:r w:rsidR="00854947" w:rsidRPr="00E926D9">
        <w:rPr>
          <w:rFonts w:eastAsia="DengXian"/>
          <w:lang w:eastAsia="zh-CN"/>
        </w:rPr>
        <w:t xml:space="preserve"> </w:t>
      </w:r>
      <w:r w:rsidR="00854947">
        <w:rPr>
          <w:rFonts w:eastAsia="DengXian"/>
          <w:lang w:eastAsia="zh-CN"/>
        </w:rPr>
        <w:t>бортовых РСА</w:t>
      </w:r>
      <w:r w:rsidR="00854947" w:rsidRPr="00E926D9">
        <w:rPr>
          <w:rFonts w:eastAsia="DengXian"/>
          <w:lang w:eastAsia="zh-CN"/>
        </w:rPr>
        <w:t xml:space="preserve">, </w:t>
      </w:r>
      <w:r w:rsidR="0058627D">
        <w:rPr>
          <w:rFonts w:eastAsia="DengXian"/>
          <w:lang w:eastAsia="zh-CN"/>
        </w:rPr>
        <w:t>как это указано</w:t>
      </w:r>
      <w:r w:rsidR="00854947" w:rsidRPr="00E926D9">
        <w:rPr>
          <w:rFonts w:eastAsia="DengXian"/>
          <w:lang w:eastAsia="zh-CN"/>
        </w:rPr>
        <w:t xml:space="preserve"> в ситуациях, </w:t>
      </w:r>
      <w:r w:rsidR="00854947">
        <w:rPr>
          <w:rFonts w:eastAsia="DengXian"/>
          <w:lang w:eastAsia="zh-CN"/>
        </w:rPr>
        <w:t>описанных в пунктах </w:t>
      </w:r>
      <w:r w:rsidR="00854947" w:rsidRPr="00E926D9">
        <w:rPr>
          <w:rFonts w:eastAsia="DengXian"/>
          <w:i/>
          <w:lang w:eastAsia="zh-CN"/>
        </w:rPr>
        <w:t>d)</w:t>
      </w:r>
      <w:r w:rsidR="00854947" w:rsidRPr="00E926D9">
        <w:rPr>
          <w:rFonts w:eastAsia="DengXian"/>
          <w:lang w:eastAsia="zh-CN"/>
        </w:rPr>
        <w:t xml:space="preserve"> и </w:t>
      </w:r>
      <w:r w:rsidR="00854947" w:rsidRPr="00E926D9">
        <w:rPr>
          <w:rFonts w:eastAsia="DengXian"/>
          <w:i/>
          <w:lang w:eastAsia="zh-CN"/>
        </w:rPr>
        <w:t>e)</w:t>
      </w:r>
      <w:r w:rsidR="00854947">
        <w:rPr>
          <w:rFonts w:eastAsia="DengXian"/>
          <w:lang w:eastAsia="zh-CN"/>
        </w:rPr>
        <w:t xml:space="preserve"> раздела </w:t>
      </w:r>
      <w:r w:rsidR="00854947" w:rsidRPr="00E926D9">
        <w:rPr>
          <w:rFonts w:eastAsia="DengXian"/>
          <w:i/>
          <w:lang w:eastAsia="zh-CN"/>
        </w:rPr>
        <w:t>учитывая</w:t>
      </w:r>
      <w:r w:rsidR="00854947" w:rsidRPr="00E926D9">
        <w:rPr>
          <w:rFonts w:eastAsia="DengXian"/>
          <w:lang w:eastAsia="zh-CN"/>
        </w:rPr>
        <w:t xml:space="preserve">, приведет к увеличению вероятности возникновения помех между радарами радиоопределения и спутниками </w:t>
      </w:r>
      <w:r w:rsidR="0058627D">
        <w:rPr>
          <w:rFonts w:eastAsia="DengXian"/>
          <w:lang w:eastAsia="zh-CN"/>
        </w:rPr>
        <w:t xml:space="preserve">с </w:t>
      </w:r>
      <w:r w:rsidR="00854947">
        <w:rPr>
          <w:rFonts w:eastAsia="DengXian"/>
          <w:lang w:eastAsia="zh-CN"/>
        </w:rPr>
        <w:t>РСА</w:t>
      </w:r>
      <w:r w:rsidR="0058627D">
        <w:rPr>
          <w:rFonts w:eastAsia="DengXian"/>
          <w:lang w:eastAsia="zh-CN"/>
        </w:rPr>
        <w:t>, в связи с чем</w:t>
      </w:r>
      <w:r w:rsidR="00854947" w:rsidRPr="00E926D9">
        <w:rPr>
          <w:rFonts w:eastAsia="DengXian"/>
          <w:lang w:eastAsia="zh-CN"/>
        </w:rPr>
        <w:t xml:space="preserve"> необходимо пересмотреть технические меры и </w:t>
      </w:r>
      <w:r w:rsidR="00854947">
        <w:rPr>
          <w:rFonts w:eastAsia="DengXian"/>
          <w:lang w:eastAsia="zh-CN"/>
        </w:rPr>
        <w:t>регламентарные</w:t>
      </w:r>
      <w:r w:rsidR="00854947" w:rsidRPr="00E926D9">
        <w:rPr>
          <w:rFonts w:eastAsia="DengXian"/>
          <w:lang w:eastAsia="zh-CN"/>
        </w:rPr>
        <w:t xml:space="preserve"> положения для обеспечения сосуществования этих двух систем</w:t>
      </w:r>
      <w:r w:rsidR="00854947">
        <w:rPr>
          <w:rFonts w:eastAsia="DengXian"/>
          <w:lang w:eastAsia="zh-CN"/>
        </w:rPr>
        <w:t>,</w:t>
      </w:r>
    </w:p>
    <w:p w14:paraId="11026BD7" w14:textId="77777777" w:rsidR="007F7FFB" w:rsidRPr="004C0901" w:rsidRDefault="007F7FFB" w:rsidP="007F7FFB">
      <w:pPr>
        <w:pStyle w:val="Call"/>
        <w:rPr>
          <w:rFonts w:eastAsia="DengXian"/>
          <w:iCs/>
          <w:highlight w:val="lightGray"/>
          <w:lang w:eastAsia="zh-CN"/>
        </w:rPr>
      </w:pPr>
      <w:r w:rsidRPr="004C0901">
        <w:rPr>
          <w:rFonts w:eastAsia="DengXian"/>
          <w:lang w:eastAsia="zh-CN"/>
        </w:rPr>
        <w:t>отмечая</w:t>
      </w:r>
      <w:r w:rsidRPr="00D91C1C">
        <w:rPr>
          <w:rFonts w:eastAsia="DengXian"/>
          <w:i w:val="0"/>
          <w:iCs/>
          <w:lang w:eastAsia="zh-CN"/>
        </w:rPr>
        <w:t>,</w:t>
      </w:r>
    </w:p>
    <w:p w14:paraId="24EFCA6F" w14:textId="1BD12300" w:rsidR="007F7FFB" w:rsidRPr="004C0901" w:rsidRDefault="007F7FFB" w:rsidP="007F7FFB">
      <w:pPr>
        <w:rPr>
          <w:rFonts w:eastAsia="DengXian"/>
          <w:iCs/>
          <w:lang w:eastAsia="zh-CN"/>
        </w:rPr>
      </w:pPr>
      <w:r w:rsidRPr="004C0901">
        <w:rPr>
          <w:rFonts w:eastAsia="DengXian"/>
          <w:i/>
          <w:lang w:eastAsia="zh-CN"/>
        </w:rPr>
        <w:t>а)</w:t>
      </w:r>
      <w:r w:rsidRPr="004C0901">
        <w:rPr>
          <w:rFonts w:eastAsia="DengXian"/>
          <w:i/>
          <w:lang w:eastAsia="zh-CN"/>
        </w:rPr>
        <w:tab/>
      </w:r>
      <w:r w:rsidRPr="004C0901">
        <w:rPr>
          <w:rFonts w:eastAsia="DengXian"/>
          <w:iCs/>
          <w:lang w:eastAsia="zh-CN"/>
        </w:rPr>
        <w:t xml:space="preserve">что п. </w:t>
      </w:r>
      <w:r w:rsidRPr="004C0901">
        <w:rPr>
          <w:rFonts w:eastAsia="DengXian"/>
          <w:b/>
          <w:bCs/>
          <w:iCs/>
          <w:lang w:eastAsia="zh-CN"/>
        </w:rPr>
        <w:t>5.474A</w:t>
      </w:r>
      <w:r w:rsidRPr="004C0901">
        <w:rPr>
          <w:rFonts w:eastAsia="DengXian"/>
          <w:iCs/>
          <w:lang w:eastAsia="zh-CN"/>
        </w:rPr>
        <w:t xml:space="preserve"> предусматривает, что использование полос частот 9200–9300 МГц и 9900</w:t>
      </w:r>
      <w:r>
        <w:rPr>
          <w:rFonts w:eastAsia="DengXian"/>
          <w:iCs/>
          <w:lang w:eastAsia="zh-CN"/>
        </w:rPr>
        <w:t>−</w:t>
      </w:r>
      <w:r w:rsidRPr="004C0901">
        <w:rPr>
          <w:rFonts w:eastAsia="DengXian"/>
          <w:iCs/>
          <w:lang w:eastAsia="zh-CN"/>
        </w:rPr>
        <w:t>10</w:t>
      </w:r>
      <w:r>
        <w:rPr>
          <w:rFonts w:eastAsia="DengXian"/>
          <w:iCs/>
          <w:lang w:eastAsia="zh-CN"/>
        </w:rPr>
        <w:t> </w:t>
      </w:r>
      <w:r w:rsidRPr="004C0901">
        <w:rPr>
          <w:rFonts w:eastAsia="DengXian"/>
          <w:iCs/>
          <w:lang w:eastAsia="zh-CN"/>
        </w:rPr>
        <w:t xml:space="preserve">400 МГц спутниковой службой исследования Земли (активной) осуществляется при условии получения согласия в соответствии с п. </w:t>
      </w:r>
      <w:r w:rsidRPr="004C0901">
        <w:rPr>
          <w:rFonts w:eastAsia="DengXian"/>
          <w:b/>
          <w:bCs/>
          <w:iCs/>
          <w:lang w:eastAsia="zh-CN"/>
        </w:rPr>
        <w:t>9.21</w:t>
      </w:r>
      <w:r w:rsidR="00854947">
        <w:rPr>
          <w:rFonts w:eastAsia="DengXian"/>
          <w:iCs/>
          <w:lang w:eastAsia="zh-CN"/>
        </w:rPr>
        <w:t xml:space="preserve"> от нескольких администраций</w:t>
      </w:r>
      <w:r w:rsidRPr="004C0901">
        <w:rPr>
          <w:rFonts w:eastAsia="DengXian"/>
          <w:iCs/>
          <w:lang w:eastAsia="zh-CN"/>
        </w:rPr>
        <w:t>;</w:t>
      </w:r>
    </w:p>
    <w:p w14:paraId="1E35C810" w14:textId="77777777" w:rsidR="007F7FFB" w:rsidRPr="004C0901" w:rsidRDefault="007F7FFB" w:rsidP="007F7FFB">
      <w:pPr>
        <w:rPr>
          <w:rFonts w:eastAsia="DengXian"/>
          <w:iCs/>
          <w:highlight w:val="lightGray"/>
          <w:lang w:eastAsia="zh-CN"/>
        </w:rPr>
      </w:pPr>
      <w:r w:rsidRPr="004C0901">
        <w:rPr>
          <w:rFonts w:eastAsia="DengXian"/>
          <w:i/>
          <w:lang w:eastAsia="zh-CN"/>
        </w:rPr>
        <w:t>b)</w:t>
      </w:r>
      <w:r w:rsidRPr="004C0901">
        <w:rPr>
          <w:rFonts w:eastAsia="DengXian"/>
          <w:i/>
          <w:lang w:eastAsia="zh-CN"/>
        </w:rPr>
        <w:tab/>
      </w:r>
      <w:r w:rsidRPr="004C0901">
        <w:rPr>
          <w:rFonts w:eastAsia="DengXian"/>
          <w:iCs/>
          <w:lang w:eastAsia="zh-CN"/>
        </w:rPr>
        <w:t xml:space="preserve">что в п. </w:t>
      </w:r>
      <w:r w:rsidRPr="004C0901">
        <w:rPr>
          <w:rFonts w:eastAsia="DengXian"/>
          <w:b/>
          <w:bCs/>
          <w:iCs/>
          <w:lang w:eastAsia="zh-CN"/>
        </w:rPr>
        <w:t>21.16</w:t>
      </w:r>
      <w:r w:rsidRPr="004C0901">
        <w:rPr>
          <w:rFonts w:eastAsia="DengXian"/>
          <w:iCs/>
          <w:lang w:eastAsia="zh-CN"/>
        </w:rPr>
        <w:t xml:space="preserve"> указан предел плотности потока мощности, создаваемого на поверхности Земли излучениями спутниковой службы исследования Земли (активной) в полосе частот 9900</w:t>
      </w:r>
      <w:r>
        <w:rPr>
          <w:rFonts w:eastAsia="DengXian"/>
          <w:iCs/>
          <w:lang w:eastAsia="zh-CN"/>
        </w:rPr>
        <w:t>−</w:t>
      </w:r>
      <w:r w:rsidRPr="004C0901">
        <w:rPr>
          <w:rFonts w:eastAsia="DengXian"/>
          <w:iCs/>
          <w:lang w:eastAsia="zh-CN"/>
        </w:rPr>
        <w:t>10 400 МГц, с точки зрения защиты фиксированной службы,</w:t>
      </w:r>
    </w:p>
    <w:p w14:paraId="395B394D" w14:textId="77777777" w:rsidR="00764A5D" w:rsidRPr="004C0901" w:rsidRDefault="00764A5D" w:rsidP="00764A5D">
      <w:pPr>
        <w:pStyle w:val="Call"/>
        <w:rPr>
          <w:iCs/>
          <w:highlight w:val="lightGray"/>
        </w:rPr>
      </w:pPr>
      <w:r w:rsidRPr="004C0901">
        <w:t xml:space="preserve">признавая </w:t>
      </w:r>
    </w:p>
    <w:p w14:paraId="7BB20A33" w14:textId="1F8A475C" w:rsidR="00764A5D" w:rsidRPr="004C0901" w:rsidRDefault="00764A5D" w:rsidP="00764A5D">
      <w:pPr>
        <w:rPr>
          <w:rFonts w:eastAsia="DengXian"/>
          <w:lang w:eastAsia="zh-CN"/>
        </w:rPr>
      </w:pPr>
      <w:r w:rsidRPr="004C0901">
        <w:rPr>
          <w:rFonts w:eastAsia="DengXian"/>
          <w:i/>
          <w:lang w:eastAsia="zh-CN"/>
        </w:rPr>
        <w:t>a)</w:t>
      </w:r>
      <w:r w:rsidRPr="004C0901">
        <w:rPr>
          <w:rFonts w:eastAsia="DengXian"/>
          <w:lang w:eastAsia="zh-CN"/>
        </w:rPr>
        <w:tab/>
        <w:t xml:space="preserve">важность </w:t>
      </w:r>
      <w:r w:rsidR="00223406">
        <w:rPr>
          <w:rFonts w:eastAsia="DengXian"/>
          <w:lang w:eastAsia="zh-CN"/>
        </w:rPr>
        <w:t>продолжения работы спутников с РСА и необходимость</w:t>
      </w:r>
      <w:r w:rsidRPr="004C0901">
        <w:rPr>
          <w:rFonts w:eastAsia="DengXian"/>
          <w:lang w:eastAsia="zh-CN"/>
        </w:rPr>
        <w:t xml:space="preserve"> </w:t>
      </w:r>
      <w:r w:rsidR="00223406">
        <w:rPr>
          <w:rFonts w:eastAsia="DengXian"/>
          <w:lang w:eastAsia="zh-CN"/>
        </w:rPr>
        <w:t xml:space="preserve">обеспечения </w:t>
      </w:r>
      <w:r w:rsidRPr="004C0901">
        <w:rPr>
          <w:rFonts w:eastAsia="DengXian"/>
          <w:lang w:eastAsia="zh-CN"/>
        </w:rPr>
        <w:t>защит</w:t>
      </w:r>
      <w:r w:rsidR="00223406">
        <w:rPr>
          <w:rFonts w:eastAsia="DengXian"/>
          <w:lang w:eastAsia="zh-CN"/>
        </w:rPr>
        <w:t>ы</w:t>
      </w:r>
      <w:r w:rsidRPr="004C0901">
        <w:rPr>
          <w:rFonts w:eastAsia="DengXian"/>
          <w:lang w:eastAsia="zh-CN"/>
        </w:rPr>
        <w:t xml:space="preserve"> систем радиоопределения, работающих в полосе частот 9200−10 400 МГц;</w:t>
      </w:r>
    </w:p>
    <w:p w14:paraId="783E4574" w14:textId="77777777" w:rsidR="00764A5D" w:rsidRPr="004C0901" w:rsidRDefault="00764A5D" w:rsidP="00764A5D">
      <w:pPr>
        <w:rPr>
          <w:rFonts w:eastAsia="DengXian"/>
          <w:lang w:eastAsia="zh-CN"/>
        </w:rPr>
      </w:pPr>
      <w:r w:rsidRPr="004C0901">
        <w:rPr>
          <w:rFonts w:eastAsia="DengXian"/>
          <w:i/>
          <w:lang w:eastAsia="zh-CN"/>
        </w:rPr>
        <w:t>b)</w:t>
      </w:r>
      <w:r w:rsidRPr="004C0901">
        <w:rPr>
          <w:rFonts w:eastAsia="DengXian"/>
          <w:lang w:eastAsia="zh-CN"/>
        </w:rPr>
        <w:tab/>
        <w:t xml:space="preserve">что, согласно п. </w:t>
      </w:r>
      <w:r w:rsidRPr="004C0901">
        <w:rPr>
          <w:rFonts w:eastAsia="DengXian"/>
          <w:b/>
          <w:bCs/>
          <w:lang w:eastAsia="zh-CN"/>
        </w:rPr>
        <w:t>5.476A</w:t>
      </w:r>
      <w:r w:rsidRPr="004C0901">
        <w:rPr>
          <w:rFonts w:eastAsia="DengXian"/>
          <w:lang w:eastAsia="zh-CN"/>
        </w:rPr>
        <w:t>, "в полосе 9300–9800 МГц станции спутниковой службы исследования Земли (активной) и службы космических исследований (активной) не должны создавать вредных помех станциям радионавигационной и радиолокационной служб или требовать от них защиты</w:t>
      </w:r>
      <w:r w:rsidRPr="004C0901">
        <w:rPr>
          <w:sz w:val="16"/>
          <w:szCs w:val="16"/>
        </w:rPr>
        <w:t>.</w:t>
      </w:r>
      <w:r w:rsidRPr="004C0901">
        <w:rPr>
          <w:rFonts w:eastAsia="DengXian"/>
          <w:lang w:eastAsia="zh-CN"/>
        </w:rPr>
        <w:t>     </w:t>
      </w:r>
      <w:r w:rsidRPr="004C0901">
        <w:rPr>
          <w:sz w:val="16"/>
          <w:szCs w:val="16"/>
        </w:rPr>
        <w:t>(ВКР- 07)</w:t>
      </w:r>
      <w:r w:rsidRPr="004C0901">
        <w:rPr>
          <w:rFonts w:eastAsia="DengXian"/>
          <w:lang w:eastAsia="zh-CN"/>
        </w:rPr>
        <w:t>";</w:t>
      </w:r>
    </w:p>
    <w:p w14:paraId="07FB67F5" w14:textId="77777777" w:rsidR="00764A5D" w:rsidRPr="004C0901" w:rsidRDefault="00764A5D" w:rsidP="00764A5D">
      <w:pPr>
        <w:rPr>
          <w:rFonts w:eastAsia="DengXian"/>
          <w:lang w:eastAsia="zh-CN"/>
        </w:rPr>
      </w:pPr>
      <w:r w:rsidRPr="004C0901">
        <w:rPr>
          <w:rFonts w:eastAsia="DengXian"/>
          <w:i/>
          <w:lang w:eastAsia="zh-CN"/>
        </w:rPr>
        <w:t>c)</w:t>
      </w:r>
      <w:r w:rsidRPr="004C0901">
        <w:rPr>
          <w:rFonts w:eastAsia="DengXian"/>
          <w:lang w:eastAsia="zh-CN"/>
        </w:rPr>
        <w:tab/>
        <w:t xml:space="preserve">что, согласно п. </w:t>
      </w:r>
      <w:r w:rsidRPr="004C0901">
        <w:rPr>
          <w:rFonts w:eastAsia="DengXian"/>
          <w:b/>
          <w:bCs/>
          <w:lang w:eastAsia="zh-CN"/>
        </w:rPr>
        <w:t>5.474D</w:t>
      </w:r>
      <w:r w:rsidRPr="004C0901">
        <w:rPr>
          <w:rFonts w:eastAsia="DengXian"/>
          <w:lang w:eastAsia="zh-CN"/>
        </w:rPr>
        <w:t>, "станции спутниковой службы исследования Земли (активной) не должны создавать вредных помех станциям морской радионавигационной и радиолокационной служб в полосе частот 9200−9300 МГц, радионавигационной и радиолокационной служб в полосе частот 9900−10 000 МГц и радиолокационной службы в полосе частот 10,0–10,4 ГГц или требовать защиты от них</w:t>
      </w:r>
      <w:r w:rsidRPr="004C0901">
        <w:rPr>
          <w:sz w:val="16"/>
          <w:szCs w:val="16"/>
        </w:rPr>
        <w:t>.     (ВКР-15)</w:t>
      </w:r>
      <w:r w:rsidRPr="004C0901">
        <w:rPr>
          <w:rFonts w:eastAsia="DengXian"/>
          <w:lang w:eastAsia="zh-CN"/>
        </w:rPr>
        <w:t>";</w:t>
      </w:r>
    </w:p>
    <w:p w14:paraId="52CFDC5F" w14:textId="77777777" w:rsidR="00764A5D" w:rsidRPr="004C0901" w:rsidRDefault="00764A5D" w:rsidP="00764A5D">
      <w:pPr>
        <w:rPr>
          <w:rFonts w:eastAsia="DengXian"/>
          <w:lang w:eastAsia="zh-CN"/>
        </w:rPr>
      </w:pPr>
      <w:r w:rsidRPr="004C0901">
        <w:rPr>
          <w:rFonts w:eastAsia="DengXian"/>
          <w:i/>
          <w:iCs/>
          <w:lang w:eastAsia="zh-CN"/>
        </w:rPr>
        <w:t>d)</w:t>
      </w:r>
      <w:r w:rsidRPr="004C0901">
        <w:rPr>
          <w:rFonts w:eastAsia="DengXian"/>
          <w:lang w:eastAsia="zh-CN"/>
        </w:rPr>
        <w:tab/>
        <w:t xml:space="preserve">что воздушная радионавигационная служба, работающая в полосе частот 9000–9200 МГц, и морская радионавигационная служба, работающая в полосе частот 9200–9500 МГц, используются системами службы безопасности в соответствии с пп. </w:t>
      </w:r>
      <w:r w:rsidRPr="004C0901">
        <w:rPr>
          <w:rFonts w:eastAsia="DengXian"/>
          <w:b/>
          <w:bCs/>
          <w:lang w:eastAsia="zh-CN"/>
        </w:rPr>
        <w:t xml:space="preserve">1.59 </w:t>
      </w:r>
      <w:r w:rsidRPr="004C0901">
        <w:rPr>
          <w:rFonts w:eastAsia="DengXian"/>
          <w:lang w:eastAsia="zh-CN"/>
        </w:rPr>
        <w:t>и</w:t>
      </w:r>
      <w:r w:rsidRPr="004C0901">
        <w:rPr>
          <w:rFonts w:eastAsia="DengXian"/>
          <w:b/>
          <w:bCs/>
          <w:lang w:eastAsia="zh-CN"/>
        </w:rPr>
        <w:t xml:space="preserve"> 4.10</w:t>
      </w:r>
      <w:r w:rsidRPr="004C0901">
        <w:rPr>
          <w:rFonts w:eastAsia="DengXian"/>
          <w:lang w:eastAsia="zh-CN"/>
        </w:rPr>
        <w:t>;</w:t>
      </w:r>
    </w:p>
    <w:p w14:paraId="0B461576" w14:textId="77777777" w:rsidR="00764A5D" w:rsidRPr="004C0901" w:rsidRDefault="00764A5D" w:rsidP="00764A5D">
      <w:pPr>
        <w:rPr>
          <w:rFonts w:eastAsia="DengXian"/>
          <w:highlight w:val="lightGray"/>
          <w:lang w:eastAsia="zh-CN"/>
        </w:rPr>
      </w:pPr>
      <w:r w:rsidRPr="004C0901">
        <w:rPr>
          <w:rFonts w:eastAsia="DengXian"/>
          <w:i/>
          <w:iCs/>
          <w:lang w:eastAsia="zh-CN"/>
        </w:rPr>
        <w:t>e)</w:t>
      </w:r>
      <w:r w:rsidRPr="004C0901">
        <w:rPr>
          <w:rFonts w:eastAsia="DengXian"/>
          <w:lang w:eastAsia="zh-CN"/>
        </w:rPr>
        <w:tab/>
        <w:t>что Рекомендация МСЭ-R M.1796 содержит технические характеристики и критерии защиты для радаров, работающих в службе радиоопределения в диапазоне частот 8500−10 680 МГц,</w:t>
      </w:r>
    </w:p>
    <w:p w14:paraId="01E4F746" w14:textId="77777777" w:rsidR="00764A5D" w:rsidRPr="004C0901" w:rsidRDefault="00764A5D" w:rsidP="00764A5D">
      <w:pPr>
        <w:pStyle w:val="Call"/>
        <w:rPr>
          <w:highlight w:val="lightGray"/>
        </w:rPr>
      </w:pPr>
      <w:r w:rsidRPr="004C0901">
        <w:t>решает предложить Сектору радиосвязи МСЭ</w:t>
      </w:r>
    </w:p>
    <w:p w14:paraId="47EEDF78" w14:textId="682C7EBB" w:rsidR="00764A5D" w:rsidRPr="004C0901" w:rsidRDefault="00764A5D" w:rsidP="00764A5D">
      <w:r w:rsidRPr="004C0901">
        <w:t>1</w:t>
      </w:r>
      <w:r w:rsidRPr="004C0901">
        <w:tab/>
        <w:t xml:space="preserve">определить технические характеристики </w:t>
      </w:r>
      <w:r w:rsidR="00223406">
        <w:t>РСА</w:t>
      </w:r>
      <w:r w:rsidRPr="004C0901">
        <w:t xml:space="preserve"> спутниковой службы исследования Земли (активной) в полосе частот 9200</w:t>
      </w:r>
      <w:r>
        <w:t>−</w:t>
      </w:r>
      <w:r w:rsidRPr="004C0901">
        <w:t>10</w:t>
      </w:r>
      <w:r>
        <w:t> </w:t>
      </w:r>
      <w:r w:rsidR="00223406">
        <w:t>400 МГц</w:t>
      </w:r>
      <w:r w:rsidRPr="004C0901">
        <w:t>;</w:t>
      </w:r>
    </w:p>
    <w:p w14:paraId="31FFCA6D" w14:textId="2C8756B8" w:rsidR="00764A5D" w:rsidRPr="004C0901" w:rsidRDefault="00764A5D" w:rsidP="00764A5D">
      <w:pPr>
        <w:rPr>
          <w:highlight w:val="lightGray"/>
        </w:rPr>
      </w:pPr>
      <w:r w:rsidRPr="004C0901">
        <w:t>2</w:t>
      </w:r>
      <w:r w:rsidRPr="004C0901">
        <w:tab/>
        <w:t xml:space="preserve">изучить </w:t>
      </w:r>
      <w:r w:rsidR="00223406">
        <w:t>требуемые</w:t>
      </w:r>
      <w:r w:rsidRPr="004C0901">
        <w:t xml:space="preserve"> критерии защиты службы радиоопределения в полосе частот 9200</w:t>
      </w:r>
      <w:r>
        <w:t>−</w:t>
      </w:r>
      <w:r w:rsidRPr="004C0901">
        <w:t>10</w:t>
      </w:r>
      <w:r>
        <w:t> </w:t>
      </w:r>
      <w:r w:rsidRPr="004C0901">
        <w:t xml:space="preserve">400 МГц от помех импульсного типа, в частности процент времени или вероятность помех, которые могут быть </w:t>
      </w:r>
      <w:r w:rsidR="00223406">
        <w:t>приемлемыми</w:t>
      </w:r>
      <w:r w:rsidRPr="004C0901">
        <w:t xml:space="preserve"> для службы радиоопределения;</w:t>
      </w:r>
    </w:p>
    <w:p w14:paraId="3D057B2F" w14:textId="500F0ED4" w:rsidR="00764A5D" w:rsidRPr="004C0901" w:rsidRDefault="00764A5D" w:rsidP="00764A5D">
      <w:pPr>
        <w:rPr>
          <w:rFonts w:eastAsia="DengXian"/>
          <w:lang w:eastAsia="zh-CN"/>
        </w:rPr>
      </w:pPr>
      <w:r w:rsidRPr="004C0901">
        <w:rPr>
          <w:rFonts w:eastAsia="DengXian"/>
          <w:lang w:eastAsia="zh-CN"/>
        </w:rPr>
        <w:t>3</w:t>
      </w:r>
      <w:r w:rsidRPr="004C0901">
        <w:rPr>
          <w:rFonts w:eastAsia="DengXian"/>
          <w:lang w:eastAsia="zh-CN"/>
        </w:rPr>
        <w:tab/>
        <w:t xml:space="preserve">провести заблаговременно для рассмотрения на ВКР-27 исследования технических и регламентарных мер для обеспечения сосуществования </w:t>
      </w:r>
      <w:r w:rsidR="00223406">
        <w:rPr>
          <w:rFonts w:eastAsia="DengXian"/>
          <w:lang w:eastAsia="zh-CN"/>
        </w:rPr>
        <w:t>РСА, работающих в спутниковой службе</w:t>
      </w:r>
      <w:r w:rsidRPr="004C0901">
        <w:rPr>
          <w:rFonts w:eastAsia="DengXian"/>
          <w:lang w:eastAsia="zh-CN"/>
        </w:rPr>
        <w:t xml:space="preserve"> исследования Земли (активной)</w:t>
      </w:r>
      <w:r w:rsidR="00223406">
        <w:rPr>
          <w:rFonts w:eastAsia="DengXian"/>
          <w:lang w:eastAsia="zh-CN"/>
        </w:rPr>
        <w:t>,</w:t>
      </w:r>
      <w:r w:rsidRPr="004C0901">
        <w:rPr>
          <w:rFonts w:eastAsia="DengXian"/>
          <w:lang w:eastAsia="zh-CN"/>
        </w:rPr>
        <w:t xml:space="preserve"> и службы радиоопределения в полосе частот 9200−10 400 МГц;</w:t>
      </w:r>
    </w:p>
    <w:p w14:paraId="16538DC6" w14:textId="263CC551" w:rsidR="00764A5D" w:rsidRPr="004C0901" w:rsidRDefault="00764A5D" w:rsidP="00764A5D">
      <w:pPr>
        <w:rPr>
          <w:rFonts w:eastAsia="DengXian"/>
          <w:highlight w:val="lightGray"/>
          <w:lang w:eastAsia="zh-CN"/>
        </w:rPr>
      </w:pPr>
      <w:r w:rsidRPr="004C0901">
        <w:rPr>
          <w:rFonts w:eastAsia="DengXian"/>
          <w:lang w:eastAsia="zh-CN"/>
        </w:rPr>
        <w:t>4</w:t>
      </w:r>
      <w:r w:rsidRPr="004C0901">
        <w:rPr>
          <w:rFonts w:eastAsia="DengXian"/>
          <w:lang w:eastAsia="zh-CN"/>
        </w:rPr>
        <w:tab/>
        <w:t xml:space="preserve">определить заблаговременно для рассмотрения на ВКР-27 возможные изменения </w:t>
      </w:r>
      <w:r w:rsidR="00F022E2">
        <w:rPr>
          <w:rFonts w:eastAsia="DengXian"/>
          <w:lang w:eastAsia="zh-CN"/>
        </w:rPr>
        <w:t xml:space="preserve">для внесения </w:t>
      </w:r>
      <w:r w:rsidRPr="004C0901">
        <w:rPr>
          <w:rFonts w:eastAsia="DengXian"/>
          <w:lang w:eastAsia="zh-CN"/>
        </w:rPr>
        <w:t xml:space="preserve">в соответствующие регламентарные </w:t>
      </w:r>
      <w:r w:rsidR="000D4733">
        <w:rPr>
          <w:rFonts w:eastAsia="DengXian"/>
          <w:lang w:eastAsia="zh-CN"/>
        </w:rPr>
        <w:t xml:space="preserve">положения </w:t>
      </w:r>
      <w:r w:rsidRPr="004C0901">
        <w:rPr>
          <w:rFonts w:eastAsia="DengXian"/>
          <w:lang w:eastAsia="zh-CN"/>
        </w:rPr>
        <w:t>Регламента радиосвязи,</w:t>
      </w:r>
    </w:p>
    <w:p w14:paraId="1E729449" w14:textId="77777777" w:rsidR="00764A5D" w:rsidRPr="004C0901" w:rsidRDefault="00764A5D" w:rsidP="00764A5D">
      <w:pPr>
        <w:pStyle w:val="Call"/>
      </w:pPr>
      <w:r w:rsidRPr="004C0901">
        <w:lastRenderedPageBreak/>
        <w:t>предлагает Всемирной конференции радиосвязи 2027 года</w:t>
      </w:r>
    </w:p>
    <w:p w14:paraId="5F531D6F" w14:textId="0FFB1FDB" w:rsidR="000D4733" w:rsidRDefault="00764A5D" w:rsidP="00764A5D">
      <w:r w:rsidRPr="004C0901">
        <w:t xml:space="preserve">рассмотреть результаты </w:t>
      </w:r>
      <w:r w:rsidR="000D4733">
        <w:t xml:space="preserve">вышеуказанных </w:t>
      </w:r>
      <w:r w:rsidRPr="004C0901">
        <w:t xml:space="preserve">исследований </w:t>
      </w:r>
      <w:r w:rsidR="000D4733" w:rsidRPr="000D4733">
        <w:t xml:space="preserve">МСЭ-R </w:t>
      </w:r>
      <w:r w:rsidR="000D4733">
        <w:t xml:space="preserve">и принять </w:t>
      </w:r>
      <w:r w:rsidRPr="004C0901">
        <w:t>меры</w:t>
      </w:r>
      <w:r w:rsidR="000D4733">
        <w:t xml:space="preserve">, включая </w:t>
      </w:r>
      <w:r w:rsidR="00F022E2">
        <w:rPr>
          <w:rFonts w:eastAsia="DengXian"/>
          <w:lang w:eastAsia="zh-CN"/>
        </w:rPr>
        <w:t>возможное внесение изменений в</w:t>
      </w:r>
      <w:r w:rsidR="000D4733">
        <w:rPr>
          <w:rFonts w:eastAsia="DengXian"/>
          <w:lang w:eastAsia="zh-CN"/>
        </w:rPr>
        <w:t xml:space="preserve"> регламентарн</w:t>
      </w:r>
      <w:r w:rsidR="00F022E2">
        <w:rPr>
          <w:rFonts w:eastAsia="DengXian"/>
          <w:lang w:eastAsia="zh-CN"/>
        </w:rPr>
        <w:t>ые</w:t>
      </w:r>
      <w:r w:rsidR="000D4733" w:rsidRPr="004C0901">
        <w:rPr>
          <w:rFonts w:eastAsia="DengXian"/>
          <w:lang w:eastAsia="zh-CN"/>
        </w:rPr>
        <w:t xml:space="preserve"> </w:t>
      </w:r>
      <w:r w:rsidR="000D4733">
        <w:rPr>
          <w:rFonts w:eastAsia="DengXian"/>
          <w:lang w:eastAsia="zh-CN"/>
        </w:rPr>
        <w:t>положени</w:t>
      </w:r>
      <w:r w:rsidR="00F022E2">
        <w:rPr>
          <w:rFonts w:eastAsia="DengXian"/>
          <w:lang w:eastAsia="zh-CN"/>
        </w:rPr>
        <w:t>я</w:t>
      </w:r>
      <w:r w:rsidR="000D4733">
        <w:rPr>
          <w:rFonts w:eastAsia="DengXian"/>
          <w:lang w:eastAsia="zh-CN"/>
        </w:rPr>
        <w:t xml:space="preserve"> </w:t>
      </w:r>
      <w:r w:rsidR="000D4733" w:rsidRPr="004C0901">
        <w:rPr>
          <w:rFonts w:eastAsia="DengXian"/>
          <w:lang w:eastAsia="zh-CN"/>
        </w:rPr>
        <w:t>Регламента радиосвязи</w:t>
      </w:r>
      <w:r w:rsidR="000D4733">
        <w:rPr>
          <w:rFonts w:eastAsia="DengXian"/>
          <w:lang w:eastAsia="zh-CN"/>
        </w:rPr>
        <w:t>,</w:t>
      </w:r>
    </w:p>
    <w:p w14:paraId="64CA3E8B" w14:textId="77777777" w:rsidR="00764A5D" w:rsidRPr="004C0901" w:rsidRDefault="00764A5D" w:rsidP="00764A5D">
      <w:pPr>
        <w:pStyle w:val="Call"/>
      </w:pPr>
      <w:r w:rsidRPr="004C0901">
        <w:t>предлагает администрациям</w:t>
      </w:r>
    </w:p>
    <w:p w14:paraId="3DE7B051" w14:textId="4973C5ED" w:rsidR="000D4733" w:rsidRDefault="00764A5D" w:rsidP="000D4733">
      <w:r w:rsidRPr="004C0901">
        <w:t>принять участие в исследованиях, представляя вклады в МСЭ</w:t>
      </w:r>
      <w:r w:rsidRPr="004C0901">
        <w:noBreakHyphen/>
        <w:t>R.</w:t>
      </w:r>
    </w:p>
    <w:p w14:paraId="3EB44BEE" w14:textId="25D1BAD6" w:rsidR="00F61A1C" w:rsidRDefault="007F7FFB" w:rsidP="00F61A1C">
      <w:pPr>
        <w:pStyle w:val="Reasons"/>
      </w:pPr>
      <w:r>
        <w:rPr>
          <w:b/>
        </w:rPr>
        <w:t>Основания</w:t>
      </w:r>
      <w:r w:rsidRPr="000D4733">
        <w:rPr>
          <w:bCs/>
        </w:rPr>
        <w:t>:</w:t>
      </w:r>
      <w:r w:rsidRPr="000D4733">
        <w:tab/>
      </w:r>
      <w:r w:rsidR="000D4733" w:rsidRPr="000D4733">
        <w:t xml:space="preserve">См. следующую </w:t>
      </w:r>
      <w:r w:rsidR="000D4733">
        <w:t xml:space="preserve">далее </w:t>
      </w:r>
      <w:r w:rsidR="000D4733" w:rsidRPr="000D4733">
        <w:t xml:space="preserve">таблицу, </w:t>
      </w:r>
      <w:r w:rsidR="000D4733">
        <w:t>которая подготовлена</w:t>
      </w:r>
      <w:r w:rsidR="000D4733" w:rsidRPr="000D4733">
        <w:t xml:space="preserve"> с использованием шаблона, приведенного в Дополнении</w:t>
      </w:r>
      <w:r w:rsidR="000D4733">
        <w:t> </w:t>
      </w:r>
      <w:r w:rsidR="000D4733" w:rsidRPr="000D4733">
        <w:t>2 к Резолюции</w:t>
      </w:r>
      <w:r w:rsidR="000D4733">
        <w:t> </w:t>
      </w:r>
      <w:r w:rsidR="000D4733" w:rsidRPr="000D4733">
        <w:rPr>
          <w:b/>
        </w:rPr>
        <w:t>804 (Пересм. ВКР-19)</w:t>
      </w:r>
      <w:r w:rsidR="000D4733" w:rsidRPr="000D4733">
        <w:t>.</w:t>
      </w: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4897"/>
        <w:gridCol w:w="4850"/>
      </w:tblGrid>
      <w:tr w:rsidR="00764A5D" w:rsidRPr="004C0901" w14:paraId="1CE6FEF4" w14:textId="77777777" w:rsidTr="00F61A1C">
        <w:trPr>
          <w:cantSplit/>
        </w:trPr>
        <w:tc>
          <w:tcPr>
            <w:tcW w:w="9747" w:type="dxa"/>
            <w:gridSpan w:val="2"/>
          </w:tcPr>
          <w:p w14:paraId="5D6B21E8" w14:textId="77777777" w:rsidR="00764A5D" w:rsidRPr="005633D0" w:rsidRDefault="00764A5D" w:rsidP="00F61A1C">
            <w:pPr>
              <w:keepNext/>
              <w:keepLines/>
              <w:spacing w:before="240"/>
              <w:jc w:val="both"/>
              <w:rPr>
                <w:b/>
                <w:bCs/>
              </w:rPr>
            </w:pPr>
            <w:r w:rsidRPr="005633D0">
              <w:rPr>
                <w:b/>
                <w:bCs/>
                <w:iCs/>
              </w:rPr>
              <w:t>Предмет</w:t>
            </w:r>
            <w:r w:rsidRPr="005633D0">
              <w:rPr>
                <w:iCs/>
              </w:rPr>
              <w:t>:</w:t>
            </w:r>
          </w:p>
          <w:p w14:paraId="72009F2A" w14:textId="4D339E25" w:rsidR="00764A5D" w:rsidRPr="004C0901" w:rsidRDefault="00764A5D" w:rsidP="000A3D1A">
            <w:pPr>
              <w:keepNext/>
              <w:keepLines/>
              <w:spacing w:before="60" w:after="60"/>
              <w:rPr>
                <w:highlight w:val="lightGray"/>
              </w:rPr>
            </w:pPr>
            <w:r w:rsidRPr="004C0901">
              <w:t>Меры для обеспечения сосуществования бортовых космических радаров с синтезированной апертурой (РСА)</w:t>
            </w:r>
            <w:r w:rsidR="000D4733">
              <w:t>, работающих в спутниковой службе</w:t>
            </w:r>
            <w:r w:rsidRPr="004C0901">
              <w:t xml:space="preserve"> исследования Земли (активной)</w:t>
            </w:r>
            <w:r w:rsidR="000D4733">
              <w:t>,</w:t>
            </w:r>
            <w:r w:rsidRPr="004C0901">
              <w:t xml:space="preserve"> и службы радиоопределения в полосе частот 9200−10 400 МГц</w:t>
            </w:r>
            <w:r>
              <w:t>.</w:t>
            </w:r>
          </w:p>
        </w:tc>
      </w:tr>
      <w:tr w:rsidR="00764A5D" w:rsidRPr="004C0901" w14:paraId="0A066629" w14:textId="77777777" w:rsidTr="00F61A1C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F914F" w14:textId="06B5A70B" w:rsidR="00764A5D" w:rsidRPr="005633D0" w:rsidRDefault="00764A5D" w:rsidP="000D4733">
            <w:pPr>
              <w:keepNext/>
              <w:keepLines/>
              <w:spacing w:before="60" w:after="60"/>
              <w:jc w:val="both"/>
              <w:rPr>
                <w:b/>
                <w:highlight w:val="lightGray"/>
              </w:rPr>
            </w:pPr>
            <w:r w:rsidRPr="005633D0">
              <w:rPr>
                <w:b/>
                <w:bCs/>
                <w:iCs/>
              </w:rPr>
              <w:t>Источник</w:t>
            </w:r>
            <w:r w:rsidRPr="005633D0">
              <w:rPr>
                <w:iCs/>
              </w:rPr>
              <w:t>:</w:t>
            </w:r>
            <w:r w:rsidRPr="005633D0">
              <w:rPr>
                <w:bCs/>
              </w:rPr>
              <w:t xml:space="preserve"> </w:t>
            </w:r>
            <w:r w:rsidR="000D4733" w:rsidRPr="005633D0">
              <w:rPr>
                <w:rFonts w:eastAsia="SimSun"/>
                <w:bCs/>
                <w:lang w:eastAsia="zh-CN"/>
              </w:rPr>
              <w:t>Азиатско-Тихоокеанское сообщество электросвязи (АТСЭ)</w:t>
            </w:r>
          </w:p>
        </w:tc>
      </w:tr>
      <w:tr w:rsidR="00764A5D" w:rsidRPr="004C0901" w14:paraId="0D66E69E" w14:textId="77777777" w:rsidTr="00F61A1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9D9EF" w14:textId="77777777" w:rsidR="00764A5D" w:rsidRPr="004C0901" w:rsidRDefault="00764A5D" w:rsidP="000A3D1A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t>Предложение</w:t>
            </w:r>
            <w:r w:rsidRPr="004C0901">
              <w:rPr>
                <w:bCs/>
                <w:i/>
              </w:rPr>
              <w:t>:</w:t>
            </w:r>
          </w:p>
          <w:p w14:paraId="6D7A71A6" w14:textId="522F54D2" w:rsidR="00764A5D" w:rsidRPr="005633D0" w:rsidRDefault="00764A5D" w:rsidP="00953815">
            <w:pPr>
              <w:spacing w:before="60" w:after="60"/>
              <w:rPr>
                <w:rFonts w:eastAsia="SimSun"/>
                <w:bCs/>
                <w:i/>
                <w:iCs/>
                <w:highlight w:val="lightGray"/>
                <w:lang w:eastAsia="zh-CN"/>
              </w:rPr>
            </w:pPr>
            <w:r w:rsidRPr="005633D0">
              <w:rPr>
                <w:rFonts w:eastAsia="SimSun"/>
                <w:bCs/>
                <w:i/>
                <w:iCs/>
                <w:lang w:eastAsia="zh-CN"/>
              </w:rPr>
              <w:t xml:space="preserve">Изучить и разработать технические и регламентарные </w:t>
            </w:r>
            <w:r w:rsidRPr="005633D0">
              <w:rPr>
                <w:i/>
              </w:rPr>
              <w:t>м</w:t>
            </w:r>
            <w:r w:rsidRPr="005633D0">
              <w:rPr>
                <w:rFonts w:eastAsia="SimSun"/>
                <w:bCs/>
                <w:i/>
                <w:iCs/>
                <w:lang w:eastAsia="zh-CN"/>
              </w:rPr>
              <w:t>еры для обеспечения сосуществования бортовых космических радаров с синтезированной апертурой (РСА)</w:t>
            </w:r>
            <w:r w:rsidR="00F723CC" w:rsidRPr="005633D0">
              <w:rPr>
                <w:rFonts w:eastAsia="SimSun"/>
                <w:bCs/>
                <w:i/>
                <w:iCs/>
                <w:lang w:eastAsia="zh-CN"/>
              </w:rPr>
              <w:t xml:space="preserve">, работающих в спутниковой </w:t>
            </w:r>
            <w:r w:rsidR="00F723CC" w:rsidRPr="00953815">
              <w:rPr>
                <w:rFonts w:ascii="Times New Roman italic" w:eastAsia="SimSun" w:hAnsi="Times New Roman italic"/>
                <w:bCs/>
                <w:i/>
                <w:iCs/>
                <w:spacing w:val="-6"/>
                <w:lang w:eastAsia="zh-CN"/>
              </w:rPr>
              <w:t>службе</w:t>
            </w:r>
            <w:r w:rsidRPr="00953815">
              <w:rPr>
                <w:rFonts w:ascii="Times New Roman italic" w:eastAsia="SimSun" w:hAnsi="Times New Roman italic"/>
                <w:bCs/>
                <w:i/>
                <w:iCs/>
                <w:spacing w:val="-6"/>
                <w:lang w:eastAsia="zh-CN"/>
              </w:rPr>
              <w:t xml:space="preserve"> исследования Земли (активной)</w:t>
            </w:r>
            <w:r w:rsidR="00F723CC" w:rsidRPr="00953815">
              <w:rPr>
                <w:rFonts w:ascii="Times New Roman italic" w:eastAsia="SimSun" w:hAnsi="Times New Roman italic"/>
                <w:bCs/>
                <w:i/>
                <w:iCs/>
                <w:spacing w:val="-6"/>
                <w:lang w:eastAsia="zh-CN"/>
              </w:rPr>
              <w:t>,</w:t>
            </w:r>
            <w:r w:rsidRPr="00953815">
              <w:rPr>
                <w:rFonts w:ascii="Times New Roman italic" w:eastAsia="SimSun" w:hAnsi="Times New Roman italic"/>
                <w:bCs/>
                <w:i/>
                <w:iCs/>
                <w:spacing w:val="-6"/>
                <w:lang w:eastAsia="zh-CN"/>
              </w:rPr>
              <w:t xml:space="preserve"> и службы радиоопределения в полосе частот 9200</w:t>
            </w:r>
            <w:r w:rsidR="007141EC" w:rsidRPr="00953815">
              <w:rPr>
                <w:rFonts w:ascii="Times New Roman italic" w:eastAsia="SimSun" w:hAnsi="Times New Roman italic"/>
                <w:bCs/>
                <w:i/>
                <w:iCs/>
                <w:spacing w:val="-6"/>
                <w:lang w:eastAsia="zh-CN"/>
              </w:rPr>
              <w:t>−</w:t>
            </w:r>
            <w:r w:rsidRPr="00953815">
              <w:rPr>
                <w:rFonts w:ascii="Times New Roman italic" w:eastAsia="SimSun" w:hAnsi="Times New Roman italic"/>
                <w:bCs/>
                <w:i/>
                <w:iCs/>
                <w:spacing w:val="-6"/>
                <w:lang w:eastAsia="zh-CN"/>
              </w:rPr>
              <w:t>10</w:t>
            </w:r>
            <w:r w:rsidR="007141EC" w:rsidRPr="00953815">
              <w:rPr>
                <w:rFonts w:ascii="Times New Roman italic" w:eastAsia="SimSun" w:hAnsi="Times New Roman italic"/>
                <w:bCs/>
                <w:i/>
                <w:iCs/>
                <w:spacing w:val="-6"/>
                <w:lang w:eastAsia="zh-CN"/>
              </w:rPr>
              <w:t> </w:t>
            </w:r>
            <w:r w:rsidRPr="00953815">
              <w:rPr>
                <w:rFonts w:ascii="Times New Roman italic" w:eastAsia="SimSun" w:hAnsi="Times New Roman italic"/>
                <w:bCs/>
                <w:i/>
                <w:iCs/>
                <w:spacing w:val="-6"/>
                <w:lang w:eastAsia="zh-CN"/>
              </w:rPr>
              <w:t>400</w:t>
            </w:r>
            <w:r w:rsidR="007141EC" w:rsidRPr="00953815">
              <w:rPr>
                <w:rFonts w:ascii="Times New Roman italic" w:eastAsia="SimSun" w:hAnsi="Times New Roman italic"/>
                <w:bCs/>
                <w:i/>
                <w:iCs/>
                <w:spacing w:val="-6"/>
                <w:lang w:eastAsia="zh-CN"/>
              </w:rPr>
              <w:t> </w:t>
            </w:r>
            <w:r w:rsidRPr="00953815">
              <w:rPr>
                <w:rFonts w:ascii="Times New Roman italic" w:eastAsia="SimSun" w:hAnsi="Times New Roman italic"/>
                <w:bCs/>
                <w:i/>
                <w:iCs/>
                <w:spacing w:val="-6"/>
                <w:lang w:eastAsia="zh-CN"/>
              </w:rPr>
              <w:t>МГц.</w:t>
            </w:r>
          </w:p>
        </w:tc>
      </w:tr>
      <w:tr w:rsidR="00764A5D" w:rsidRPr="004C0901" w14:paraId="4E50FA34" w14:textId="77777777" w:rsidTr="00F61A1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9F1DF" w14:textId="77777777" w:rsidR="00764A5D" w:rsidRPr="004C0901" w:rsidRDefault="00764A5D" w:rsidP="00F61A1C">
            <w:pPr>
              <w:spacing w:before="60"/>
              <w:rPr>
                <w:b/>
                <w:bCs/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t>Основание/причина</w:t>
            </w:r>
            <w:r w:rsidRPr="004C0901">
              <w:rPr>
                <w:i/>
                <w:iCs/>
              </w:rPr>
              <w:t>:</w:t>
            </w:r>
          </w:p>
          <w:p w14:paraId="75B0D3DF" w14:textId="1FCFE627" w:rsidR="00764A5D" w:rsidRPr="004C0901" w:rsidRDefault="00764A5D" w:rsidP="00953815">
            <w:pPr>
              <w:spacing w:before="60" w:after="60"/>
              <w:rPr>
                <w:bCs/>
                <w:iCs/>
              </w:rPr>
            </w:pPr>
            <w:r w:rsidRPr="004C0901">
              <w:rPr>
                <w:bCs/>
                <w:iCs/>
              </w:rPr>
              <w:t>Спутниковая служба исследования Земли (активная) в основном используется для активных датчиков на борту космических аппаратов, в том числе для радаров с синтезированной апертурой (РСА), высотомеров, рефлектометров, радаров, изучающих осадки, и радаров профилирования облачности. Среди этих применений РСА является наиболее широко используемым бортовым датчиком космических аппаратов. ВКР-07 и ВКР-15 последовательно расширяли распределени</w:t>
            </w:r>
            <w:r w:rsidR="007141EC">
              <w:rPr>
                <w:bCs/>
                <w:iCs/>
              </w:rPr>
              <w:t>е</w:t>
            </w:r>
            <w:r w:rsidRPr="004C0901">
              <w:rPr>
                <w:bCs/>
                <w:iCs/>
              </w:rPr>
              <w:t xml:space="preserve"> спутниковой службе исследования Земли (активной) с 9500−9800 МГц до 9200−10</w:t>
            </w:r>
            <w:r w:rsidR="007141EC">
              <w:rPr>
                <w:bCs/>
                <w:iCs/>
              </w:rPr>
              <w:t> </w:t>
            </w:r>
            <w:r w:rsidRPr="004C0901">
              <w:rPr>
                <w:bCs/>
                <w:iCs/>
              </w:rPr>
              <w:t>400 МГц, котор</w:t>
            </w:r>
            <w:r w:rsidR="007141EC">
              <w:rPr>
                <w:bCs/>
                <w:iCs/>
              </w:rPr>
              <w:t>ое</w:t>
            </w:r>
            <w:r w:rsidRPr="004C0901">
              <w:rPr>
                <w:bCs/>
                <w:iCs/>
              </w:rPr>
              <w:t xml:space="preserve"> используется совместно со службой радиоопределения, в том числе с радиолокационной и радионавигационной службами. В последние годы в МСЭ-R, особенно в исследовательских циклах ВКР-07 и ВКР-15, проводились многочисленные исследования, касающиеся совместного использования частот спутниковой службой исследования Земли (активной) и службой радиоопределения. Проводя исследования на основе допущений и системных параметров того времени, МСЭ-R приш</w:t>
            </w:r>
            <w:r w:rsidR="007141EC">
              <w:rPr>
                <w:bCs/>
                <w:iCs/>
              </w:rPr>
              <w:t>е</w:t>
            </w:r>
            <w:r w:rsidRPr="004C0901">
              <w:rPr>
                <w:bCs/>
                <w:iCs/>
              </w:rPr>
              <w:t xml:space="preserve">л к выводу, что на радары будет влиять бортовой РСА с уровнями помех, значительно превышающими указанное пороговое значение </w:t>
            </w:r>
            <w:r w:rsidRPr="004C0901">
              <w:rPr>
                <w:bCs/>
                <w:i/>
                <w:iCs/>
              </w:rPr>
              <w:t>I</w:t>
            </w:r>
            <w:r w:rsidRPr="004D2C7B">
              <w:rPr>
                <w:bCs/>
              </w:rPr>
              <w:t>/</w:t>
            </w:r>
            <w:r w:rsidRPr="004C0901">
              <w:rPr>
                <w:bCs/>
                <w:i/>
                <w:iCs/>
              </w:rPr>
              <w:t>N</w:t>
            </w:r>
            <w:r w:rsidRPr="004C0901">
              <w:rPr>
                <w:bCs/>
                <w:iCs/>
              </w:rPr>
              <w:t xml:space="preserve">, равное −6 дБ, однако процент времени возникновения помех будет небольшим. Тем не менее исследования имеют некоторые недостатки. Во-первых, не указано, каким должен быть процент времени, чтобы служба радиоопределения не подвергалась неблагоприятному воздействию помех импульсного типа, таких как излучение от бортовой РСА космического </w:t>
            </w:r>
            <w:r w:rsidR="007141EC">
              <w:rPr>
                <w:bCs/>
                <w:iCs/>
              </w:rPr>
              <w:t>аппарата</w:t>
            </w:r>
            <w:r w:rsidRPr="004C0901">
              <w:rPr>
                <w:bCs/>
                <w:iCs/>
              </w:rPr>
              <w:t>. Второе, вывод был основан на предположениях, что ожидаемое количество реально эксплуатируемых спутников с РСА будет очень ограниченным, но в настоящее время это не так.</w:t>
            </w:r>
          </w:p>
          <w:p w14:paraId="1BBD0661" w14:textId="71717640" w:rsidR="00764A5D" w:rsidRDefault="00764A5D" w:rsidP="00953815">
            <w:pPr>
              <w:spacing w:before="60" w:after="60"/>
              <w:rPr>
                <w:bCs/>
                <w:iCs/>
              </w:rPr>
            </w:pPr>
            <w:r w:rsidRPr="004C0901">
              <w:rPr>
                <w:bCs/>
                <w:iCs/>
              </w:rPr>
              <w:t xml:space="preserve">В последние годы по мере развития технологий и снижения производственных затрат во многих странах запускается и эксплуатируется все больше спутников с РСА. Согласно общедоступной информации, количество уже имеющихся и будущих спутников с РСА, работающих в диапазоне X, уже составило более 300, что намного превышает количество, ожидавшееся в исследовательских циклах ВКР-07 и ВКР-15. Кроме того, за последние годы также изменились системные параметры спутников с РСА по сравнению с прошлыми исследовательскими циклами. Результатом этих </w:t>
            </w:r>
            <w:r w:rsidRPr="00953815">
              <w:rPr>
                <w:bCs/>
                <w:iCs/>
                <w:spacing w:val="-4"/>
              </w:rPr>
              <w:t>изменений станет то, что сосуществование спутников с РСА и службы радиоопределения усложнится.</w:t>
            </w:r>
            <w:r w:rsidRPr="004C0901">
              <w:rPr>
                <w:bCs/>
                <w:iCs/>
              </w:rPr>
              <w:t xml:space="preserve"> Это</w:t>
            </w:r>
            <w:r w:rsidR="00F723CC">
              <w:rPr>
                <w:bCs/>
                <w:iCs/>
              </w:rPr>
              <w:t xml:space="preserve"> увеличит вероятность возникновения взаимных помех между радарами радиоопределения</w:t>
            </w:r>
            <w:r w:rsidR="00F723CC" w:rsidRPr="004C0901">
              <w:rPr>
                <w:bCs/>
                <w:iCs/>
              </w:rPr>
              <w:t xml:space="preserve"> </w:t>
            </w:r>
            <w:r w:rsidR="00F723CC">
              <w:rPr>
                <w:bCs/>
                <w:iCs/>
              </w:rPr>
              <w:t>и спутниками</w:t>
            </w:r>
            <w:r w:rsidR="00F723CC" w:rsidRPr="004C0901">
              <w:rPr>
                <w:bCs/>
                <w:iCs/>
              </w:rPr>
              <w:t xml:space="preserve"> с РСА</w:t>
            </w:r>
            <w:r w:rsidR="00F723CC">
              <w:rPr>
                <w:bCs/>
                <w:iCs/>
              </w:rPr>
              <w:t>, что может стать</w:t>
            </w:r>
            <w:r w:rsidRPr="004C0901">
              <w:rPr>
                <w:bCs/>
                <w:iCs/>
              </w:rPr>
              <w:t xml:space="preserve"> серьезной проблемой для администраций в будущем.</w:t>
            </w:r>
          </w:p>
          <w:p w14:paraId="3DAA6E29" w14:textId="2617D444" w:rsidR="00764A5D" w:rsidRPr="004C0901" w:rsidRDefault="00764A5D" w:rsidP="00953815">
            <w:pPr>
              <w:spacing w:before="60" w:after="60"/>
              <w:rPr>
                <w:bCs/>
                <w:iCs/>
                <w:highlight w:val="lightGray"/>
              </w:rPr>
            </w:pPr>
            <w:r w:rsidRPr="004C0901">
              <w:rPr>
                <w:bCs/>
                <w:iCs/>
              </w:rPr>
              <w:t xml:space="preserve">Поэтому необходимо провести исследования технических и регламентарных </w:t>
            </w:r>
            <w:r w:rsidRPr="004C0901">
              <w:t>м</w:t>
            </w:r>
            <w:r w:rsidRPr="004C0901">
              <w:rPr>
                <w:bCs/>
                <w:iCs/>
              </w:rPr>
              <w:t xml:space="preserve">ер для обеспечения сосуществования бортовых космических </w:t>
            </w:r>
            <w:r w:rsidR="00F723CC">
              <w:rPr>
                <w:bCs/>
                <w:iCs/>
              </w:rPr>
              <w:t>РСА</w:t>
            </w:r>
            <w:r w:rsidRPr="004C0901">
              <w:rPr>
                <w:bCs/>
                <w:iCs/>
              </w:rPr>
              <w:t xml:space="preserve"> спутниковой службы исследования Земли (активной) и службы радиоопределения в полосе частот 9200−10 400 МГц</w:t>
            </w:r>
            <w:r w:rsidRPr="004C0901">
              <w:rPr>
                <w:rFonts w:eastAsiaTheme="minorEastAsia"/>
                <w:lang w:eastAsia="zh-CN"/>
              </w:rPr>
              <w:t xml:space="preserve"> </w:t>
            </w:r>
            <w:r w:rsidRPr="004C0901">
              <w:rPr>
                <w:bCs/>
                <w:iCs/>
              </w:rPr>
              <w:t>с целью облегчить эксплуатацию обоих типов систем.</w:t>
            </w:r>
          </w:p>
        </w:tc>
      </w:tr>
      <w:tr w:rsidR="00764A5D" w:rsidRPr="004C0901" w14:paraId="14ABC214" w14:textId="77777777" w:rsidTr="00F61A1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B7888" w14:textId="77777777" w:rsidR="00764A5D" w:rsidRPr="004C0901" w:rsidRDefault="00764A5D" w:rsidP="00953815">
            <w:pPr>
              <w:spacing w:before="60" w:after="60"/>
              <w:rPr>
                <w:b/>
                <w:i/>
                <w:highlight w:val="lightGray"/>
              </w:rPr>
            </w:pPr>
            <w:r w:rsidRPr="004C0901">
              <w:rPr>
                <w:b/>
                <w:i/>
              </w:rPr>
              <w:lastRenderedPageBreak/>
              <w:t>Затрагиваемые службы радиосвязи</w:t>
            </w:r>
            <w:r w:rsidRPr="004C0901">
              <w:rPr>
                <w:bCs/>
                <w:i/>
              </w:rPr>
              <w:t>:</w:t>
            </w:r>
          </w:p>
          <w:p w14:paraId="4E6BB280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 w:rsidRPr="004C0901">
              <w:rPr>
                <w:bCs/>
                <w:iCs/>
              </w:rPr>
              <w:t>Спутниковая служба исследования Земли (активная), радиолокационная служба и радионавигационная служба.</w:t>
            </w:r>
          </w:p>
        </w:tc>
      </w:tr>
      <w:tr w:rsidR="00764A5D" w:rsidRPr="004C0901" w14:paraId="272A79E2" w14:textId="77777777" w:rsidTr="00F61A1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12A1F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Указание возможных трудностей</w:t>
            </w:r>
            <w:r w:rsidRPr="004C0901">
              <w:rPr>
                <w:bCs/>
                <w:i/>
              </w:rPr>
              <w:t>:</w:t>
            </w:r>
          </w:p>
          <w:p w14:paraId="0AF9AB3A" w14:textId="09022A02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/>
                <w:highlight w:val="lightGray"/>
              </w:rPr>
            </w:pPr>
          </w:p>
        </w:tc>
      </w:tr>
      <w:tr w:rsidR="00764A5D" w:rsidRPr="004C0901" w14:paraId="23B6C32E" w14:textId="77777777" w:rsidTr="00F61A1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29437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Ранее проведенные/текущие исследования по данному вопросу</w:t>
            </w:r>
            <w:r w:rsidRPr="004C0901">
              <w:rPr>
                <w:bCs/>
                <w:i/>
              </w:rPr>
              <w:t>:</w:t>
            </w:r>
          </w:p>
          <w:p w14:paraId="494CD5E6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 w:rsidRPr="004C0901">
              <w:rPr>
                <w:bCs/>
                <w:iCs/>
              </w:rPr>
              <w:t>Исследования в течение исследовательских периодов ВКР-07 и ВКР-15.</w:t>
            </w:r>
          </w:p>
        </w:tc>
      </w:tr>
      <w:tr w:rsidR="00764A5D" w:rsidRPr="004C0901" w14:paraId="57A1D3A0" w14:textId="77777777" w:rsidTr="00F61A1C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A8165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Кем будут проводиться исследования</w:t>
            </w:r>
            <w:r w:rsidRPr="004C0901">
              <w:rPr>
                <w:bCs/>
                <w:i/>
              </w:rPr>
              <w:t>:</w:t>
            </w:r>
          </w:p>
          <w:p w14:paraId="51F2D6AF" w14:textId="572FEAA9" w:rsidR="00764A5D" w:rsidRPr="004C0901" w:rsidRDefault="00F723CC" w:rsidP="00F723CC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  <w:color w:val="000000"/>
              </w:rPr>
              <w:t xml:space="preserve">РГ </w:t>
            </w:r>
            <w:r w:rsidR="00764A5D" w:rsidRPr="004C0901">
              <w:rPr>
                <w:bCs/>
                <w:iCs/>
                <w:color w:val="000000"/>
              </w:rPr>
              <w:t xml:space="preserve">5B/7C МСЭ-R </w:t>
            </w:r>
            <w:r w:rsidR="00764A5D" w:rsidRPr="004C0901">
              <w:rPr>
                <w:bCs/>
                <w:color w:val="000000"/>
              </w:rPr>
              <w:t>в качестве ответственной группы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2CCFD" w14:textId="77777777" w:rsidR="00764A5D" w:rsidRPr="004C0901" w:rsidRDefault="00764A5D" w:rsidP="000A3D1A">
            <w:pPr>
              <w:keepNext/>
              <w:keepLines/>
              <w:spacing w:before="60" w:after="60"/>
              <w:jc w:val="both"/>
              <w:rPr>
                <w:bCs/>
                <w:iCs/>
              </w:rPr>
            </w:pPr>
            <w:r w:rsidRPr="004C0901">
              <w:rPr>
                <w:b/>
                <w:i/>
              </w:rPr>
              <w:t>с участием</w:t>
            </w:r>
            <w:r w:rsidRPr="004C0901">
              <w:rPr>
                <w:bCs/>
                <w:i/>
              </w:rPr>
              <w:t>:</w:t>
            </w:r>
          </w:p>
          <w:p w14:paraId="0E1F08D0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 w:rsidRPr="004C0901">
              <w:rPr>
                <w:bCs/>
                <w:iCs/>
                <w:color w:val="000000"/>
              </w:rPr>
              <w:t>другие соответствующие РГ, администрации, Члены Сектора</w:t>
            </w:r>
          </w:p>
        </w:tc>
      </w:tr>
      <w:tr w:rsidR="00764A5D" w:rsidRPr="004C0901" w14:paraId="1F2890F0" w14:textId="77777777" w:rsidTr="00F61A1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08693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Затрагиваемые исследовательские комиссии МСЭ-R</w:t>
            </w:r>
            <w:r w:rsidRPr="004C0901">
              <w:rPr>
                <w:bCs/>
                <w:i/>
              </w:rPr>
              <w:t>:</w:t>
            </w:r>
          </w:p>
          <w:p w14:paraId="2477B35C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 w:rsidRPr="004C0901">
              <w:rPr>
                <w:bCs/>
                <w:iCs/>
              </w:rPr>
              <w:t>ИК</w:t>
            </w:r>
            <w:r w:rsidRPr="004C0901">
              <w:rPr>
                <w:rFonts w:eastAsia="SimSun"/>
                <w:bCs/>
                <w:iCs/>
                <w:lang w:eastAsia="zh-CN"/>
              </w:rPr>
              <w:t xml:space="preserve">5, </w:t>
            </w:r>
            <w:r w:rsidRPr="004C0901">
              <w:rPr>
                <w:bCs/>
                <w:iCs/>
              </w:rPr>
              <w:t>ИК7</w:t>
            </w:r>
          </w:p>
        </w:tc>
      </w:tr>
      <w:tr w:rsidR="00764A5D" w:rsidRPr="004C0901" w14:paraId="55740273" w14:textId="77777777" w:rsidTr="00F61A1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D09B9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Влияние на ресурсы МСЭ, включая финансовые последствия (см. K126)</w:t>
            </w:r>
            <w:r w:rsidRPr="004C0901">
              <w:rPr>
                <w:bCs/>
                <w:i/>
              </w:rPr>
              <w:t>:</w:t>
            </w:r>
          </w:p>
          <w:p w14:paraId="107AE370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</w:rPr>
            </w:pPr>
            <w:r w:rsidRPr="004C0901">
              <w:rPr>
                <w:bCs/>
              </w:rPr>
              <w:t>В настоящее время не выявлено никаких прямых финансовых последствий.</w:t>
            </w:r>
          </w:p>
        </w:tc>
      </w:tr>
      <w:tr w:rsidR="00764A5D" w:rsidRPr="004C0901" w14:paraId="3D3F5943" w14:textId="77777777" w:rsidTr="00F61A1C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EC98C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Общее региональное предложение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подлежит определению.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6DC8C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Предложение группы стран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подлежит определению.</w:t>
            </w:r>
          </w:p>
          <w:p w14:paraId="1BD7B4CA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Количество стран</w:t>
            </w:r>
            <w:r w:rsidRPr="00132D1C">
              <w:rPr>
                <w:bCs/>
                <w:i/>
              </w:rPr>
              <w:t>:</w:t>
            </w:r>
            <w:r w:rsidRPr="00132D1C">
              <w:rPr>
                <w:bCs/>
                <w:iCs/>
              </w:rPr>
              <w:t xml:space="preserve"> </w:t>
            </w:r>
            <w:r w:rsidRPr="004C0901">
              <w:rPr>
                <w:bCs/>
                <w:iCs/>
              </w:rPr>
              <w:t>подлежит определению.</w:t>
            </w:r>
          </w:p>
        </w:tc>
      </w:tr>
      <w:tr w:rsidR="00764A5D" w:rsidRPr="004C0901" w14:paraId="43FAE22A" w14:textId="77777777" w:rsidTr="00F61A1C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03BCD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Примечания</w:t>
            </w:r>
          </w:p>
          <w:p w14:paraId="1B1306DC" w14:textId="77777777" w:rsidR="00764A5D" w:rsidRPr="004C0901" w:rsidRDefault="00764A5D" w:rsidP="000A3D1A">
            <w:pPr>
              <w:keepNext/>
              <w:keepLines/>
              <w:spacing w:before="60" w:after="60"/>
              <w:rPr>
                <w:b/>
                <w:i/>
              </w:rPr>
            </w:pPr>
          </w:p>
        </w:tc>
      </w:tr>
    </w:tbl>
    <w:p w14:paraId="0DC12EA5" w14:textId="77777777" w:rsidR="004D2C7B" w:rsidRDefault="004D2C7B" w:rsidP="004D2C7B"/>
    <w:p w14:paraId="6D02F555" w14:textId="5BAE5BF1" w:rsidR="00724A2E" w:rsidRPr="004D2C7B" w:rsidRDefault="004D2C7B" w:rsidP="004D2C7B">
      <w:pPr>
        <w:jc w:val="center"/>
      </w:pPr>
      <w:r>
        <w:t>______________</w:t>
      </w:r>
    </w:p>
    <w:sectPr w:rsidR="00724A2E" w:rsidRPr="004D2C7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DABA" w14:textId="77777777" w:rsidR="005D5E43" w:rsidRDefault="005D5E43">
      <w:r>
        <w:separator/>
      </w:r>
    </w:p>
  </w:endnote>
  <w:endnote w:type="continuationSeparator" w:id="0">
    <w:p w14:paraId="6E714C39" w14:textId="77777777" w:rsidR="005D5E43" w:rsidRDefault="005D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5E9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CFA6A5" w14:textId="353AEF6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3815">
      <w:rPr>
        <w:noProof/>
      </w:rPr>
      <w:t>01.11.23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3465" w14:textId="57BFC85D" w:rsidR="00567276" w:rsidRPr="00764A5D" w:rsidRDefault="00764A5D" w:rsidP="00764A5D">
    <w:pPr>
      <w:pStyle w:val="Footer"/>
      <w:rPr>
        <w:lang w:val="en-US"/>
      </w:rPr>
    </w:pPr>
    <w:r>
      <w:fldChar w:fldCharType="begin"/>
    </w:r>
    <w:r w:rsidRPr="00764A5D">
      <w:instrText xml:space="preserve"> FILENAME \p  \* MERGEFORMAT </w:instrText>
    </w:r>
    <w:r>
      <w:fldChar w:fldCharType="separate"/>
    </w:r>
    <w:r w:rsidRPr="00764A5D">
      <w:t>P:\RUS\ITU-R\CONF-R\CMR23\000\062ADD27ADD13R.docx</w:t>
    </w:r>
    <w:r>
      <w:fldChar w:fldCharType="end"/>
    </w:r>
    <w:r>
      <w:t xml:space="preserve"> (</w:t>
    </w:r>
    <w:r>
      <w:rPr>
        <w:lang w:val="en-US"/>
      </w:rPr>
      <w:t>529006)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4007" w14:textId="13879E48" w:rsidR="00567276" w:rsidRPr="00764A5D" w:rsidRDefault="00567276" w:rsidP="00FB67E5">
    <w:pPr>
      <w:pStyle w:val="Footer"/>
      <w:rPr>
        <w:lang w:val="en-US"/>
      </w:rPr>
    </w:pPr>
    <w:r>
      <w:fldChar w:fldCharType="begin"/>
    </w:r>
    <w:r w:rsidRPr="00764A5D">
      <w:instrText xml:space="preserve"> FILENAME \p  \* MERGEFORMAT </w:instrText>
    </w:r>
    <w:r>
      <w:fldChar w:fldCharType="separate"/>
    </w:r>
    <w:r w:rsidR="00764A5D" w:rsidRPr="00764A5D">
      <w:t>P:\RUS\ITU-R\CONF-R\CMR23\000\062ADD27ADD13R.docx</w:t>
    </w:r>
    <w:r>
      <w:fldChar w:fldCharType="end"/>
    </w:r>
    <w:r w:rsidR="00764A5D">
      <w:t xml:space="preserve"> (</w:t>
    </w:r>
    <w:r w:rsidR="00764A5D">
      <w:rPr>
        <w:lang w:val="en-US"/>
      </w:rPr>
      <w:t>529006)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D77B" w14:textId="77777777" w:rsidR="005D5E43" w:rsidRDefault="005D5E43">
      <w:r>
        <w:rPr>
          <w:b/>
        </w:rPr>
        <w:t>_______________</w:t>
      </w:r>
    </w:p>
  </w:footnote>
  <w:footnote w:type="continuationSeparator" w:id="0">
    <w:p w14:paraId="22BE1D8E" w14:textId="77777777" w:rsidR="005D5E43" w:rsidRDefault="005D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F2A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633D0">
      <w:rPr>
        <w:noProof/>
      </w:rPr>
      <w:t>6</w:t>
    </w:r>
    <w:r>
      <w:fldChar w:fldCharType="end"/>
    </w:r>
  </w:p>
  <w:p w14:paraId="5BBC50B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62(Add.27)(Add.13)-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12152269">
    <w:abstractNumId w:val="0"/>
  </w:num>
  <w:num w:numId="2" w16cid:durableId="206020556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A764B"/>
    <w:rsid w:val="000C3F55"/>
    <w:rsid w:val="000D4733"/>
    <w:rsid w:val="000F33D8"/>
    <w:rsid w:val="000F39B4"/>
    <w:rsid w:val="00113D0B"/>
    <w:rsid w:val="00115010"/>
    <w:rsid w:val="001226EC"/>
    <w:rsid w:val="0012339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23406"/>
    <w:rsid w:val="00230582"/>
    <w:rsid w:val="002449AA"/>
    <w:rsid w:val="00245A1F"/>
    <w:rsid w:val="00290C74"/>
    <w:rsid w:val="002A2D3F"/>
    <w:rsid w:val="002B501C"/>
    <w:rsid w:val="002C0AAB"/>
    <w:rsid w:val="00300F84"/>
    <w:rsid w:val="003021DA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D2C7B"/>
    <w:rsid w:val="004F3B0D"/>
    <w:rsid w:val="0051315E"/>
    <w:rsid w:val="005144A9"/>
    <w:rsid w:val="00514E1F"/>
    <w:rsid w:val="00521B1D"/>
    <w:rsid w:val="005305D5"/>
    <w:rsid w:val="00540D1E"/>
    <w:rsid w:val="005633D0"/>
    <w:rsid w:val="005651C9"/>
    <w:rsid w:val="00567276"/>
    <w:rsid w:val="005755E2"/>
    <w:rsid w:val="0058627D"/>
    <w:rsid w:val="00597005"/>
    <w:rsid w:val="005A295E"/>
    <w:rsid w:val="005D1879"/>
    <w:rsid w:val="005D5E43"/>
    <w:rsid w:val="005D79A3"/>
    <w:rsid w:val="005E61DD"/>
    <w:rsid w:val="006023DF"/>
    <w:rsid w:val="006115BE"/>
    <w:rsid w:val="00614771"/>
    <w:rsid w:val="00620DD7"/>
    <w:rsid w:val="006539ED"/>
    <w:rsid w:val="00657DE0"/>
    <w:rsid w:val="00692C06"/>
    <w:rsid w:val="006A6E9B"/>
    <w:rsid w:val="007141EC"/>
    <w:rsid w:val="00724A2E"/>
    <w:rsid w:val="00763F4F"/>
    <w:rsid w:val="00764A5D"/>
    <w:rsid w:val="00775720"/>
    <w:rsid w:val="007917AE"/>
    <w:rsid w:val="007A08B5"/>
    <w:rsid w:val="007F7FFB"/>
    <w:rsid w:val="00811633"/>
    <w:rsid w:val="00812452"/>
    <w:rsid w:val="00815749"/>
    <w:rsid w:val="00854947"/>
    <w:rsid w:val="00872FC8"/>
    <w:rsid w:val="008B43F2"/>
    <w:rsid w:val="008C3257"/>
    <w:rsid w:val="008C401C"/>
    <w:rsid w:val="009119CC"/>
    <w:rsid w:val="00917C0A"/>
    <w:rsid w:val="00941A02"/>
    <w:rsid w:val="00953815"/>
    <w:rsid w:val="00966C93"/>
    <w:rsid w:val="00983EA8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1553F"/>
    <w:rsid w:val="00E2253F"/>
    <w:rsid w:val="00E43E99"/>
    <w:rsid w:val="00E5155F"/>
    <w:rsid w:val="00E65919"/>
    <w:rsid w:val="00E926D9"/>
    <w:rsid w:val="00E976C1"/>
    <w:rsid w:val="00EA0C0C"/>
    <w:rsid w:val="00EB66F7"/>
    <w:rsid w:val="00EF43E7"/>
    <w:rsid w:val="00F022E2"/>
    <w:rsid w:val="00F1578A"/>
    <w:rsid w:val="00F21A03"/>
    <w:rsid w:val="00F33B22"/>
    <w:rsid w:val="00F61A1C"/>
    <w:rsid w:val="00F65316"/>
    <w:rsid w:val="00F65C19"/>
    <w:rsid w:val="00F723CC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83195"/>
  <w15:docId w15:val="{642A60AE-9970-4703-B5DB-323AB5F7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01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5010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4B8B8-CF4E-440E-B572-893FEDAF3DD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BE713-F9B4-4B29-8621-04FBBB6D34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R23-WRC23-C-0062!A27-A13!MSW-R</vt:lpstr>
      <vt:lpstr>R23-WRC23-C-0062!A27-A13!MSW-R</vt:lpstr>
    </vt:vector>
  </TitlesOfParts>
  <Manager>General Secretariat - Pool</Manager>
  <Company>International Telecommunication Union (ITU)</Company>
  <LinksUpToDate>false</LinksUpToDate>
  <CharactersWithSpaces>10756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R23-WRC23-C-0062!A27-A13!MSW-R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18</cp:revision>
  <cp:lastPrinted>2003-06-17T08:22:00Z</cp:lastPrinted>
  <dcterms:created xsi:type="dcterms:W3CDTF">2023-10-11T13:32:00Z</dcterms:created>
  <dcterms:modified xsi:type="dcterms:W3CDTF">2023-11-02T08:53:00Z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