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FE3528" w14:paraId="524F94DA" w14:textId="77777777" w:rsidTr="0080079E">
        <w:trPr>
          <w:cantSplit/>
        </w:trPr>
        <w:tc>
          <w:tcPr>
            <w:tcW w:w="1418" w:type="dxa"/>
            <w:vAlign w:val="center"/>
          </w:tcPr>
          <w:p w14:paraId="7F500DBD" w14:textId="77777777" w:rsidR="0080079E" w:rsidRPr="00FE3528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FE3528">
              <w:rPr>
                <w:noProof/>
                <w:lang w:val="en-US"/>
              </w:rPr>
              <w:drawing>
                <wp:inline distT="0" distB="0" distL="0" distR="0" wp14:anchorId="21EF4E18" wp14:editId="7493B64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D2BFF20" w14:textId="77777777" w:rsidR="0080079E" w:rsidRPr="00FE3528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FE352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FE352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FE3528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BE74504" w14:textId="77777777" w:rsidR="0080079E" w:rsidRPr="00FE3528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FE3528">
              <w:rPr>
                <w:noProof/>
                <w:lang w:val="en-US"/>
              </w:rPr>
              <w:drawing>
                <wp:inline distT="0" distB="0" distL="0" distR="0" wp14:anchorId="61C4872D" wp14:editId="4B82AAFB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E3528" w14:paraId="77C7A5E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20E4656" w14:textId="77777777" w:rsidR="0090121B" w:rsidRPr="00FE3528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8AD349A" w14:textId="77777777" w:rsidR="0090121B" w:rsidRPr="00FE3528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FE3528" w14:paraId="10F4C5B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133697A" w14:textId="77777777" w:rsidR="0090121B" w:rsidRPr="00FE3528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C6244C2" w14:textId="77777777" w:rsidR="0090121B" w:rsidRPr="00FE3528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FE3528" w14:paraId="0143CE26" w14:textId="77777777" w:rsidTr="0090121B">
        <w:trPr>
          <w:cantSplit/>
        </w:trPr>
        <w:tc>
          <w:tcPr>
            <w:tcW w:w="6911" w:type="dxa"/>
            <w:gridSpan w:val="2"/>
          </w:tcPr>
          <w:p w14:paraId="195174B7" w14:textId="77777777" w:rsidR="0090121B" w:rsidRPr="00FE3528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FE3528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4F760A7" w14:textId="77777777" w:rsidR="0090121B" w:rsidRPr="00FE3528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FE3528">
              <w:rPr>
                <w:rFonts w:ascii="Verdana" w:hAnsi="Verdana"/>
                <w:b/>
                <w:sz w:val="18"/>
                <w:szCs w:val="18"/>
                <w:lang w:val="es-ES"/>
              </w:rPr>
              <w:t>Addéndum 15 al</w:t>
            </w:r>
            <w:r w:rsidRPr="00FE3528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62(Add.27)</w:t>
            </w:r>
            <w:r w:rsidR="0090121B" w:rsidRPr="00FE3528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FE3528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FE3528" w14:paraId="664C9E8B" w14:textId="77777777" w:rsidTr="0090121B">
        <w:trPr>
          <w:cantSplit/>
        </w:trPr>
        <w:tc>
          <w:tcPr>
            <w:tcW w:w="6911" w:type="dxa"/>
            <w:gridSpan w:val="2"/>
          </w:tcPr>
          <w:p w14:paraId="2148355D" w14:textId="77777777" w:rsidR="000A5B9A" w:rsidRPr="00FE352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6A33F50B" w14:textId="77777777" w:rsidR="000A5B9A" w:rsidRPr="00FE352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FE3528">
              <w:rPr>
                <w:rFonts w:ascii="Verdana" w:hAnsi="Verdana"/>
                <w:b/>
                <w:sz w:val="18"/>
                <w:szCs w:val="18"/>
                <w:lang w:val="es-ES"/>
              </w:rPr>
              <w:t>26 de septiembre de 2023</w:t>
            </w:r>
          </w:p>
        </w:tc>
      </w:tr>
      <w:tr w:rsidR="000A5B9A" w:rsidRPr="00FE3528" w14:paraId="7743F33A" w14:textId="77777777" w:rsidTr="0090121B">
        <w:trPr>
          <w:cantSplit/>
        </w:trPr>
        <w:tc>
          <w:tcPr>
            <w:tcW w:w="6911" w:type="dxa"/>
            <w:gridSpan w:val="2"/>
          </w:tcPr>
          <w:p w14:paraId="246B201A" w14:textId="77777777" w:rsidR="000A5B9A" w:rsidRPr="00FE352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3CBB449C" w14:textId="77777777" w:rsidR="000A5B9A" w:rsidRPr="00FE352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FE3528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FE3528" w14:paraId="475297EA" w14:textId="77777777" w:rsidTr="006744FC">
        <w:trPr>
          <w:cantSplit/>
        </w:trPr>
        <w:tc>
          <w:tcPr>
            <w:tcW w:w="10031" w:type="dxa"/>
            <w:gridSpan w:val="4"/>
          </w:tcPr>
          <w:p w14:paraId="04D7011E" w14:textId="77777777" w:rsidR="000A5B9A" w:rsidRPr="00FE352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FE3528" w14:paraId="3D7C26C9" w14:textId="77777777" w:rsidTr="0050008E">
        <w:trPr>
          <w:cantSplit/>
        </w:trPr>
        <w:tc>
          <w:tcPr>
            <w:tcW w:w="10031" w:type="dxa"/>
            <w:gridSpan w:val="4"/>
          </w:tcPr>
          <w:p w14:paraId="469AD8CE" w14:textId="77777777" w:rsidR="000A5B9A" w:rsidRPr="00FE3528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FE3528">
              <w:rPr>
                <w:lang w:val="es-ES"/>
              </w:rPr>
              <w:t>Propuestas Comunes de la Telecomunidad Asia-Pacífico</w:t>
            </w:r>
          </w:p>
        </w:tc>
      </w:tr>
      <w:tr w:rsidR="000A5B9A" w:rsidRPr="00FE3528" w14:paraId="220AE424" w14:textId="77777777" w:rsidTr="0050008E">
        <w:trPr>
          <w:cantSplit/>
        </w:trPr>
        <w:tc>
          <w:tcPr>
            <w:tcW w:w="10031" w:type="dxa"/>
            <w:gridSpan w:val="4"/>
          </w:tcPr>
          <w:p w14:paraId="5EE8BF97" w14:textId="2B6CEA30" w:rsidR="000A5B9A" w:rsidRPr="00FE3528" w:rsidRDefault="00FE3528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FE3528">
              <w:rPr>
                <w:lang w:val="es-ES"/>
              </w:rPr>
              <w:t>PROPUESTAS PARA LOS TRABAJOS DE LA CONFERENCIA</w:t>
            </w:r>
          </w:p>
        </w:tc>
      </w:tr>
      <w:tr w:rsidR="000A5B9A" w:rsidRPr="00FE3528" w14:paraId="037E9A3C" w14:textId="77777777" w:rsidTr="0050008E">
        <w:trPr>
          <w:cantSplit/>
        </w:trPr>
        <w:tc>
          <w:tcPr>
            <w:tcW w:w="10031" w:type="dxa"/>
            <w:gridSpan w:val="4"/>
          </w:tcPr>
          <w:p w14:paraId="16DEFC37" w14:textId="77777777" w:rsidR="000A5B9A" w:rsidRPr="00FE3528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FE3528" w14:paraId="43AE44C0" w14:textId="77777777" w:rsidTr="0050008E">
        <w:trPr>
          <w:cantSplit/>
        </w:trPr>
        <w:tc>
          <w:tcPr>
            <w:tcW w:w="10031" w:type="dxa"/>
            <w:gridSpan w:val="4"/>
          </w:tcPr>
          <w:p w14:paraId="2AEF9184" w14:textId="77777777" w:rsidR="000A5B9A" w:rsidRPr="00FE3528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FE3528">
              <w:rPr>
                <w:lang w:val="es-ES"/>
              </w:rPr>
              <w:t>Punto 10 del orden del día</w:t>
            </w:r>
          </w:p>
        </w:tc>
      </w:tr>
    </w:tbl>
    <w:bookmarkEnd w:id="5"/>
    <w:p w14:paraId="0F9064C0" w14:textId="77777777" w:rsidR="00CD4CFD" w:rsidRPr="00FE3528" w:rsidRDefault="00CD4CFD" w:rsidP="0010233B">
      <w:pPr>
        <w:pStyle w:val="Normalaftertitle"/>
        <w:rPr>
          <w:lang w:val="es-ES"/>
        </w:rPr>
      </w:pPr>
      <w:r w:rsidRPr="00FE3528">
        <w:rPr>
          <w:lang w:val="es-ES"/>
        </w:rPr>
        <w:t>10</w:t>
      </w:r>
      <w:r w:rsidRPr="00FE3528">
        <w:rPr>
          <w:lang w:val="es-ES"/>
        </w:rPr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FE3528">
        <w:rPr>
          <w:b/>
          <w:bCs/>
          <w:lang w:val="es-ES"/>
        </w:rPr>
        <w:t>804 (Rev.CMR-19)</w:t>
      </w:r>
      <w:r w:rsidRPr="00FE3528">
        <w:rPr>
          <w:lang w:val="es-ES"/>
        </w:rPr>
        <w:t>,</w:t>
      </w:r>
    </w:p>
    <w:p w14:paraId="124BD787" w14:textId="77777777" w:rsidR="000D6CF8" w:rsidRPr="000D6CF8" w:rsidRDefault="000D6CF8" w:rsidP="00AD6717">
      <w:pPr>
        <w:pStyle w:val="Headingb"/>
        <w:rPr>
          <w:rFonts w:eastAsia="SimSun"/>
        </w:rPr>
      </w:pPr>
      <w:r w:rsidRPr="00AD6717">
        <w:t>Introducción</w:t>
      </w:r>
    </w:p>
    <w:p w14:paraId="02981AE8" w14:textId="77777777" w:rsidR="000D6CF8" w:rsidRPr="000D6CF8" w:rsidRDefault="000D6CF8" w:rsidP="000D6CF8">
      <w:r w:rsidRPr="000D6CF8">
        <w:t>Los miembros de la APT no están a favor de que el punto 2.3 del orden del día preliminar de la CMR-27 se incluya en el orden del día de la CMR-27. Los miembros de la APT apoyan la inclusión de este punto en el orden del día preliminar de la CMR-31.</w:t>
      </w:r>
    </w:p>
    <w:p w14:paraId="204CE6FD" w14:textId="77777777" w:rsidR="000D6CF8" w:rsidRPr="000D6CF8" w:rsidRDefault="000D6CF8" w:rsidP="00AD6717">
      <w:pPr>
        <w:pStyle w:val="Headingb"/>
      </w:pPr>
      <w:r w:rsidRPr="000D6CF8">
        <w:t>Propuestas</w:t>
      </w:r>
    </w:p>
    <w:p w14:paraId="3175DBEA" w14:textId="77777777" w:rsidR="00363A65" w:rsidRPr="000D6CF8" w:rsidRDefault="00363A65" w:rsidP="002C1A52">
      <w:pPr>
        <w:rPr>
          <w:lang w:val="es-ES"/>
        </w:rPr>
      </w:pPr>
    </w:p>
    <w:p w14:paraId="11826266" w14:textId="77777777" w:rsidR="008750A8" w:rsidRPr="00FE352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FE3528">
        <w:rPr>
          <w:lang w:val="es-ES"/>
        </w:rPr>
        <w:br w:type="page"/>
      </w:r>
    </w:p>
    <w:p w14:paraId="520593FB" w14:textId="77777777" w:rsidR="00583CCC" w:rsidRPr="00FE3528" w:rsidRDefault="00CD4CFD">
      <w:pPr>
        <w:pStyle w:val="Proposal"/>
        <w:rPr>
          <w:lang w:val="es-ES"/>
        </w:rPr>
      </w:pPr>
      <w:r w:rsidRPr="00FE3528">
        <w:rPr>
          <w:lang w:val="es-ES"/>
        </w:rPr>
        <w:lastRenderedPageBreak/>
        <w:t>ADD</w:t>
      </w:r>
      <w:r w:rsidRPr="00FE3528">
        <w:rPr>
          <w:lang w:val="es-ES"/>
        </w:rPr>
        <w:tab/>
        <w:t>ACP/62A27A15/1</w:t>
      </w:r>
    </w:p>
    <w:p w14:paraId="3B0AF57A" w14:textId="28DF9BEF" w:rsidR="00583CCC" w:rsidRPr="00FE3528" w:rsidRDefault="00CD4CFD">
      <w:pPr>
        <w:pStyle w:val="ResNo"/>
        <w:rPr>
          <w:lang w:val="es-ES"/>
        </w:rPr>
      </w:pPr>
      <w:r w:rsidRPr="00FE3528">
        <w:rPr>
          <w:lang w:val="es-ES"/>
        </w:rPr>
        <w:t>Proyecto de nueva Resolución [</w:t>
      </w:r>
      <w:r w:rsidR="000D6CF8">
        <w:t>ACP-AI10-2</w:t>
      </w:r>
      <w:r w:rsidRPr="00FE3528">
        <w:rPr>
          <w:lang w:val="es-ES"/>
        </w:rPr>
        <w:t>]</w:t>
      </w:r>
      <w:r w:rsidR="000D6CF8" w:rsidRPr="000D6CF8">
        <w:t xml:space="preserve"> </w:t>
      </w:r>
      <w:r w:rsidR="000D6CF8">
        <w:t>(CMR-23)</w:t>
      </w:r>
    </w:p>
    <w:p w14:paraId="01269957" w14:textId="6D4D670B" w:rsidR="00ED7CB4" w:rsidRPr="00322CC6" w:rsidRDefault="00ED7CB4" w:rsidP="00ED7CB4">
      <w:pPr>
        <w:pStyle w:val="Restitle"/>
      </w:pPr>
      <w:bookmarkStart w:id="6" w:name="_Toc319401924"/>
      <w:bookmarkStart w:id="7" w:name="_Toc450048855"/>
      <w:r>
        <w:t>Orden del día preliminar de la Conferencia Mundial</w:t>
      </w:r>
      <w:r w:rsidR="00674F4E">
        <w:br/>
      </w:r>
      <w:r>
        <w:t>de Radiocomunicaciones de 2031</w:t>
      </w:r>
      <w:bookmarkEnd w:id="6"/>
      <w:bookmarkEnd w:id="7"/>
    </w:p>
    <w:p w14:paraId="40D555E7" w14:textId="77777777" w:rsidR="00ED7CB4" w:rsidRDefault="00ED7CB4" w:rsidP="00ED7CB4">
      <w:pPr>
        <w:pStyle w:val="Normalaftertitle"/>
        <w:jc w:val="both"/>
      </w:pPr>
      <w:r>
        <w:t>La Conferencia Mundial de Radiocomunicaciones (Dubái, 2023),</w:t>
      </w:r>
    </w:p>
    <w:p w14:paraId="534D5AB5" w14:textId="77777777" w:rsidR="00ED7CB4" w:rsidRDefault="00ED7CB4" w:rsidP="00ED7CB4">
      <w:r>
        <w:t>…</w:t>
      </w:r>
    </w:p>
    <w:p w14:paraId="599DA440" w14:textId="77777777" w:rsidR="00ED7CB4" w:rsidRDefault="00ED7CB4" w:rsidP="00ED7CB4">
      <w:r>
        <w:t>2</w:t>
      </w:r>
      <w:r>
        <w:tab/>
        <w:t>sobre la base de las propuestas de las administraciones y del Informe de la Reunión Preparatoria de la Conferencia, y teniendo en cuenta los resultados de la CMR</w:t>
      </w:r>
      <w:r>
        <w:noBreakHyphen/>
        <w:t>27, considerar y tomar las medidas adecuadas con respecto a los temas siguientes:</w:t>
      </w:r>
    </w:p>
    <w:p w14:paraId="0FB30491" w14:textId="77777777" w:rsidR="00ED7CB4" w:rsidRDefault="00ED7CB4" w:rsidP="00ED7CB4">
      <w:r>
        <w:t>…</w:t>
      </w:r>
    </w:p>
    <w:p w14:paraId="61C2F5EE" w14:textId="3A26535D" w:rsidR="00ED7CB4" w:rsidRPr="00345030" w:rsidRDefault="00ED7CB4" w:rsidP="00ED7CB4">
      <w:pPr>
        <w:rPr>
          <w:rFonts w:eastAsia="SimSun"/>
          <w:bCs/>
          <w:iCs/>
        </w:rPr>
      </w:pPr>
      <w:r>
        <w:t>2.6</w:t>
      </w:r>
      <w:r>
        <w:tab/>
        <w:t>considerar la atribución de la totalidad o partes de la banda de frecuencias [43,5</w:t>
      </w:r>
      <w:r w:rsidR="009F4DDD">
        <w:noBreakHyphen/>
      </w:r>
      <w:r>
        <w:t>45,5</w:t>
      </w:r>
      <w:r w:rsidR="009F4DDD">
        <w:t> </w:t>
      </w:r>
      <w:r>
        <w:t xml:space="preserve">GHz] al servicio fijo por satélite, de conformidad con la Resolución </w:t>
      </w:r>
      <w:r>
        <w:rPr>
          <w:b/>
        </w:rPr>
        <w:t>177</w:t>
      </w:r>
      <w:r>
        <w:t xml:space="preserve"> </w:t>
      </w:r>
      <w:r>
        <w:rPr>
          <w:b/>
        </w:rPr>
        <w:t>(CMR</w:t>
      </w:r>
      <w:r>
        <w:rPr>
          <w:b/>
        </w:rPr>
        <w:noBreakHyphen/>
        <w:t>19)</w:t>
      </w:r>
      <w:r>
        <w:t>;</w:t>
      </w:r>
    </w:p>
    <w:p w14:paraId="0F61A1B3" w14:textId="77777777" w:rsidR="00ED7CB4" w:rsidRDefault="00ED7CB4" w:rsidP="00ED7CB4">
      <w:r>
        <w:t>…</w:t>
      </w:r>
    </w:p>
    <w:p w14:paraId="2F851BA2" w14:textId="77777777" w:rsidR="00ED7CB4" w:rsidRDefault="00ED7CB4" w:rsidP="00ED7CB4">
      <w:pPr>
        <w:pStyle w:val="Reasons"/>
      </w:pPr>
      <w:r>
        <w:rPr>
          <w:b/>
        </w:rPr>
        <w:t>Motivos:</w:t>
      </w:r>
      <w:r>
        <w:tab/>
        <w:t>Los miembros de la APT no están a favor de que el punto 2.3 del orden del día preliminar de la CMR-27 se incluya en el orden del día de la CMR-27. Los miembros de la APT apoyan la inclusión de este punto en el orden del día preliminar de la CMR-31.</w:t>
      </w:r>
    </w:p>
    <w:p w14:paraId="4A18512F" w14:textId="1FF0179E" w:rsidR="00583CCC" w:rsidRPr="00674F4E" w:rsidRDefault="00ED7CB4" w:rsidP="00674F4E">
      <w:pPr>
        <w:spacing w:before="360"/>
        <w:jc w:val="center"/>
      </w:pPr>
      <w:r>
        <w:t>_____________</w:t>
      </w:r>
    </w:p>
    <w:sectPr w:rsidR="00583CCC" w:rsidRPr="00674F4E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6A61" w14:textId="77777777" w:rsidR="00D6702C" w:rsidRDefault="00D6702C">
      <w:r>
        <w:separator/>
      </w:r>
    </w:p>
  </w:endnote>
  <w:endnote w:type="continuationSeparator" w:id="0">
    <w:p w14:paraId="01AEDD9E" w14:textId="77777777" w:rsidR="00D6702C" w:rsidRDefault="00D6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465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87A35" w14:textId="5DCAE2B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4F4E">
      <w:rPr>
        <w:noProof/>
      </w:rPr>
      <w:t>20.10.23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ADE8" w14:textId="058DC3F8" w:rsidR="0077084A" w:rsidRDefault="00674F4E" w:rsidP="009F4DDD">
    <w:pPr>
      <w:pStyle w:val="Footer"/>
      <w:rPr>
        <w:lang w:val="en-US"/>
      </w:rPr>
    </w:pPr>
    <w:r>
      <w:fldChar w:fldCharType="begin"/>
    </w:r>
    <w:r w:rsidRPr="00674F4E">
      <w:rPr>
        <w:lang w:val="en-GB"/>
      </w:rPr>
      <w:instrText xml:space="preserve"> FILENAME \p  \* MERGEFORMAT </w:instrText>
    </w:r>
    <w:r>
      <w:fldChar w:fldCharType="separate"/>
    </w:r>
    <w:r w:rsidR="009F4DDD" w:rsidRPr="00674F4E">
      <w:rPr>
        <w:lang w:val="en-GB"/>
      </w:rPr>
      <w:t>P:\ESP\ITU-R\CONF-R\CMR23\000\062ADD27ADD15S.docx</w:t>
    </w:r>
    <w:r>
      <w:fldChar w:fldCharType="end"/>
    </w:r>
    <w:r w:rsidR="009F4DDD" w:rsidRPr="00674F4E">
      <w:rPr>
        <w:lang w:val="en-GB"/>
      </w:rPr>
      <w:t xml:space="preserve"> (529008)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335F" w14:textId="295D7E22" w:rsidR="0077084A" w:rsidRPr="00CD4CFD" w:rsidRDefault="00674F4E" w:rsidP="009F4DDD">
    <w:pPr>
      <w:pStyle w:val="Footer"/>
      <w:rPr>
        <w:lang w:val="en-US"/>
      </w:rPr>
    </w:pPr>
    <w:r>
      <w:fldChar w:fldCharType="begin"/>
    </w:r>
    <w:r w:rsidRPr="00674F4E">
      <w:rPr>
        <w:lang w:val="en-GB"/>
      </w:rPr>
      <w:instrText xml:space="preserve"> FILENAME </w:instrText>
    </w:r>
    <w:r w:rsidRPr="00674F4E">
      <w:rPr>
        <w:lang w:val="en-GB"/>
      </w:rPr>
      <w:instrText xml:space="preserve">\p  \* MERGEFORMAT </w:instrText>
    </w:r>
    <w:r>
      <w:fldChar w:fldCharType="separate"/>
    </w:r>
    <w:r w:rsidR="009F4DDD" w:rsidRPr="00674F4E">
      <w:rPr>
        <w:lang w:val="en-GB"/>
      </w:rPr>
      <w:t>P:\ESP\ITU-R\CONF-R\CMR23\000\062ADD27ADD15S.docx</w:t>
    </w:r>
    <w:r>
      <w:fldChar w:fldCharType="end"/>
    </w:r>
    <w:r w:rsidR="009F4DDD" w:rsidRPr="00674F4E">
      <w:rPr>
        <w:lang w:val="en-GB"/>
      </w:rPr>
      <w:t xml:space="preserve"> (529008)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8F49" w14:textId="77777777" w:rsidR="00D6702C" w:rsidRDefault="00D6702C">
      <w:r>
        <w:rPr>
          <w:b/>
        </w:rPr>
        <w:t>_______________</w:t>
      </w:r>
    </w:p>
  </w:footnote>
  <w:footnote w:type="continuationSeparator" w:id="0">
    <w:p w14:paraId="332303B9" w14:textId="77777777" w:rsidR="00D6702C" w:rsidRDefault="00D6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54B6" w14:textId="5125C643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134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8A9F16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62(Add.27)(Add.15)-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2337966">
    <w:abstractNumId w:val="8"/>
  </w:num>
  <w:num w:numId="2" w16cid:durableId="195324746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19989107">
    <w:abstractNumId w:val="9"/>
  </w:num>
  <w:num w:numId="4" w16cid:durableId="644941681">
    <w:abstractNumId w:val="7"/>
  </w:num>
  <w:num w:numId="5" w16cid:durableId="1573199289">
    <w:abstractNumId w:val="6"/>
  </w:num>
  <w:num w:numId="6" w16cid:durableId="1843009082">
    <w:abstractNumId w:val="5"/>
  </w:num>
  <w:num w:numId="7" w16cid:durableId="1051080017">
    <w:abstractNumId w:val="4"/>
  </w:num>
  <w:num w:numId="8" w16cid:durableId="1203325580">
    <w:abstractNumId w:val="3"/>
  </w:num>
  <w:num w:numId="9" w16cid:durableId="342557028">
    <w:abstractNumId w:val="2"/>
  </w:num>
  <w:num w:numId="10" w16cid:durableId="505749702">
    <w:abstractNumId w:val="1"/>
  </w:num>
  <w:num w:numId="11" w16cid:durableId="128299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284E"/>
    <w:rsid w:val="00087AE8"/>
    <w:rsid w:val="00091054"/>
    <w:rsid w:val="000A2A7D"/>
    <w:rsid w:val="000A5B9A"/>
    <w:rsid w:val="000D6CF8"/>
    <w:rsid w:val="000E134A"/>
    <w:rsid w:val="000E5BF9"/>
    <w:rsid w:val="000F0E6D"/>
    <w:rsid w:val="0010233B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75CE2"/>
    <w:rsid w:val="002810B6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83CCC"/>
    <w:rsid w:val="0059098E"/>
    <w:rsid w:val="005D46FB"/>
    <w:rsid w:val="005E213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74F4E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9F4DDD"/>
    <w:rsid w:val="00A021CC"/>
    <w:rsid w:val="00A118DB"/>
    <w:rsid w:val="00A37B1D"/>
    <w:rsid w:val="00A4450C"/>
    <w:rsid w:val="00AA5E6C"/>
    <w:rsid w:val="00AC49B1"/>
    <w:rsid w:val="00AD6717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4CFD"/>
    <w:rsid w:val="00CD5FEE"/>
    <w:rsid w:val="00CE60D2"/>
    <w:rsid w:val="00CE7431"/>
    <w:rsid w:val="00D00CA8"/>
    <w:rsid w:val="00D0288A"/>
    <w:rsid w:val="00D6702C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D7CB4"/>
    <w:rsid w:val="00F32316"/>
    <w:rsid w:val="00F66597"/>
    <w:rsid w:val="00F675D0"/>
    <w:rsid w:val="00F8150C"/>
    <w:rsid w:val="00F87AC6"/>
    <w:rsid w:val="00FD03C4"/>
    <w:rsid w:val="00FE3528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EC21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qFormat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RestitleChar">
    <w:name w:val="Res_title Char"/>
    <w:link w:val="Restitle"/>
    <w:qFormat/>
    <w:rsid w:val="00ED7CB4"/>
    <w:rPr>
      <w:rFonts w:ascii="Times New Roman Bold" w:hAnsi="Times New Roman Bold"/>
      <w:b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ED7CB4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39CE-E3C5-4FF1-B77D-AA6783D9765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CB1E40E4-754B-402D-9E55-FC55A68451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D71F9D-6401-4539-9094-DD806F79D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E98F0-4FF5-4A15-9469-2702B6F521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021A8A-BFBC-415D-A3CF-B22E73C4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311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R23-WRC23-C-0062!A27-A15!MSW-S</vt:lpstr>
      <vt:lpstr>R23-WRC23-C-0062!A27-A15!MSW-S</vt:lpstr>
    </vt:vector>
  </TitlesOfParts>
  <Manager>Secretaría General - Pool</Manager>
  <Company>Unión Internacional de Telecomunicaciones (UIT)</Company>
  <LinksUpToDate>false</LinksUpToDate>
  <CharactersWithSpaces>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R23-WRC23-C-0062!A27-A15!MSW-S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10</cp:revision>
  <cp:lastPrinted>2003-02-19T20:20:00Z</cp:lastPrinted>
  <dcterms:created xsi:type="dcterms:W3CDTF">2023-10-20T09:25:00Z</dcterms:created>
  <dcterms:modified xsi:type="dcterms:W3CDTF">2023-10-23T13:43:00Z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