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93640" w14:paraId="48A8DB66" w14:textId="77777777" w:rsidTr="00752552">
        <w:trPr>
          <w:cantSplit/>
          <w:trHeight w:val="20"/>
        </w:trPr>
        <w:tc>
          <w:tcPr>
            <w:tcW w:w="1589" w:type="dxa"/>
            <w:vAlign w:val="center"/>
          </w:tcPr>
          <w:p w14:paraId="65CDB832" w14:textId="77777777" w:rsidR="00752552" w:rsidRPr="00093640" w:rsidRDefault="00752552" w:rsidP="00752552">
            <w:pPr>
              <w:spacing w:before="0"/>
              <w:jc w:val="left"/>
              <w:rPr>
                <w:b/>
                <w:bCs/>
                <w:rtl/>
                <w:lang w:bidi="ar-EG"/>
              </w:rPr>
            </w:pPr>
            <w:r w:rsidRPr="00093640">
              <w:rPr>
                <w:noProof/>
                <w:lang w:val="en-GB" w:bidi="ar-EG"/>
              </w:rPr>
              <w:drawing>
                <wp:inline distT="0" distB="0" distL="0" distR="0" wp14:anchorId="0F1DF9F3" wp14:editId="0C0A93B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0204A88" w14:textId="77777777" w:rsidR="00752552" w:rsidRPr="00093640" w:rsidRDefault="00752552" w:rsidP="00752552">
            <w:pPr>
              <w:pStyle w:val="LOGO"/>
              <w:framePr w:hSpace="0" w:wrap="auto" w:xAlign="left" w:yAlign="inline"/>
              <w:rPr>
                <w:rtl/>
              </w:rPr>
            </w:pPr>
            <w:r w:rsidRPr="00093640">
              <w:rPr>
                <w:rtl/>
              </w:rPr>
              <w:t xml:space="preserve">المؤتمر العالمي للاتصالات الراديوية </w:t>
            </w:r>
            <w:r w:rsidRPr="00093640">
              <w:t>(WRC-23)</w:t>
            </w:r>
          </w:p>
          <w:p w14:paraId="11D7FA42" w14:textId="77777777" w:rsidR="00752552" w:rsidRPr="00093640" w:rsidRDefault="00752552" w:rsidP="00752552">
            <w:pPr>
              <w:rPr>
                <w:b/>
                <w:bCs/>
                <w:rtl/>
                <w:lang w:bidi="ar-EG"/>
              </w:rPr>
            </w:pPr>
            <w:r w:rsidRPr="00093640">
              <w:rPr>
                <w:b/>
                <w:bCs/>
                <w:sz w:val="26"/>
                <w:szCs w:val="26"/>
                <w:rtl/>
              </w:rPr>
              <w:t xml:space="preserve">دبي، </w:t>
            </w:r>
            <w:r w:rsidRPr="00093640">
              <w:rPr>
                <w:b/>
                <w:bCs/>
                <w:sz w:val="26"/>
                <w:szCs w:val="26"/>
                <w:lang w:bidi="ar-EG"/>
              </w:rPr>
              <w:t>20</w:t>
            </w:r>
            <w:r w:rsidRPr="00093640">
              <w:rPr>
                <w:b/>
                <w:bCs/>
                <w:sz w:val="26"/>
                <w:szCs w:val="26"/>
                <w:rtl/>
                <w:lang w:bidi="ar-EG"/>
              </w:rPr>
              <w:t xml:space="preserve"> نوفمبر – </w:t>
            </w:r>
            <w:r w:rsidRPr="00093640">
              <w:rPr>
                <w:b/>
                <w:bCs/>
                <w:sz w:val="26"/>
                <w:szCs w:val="26"/>
                <w:lang w:bidi="ar-EG"/>
              </w:rPr>
              <w:t>15</w:t>
            </w:r>
            <w:r w:rsidRPr="00093640">
              <w:rPr>
                <w:b/>
                <w:bCs/>
                <w:sz w:val="26"/>
                <w:szCs w:val="26"/>
                <w:rtl/>
                <w:lang w:bidi="ar-EG"/>
              </w:rPr>
              <w:t xml:space="preserve"> ديسمبر </w:t>
            </w:r>
            <w:r w:rsidRPr="00093640">
              <w:rPr>
                <w:b/>
                <w:bCs/>
                <w:sz w:val="26"/>
                <w:szCs w:val="26"/>
                <w:lang w:bidi="ar-EG"/>
              </w:rPr>
              <w:t>2023</w:t>
            </w:r>
          </w:p>
        </w:tc>
        <w:tc>
          <w:tcPr>
            <w:tcW w:w="1982" w:type="dxa"/>
            <w:vAlign w:val="center"/>
          </w:tcPr>
          <w:p w14:paraId="25A867F5" w14:textId="77777777" w:rsidR="00752552" w:rsidRPr="00093640" w:rsidRDefault="00752552" w:rsidP="00752552">
            <w:pPr>
              <w:jc w:val="right"/>
              <w:rPr>
                <w:rtl/>
                <w:lang w:bidi="ar-EG"/>
              </w:rPr>
            </w:pPr>
            <w:bookmarkStart w:id="0" w:name="ditulogo"/>
            <w:bookmarkEnd w:id="0"/>
            <w:r w:rsidRPr="00093640">
              <w:rPr>
                <w:noProof/>
              </w:rPr>
              <w:drawing>
                <wp:inline distT="0" distB="0" distL="0" distR="0" wp14:anchorId="0CD2261B" wp14:editId="750CA3F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93640" w14:paraId="652F3F05" w14:textId="77777777" w:rsidTr="00752552">
        <w:trPr>
          <w:cantSplit/>
          <w:trHeight w:val="20"/>
        </w:trPr>
        <w:tc>
          <w:tcPr>
            <w:tcW w:w="6696" w:type="dxa"/>
            <w:gridSpan w:val="2"/>
            <w:tcBorders>
              <w:bottom w:val="single" w:sz="12" w:space="0" w:color="auto"/>
            </w:tcBorders>
          </w:tcPr>
          <w:p w14:paraId="10F5B724" w14:textId="77777777" w:rsidR="000D1EE4" w:rsidRPr="00093640" w:rsidRDefault="000D1EE4" w:rsidP="000D1EE4">
            <w:pPr>
              <w:rPr>
                <w:rtl/>
                <w:lang w:bidi="ar-EG"/>
              </w:rPr>
            </w:pPr>
          </w:p>
        </w:tc>
        <w:tc>
          <w:tcPr>
            <w:tcW w:w="2970" w:type="dxa"/>
            <w:gridSpan w:val="2"/>
            <w:tcBorders>
              <w:bottom w:val="single" w:sz="12" w:space="0" w:color="auto"/>
            </w:tcBorders>
          </w:tcPr>
          <w:p w14:paraId="3D7FA6D0" w14:textId="77777777" w:rsidR="000D1EE4" w:rsidRPr="00093640" w:rsidRDefault="000D1EE4" w:rsidP="000D1EE4">
            <w:pPr>
              <w:rPr>
                <w:lang w:val="en-GB" w:bidi="ar-EG"/>
              </w:rPr>
            </w:pPr>
          </w:p>
        </w:tc>
      </w:tr>
      <w:tr w:rsidR="000D1EE4" w:rsidRPr="00093640" w14:paraId="5A121D75" w14:textId="77777777" w:rsidTr="00752552">
        <w:trPr>
          <w:cantSplit/>
          <w:trHeight w:val="20"/>
        </w:trPr>
        <w:tc>
          <w:tcPr>
            <w:tcW w:w="6696" w:type="dxa"/>
            <w:gridSpan w:val="2"/>
            <w:tcBorders>
              <w:top w:val="single" w:sz="12" w:space="0" w:color="auto"/>
            </w:tcBorders>
          </w:tcPr>
          <w:p w14:paraId="60918B44" w14:textId="77777777" w:rsidR="000D1EE4" w:rsidRPr="00093640" w:rsidRDefault="000D1EE4" w:rsidP="000D1EE4">
            <w:pPr>
              <w:rPr>
                <w:b/>
                <w:bCs/>
                <w:rtl/>
                <w:lang w:bidi="ar-EG"/>
              </w:rPr>
            </w:pPr>
          </w:p>
        </w:tc>
        <w:tc>
          <w:tcPr>
            <w:tcW w:w="2970" w:type="dxa"/>
            <w:gridSpan w:val="2"/>
            <w:tcBorders>
              <w:top w:val="single" w:sz="12" w:space="0" w:color="auto"/>
            </w:tcBorders>
          </w:tcPr>
          <w:p w14:paraId="4A98917C" w14:textId="77777777" w:rsidR="000D1EE4" w:rsidRPr="00093640" w:rsidRDefault="000D1EE4" w:rsidP="000D1EE4">
            <w:pPr>
              <w:rPr>
                <w:b/>
                <w:bCs/>
                <w:lang w:bidi="ar-EG"/>
              </w:rPr>
            </w:pPr>
          </w:p>
        </w:tc>
      </w:tr>
      <w:tr w:rsidR="000D1EE4" w:rsidRPr="00093640" w14:paraId="23ACB34B" w14:textId="77777777" w:rsidTr="00752552">
        <w:trPr>
          <w:cantSplit/>
        </w:trPr>
        <w:tc>
          <w:tcPr>
            <w:tcW w:w="6696" w:type="dxa"/>
            <w:gridSpan w:val="2"/>
          </w:tcPr>
          <w:p w14:paraId="0401026D" w14:textId="77777777" w:rsidR="000D1EE4" w:rsidRPr="00093640" w:rsidRDefault="00E50850" w:rsidP="005B1028">
            <w:pPr>
              <w:spacing w:before="60" w:after="60" w:line="260" w:lineRule="exact"/>
              <w:jc w:val="left"/>
              <w:rPr>
                <w:b/>
                <w:bCs/>
                <w:rtl/>
              </w:rPr>
            </w:pPr>
            <w:r w:rsidRPr="00093640">
              <w:rPr>
                <w:b/>
                <w:bCs/>
                <w:rtl/>
              </w:rPr>
              <w:t>الجلسة العامة</w:t>
            </w:r>
          </w:p>
        </w:tc>
        <w:tc>
          <w:tcPr>
            <w:tcW w:w="2970" w:type="dxa"/>
            <w:gridSpan w:val="2"/>
          </w:tcPr>
          <w:p w14:paraId="35C6B8CF" w14:textId="77777777" w:rsidR="000D1EE4" w:rsidRPr="00093640" w:rsidRDefault="00E50850" w:rsidP="005B1028">
            <w:pPr>
              <w:spacing w:before="60" w:after="60" w:line="260" w:lineRule="exact"/>
              <w:jc w:val="left"/>
              <w:rPr>
                <w:b/>
                <w:bCs/>
                <w:rtl/>
              </w:rPr>
            </w:pPr>
            <w:r w:rsidRPr="00093640">
              <w:rPr>
                <w:rFonts w:eastAsia="SimSun"/>
                <w:b/>
                <w:bCs/>
                <w:rtl/>
              </w:rPr>
              <w:t>الإضافة 4</w:t>
            </w:r>
            <w:r w:rsidRPr="00093640">
              <w:rPr>
                <w:rFonts w:eastAsia="SimSun"/>
                <w:b/>
                <w:bCs/>
                <w:rtl/>
              </w:rPr>
              <w:br/>
              <w:t xml:space="preserve">للوثيقة </w:t>
            </w:r>
            <w:r w:rsidRPr="00093640">
              <w:rPr>
                <w:rFonts w:eastAsia="SimSun"/>
                <w:b/>
                <w:bCs/>
              </w:rPr>
              <w:t>62(Add.</w:t>
            </w:r>
            <w:proofErr w:type="gramStart"/>
            <w:r w:rsidRPr="00093640">
              <w:rPr>
                <w:rFonts w:eastAsia="SimSun"/>
                <w:b/>
                <w:bCs/>
              </w:rPr>
              <w:t>27)-</w:t>
            </w:r>
            <w:proofErr w:type="gramEnd"/>
            <w:r w:rsidRPr="00093640">
              <w:rPr>
                <w:rFonts w:eastAsia="SimSun"/>
                <w:b/>
                <w:bCs/>
              </w:rPr>
              <w:t>A</w:t>
            </w:r>
          </w:p>
        </w:tc>
      </w:tr>
      <w:tr w:rsidR="000D1EE4" w:rsidRPr="00093640" w14:paraId="27E2F4A9" w14:textId="77777777" w:rsidTr="00752552">
        <w:trPr>
          <w:cantSplit/>
        </w:trPr>
        <w:tc>
          <w:tcPr>
            <w:tcW w:w="6696" w:type="dxa"/>
            <w:gridSpan w:val="2"/>
          </w:tcPr>
          <w:p w14:paraId="336712C6" w14:textId="77777777" w:rsidR="000D1EE4" w:rsidRPr="00093640" w:rsidRDefault="000D1EE4" w:rsidP="005B1028">
            <w:pPr>
              <w:spacing w:before="60" w:after="60" w:line="260" w:lineRule="exact"/>
              <w:jc w:val="left"/>
              <w:rPr>
                <w:b/>
                <w:bCs/>
                <w:rtl/>
              </w:rPr>
            </w:pPr>
          </w:p>
        </w:tc>
        <w:tc>
          <w:tcPr>
            <w:tcW w:w="2970" w:type="dxa"/>
            <w:gridSpan w:val="2"/>
          </w:tcPr>
          <w:p w14:paraId="1447F732" w14:textId="77777777" w:rsidR="000D1EE4" w:rsidRPr="00093640" w:rsidRDefault="00E50850" w:rsidP="005B1028">
            <w:pPr>
              <w:spacing w:before="60" w:after="60" w:line="260" w:lineRule="exact"/>
              <w:jc w:val="left"/>
              <w:rPr>
                <w:b/>
                <w:bCs/>
                <w:rtl/>
              </w:rPr>
            </w:pPr>
            <w:r w:rsidRPr="00093640">
              <w:rPr>
                <w:rFonts w:eastAsia="SimSun"/>
                <w:b/>
                <w:bCs/>
              </w:rPr>
              <w:t>26</w:t>
            </w:r>
            <w:r w:rsidRPr="00093640">
              <w:rPr>
                <w:rFonts w:eastAsia="SimSun"/>
                <w:b/>
                <w:bCs/>
                <w:rtl/>
              </w:rPr>
              <w:t xml:space="preserve"> سبتمبر </w:t>
            </w:r>
            <w:r w:rsidRPr="00093640">
              <w:rPr>
                <w:rFonts w:eastAsia="SimSun"/>
                <w:b/>
                <w:bCs/>
              </w:rPr>
              <w:t>2023</w:t>
            </w:r>
          </w:p>
        </w:tc>
      </w:tr>
      <w:tr w:rsidR="000D1EE4" w:rsidRPr="00093640" w14:paraId="028D8081" w14:textId="77777777" w:rsidTr="00752552">
        <w:trPr>
          <w:cantSplit/>
        </w:trPr>
        <w:tc>
          <w:tcPr>
            <w:tcW w:w="6696" w:type="dxa"/>
            <w:gridSpan w:val="2"/>
          </w:tcPr>
          <w:p w14:paraId="48D0B369" w14:textId="77777777" w:rsidR="000D1EE4" w:rsidRPr="00093640" w:rsidRDefault="000D1EE4" w:rsidP="005B1028">
            <w:pPr>
              <w:spacing w:before="60" w:after="60" w:line="260" w:lineRule="exact"/>
              <w:jc w:val="left"/>
              <w:rPr>
                <w:b/>
                <w:bCs/>
                <w:rtl/>
              </w:rPr>
            </w:pPr>
          </w:p>
        </w:tc>
        <w:tc>
          <w:tcPr>
            <w:tcW w:w="2970" w:type="dxa"/>
            <w:gridSpan w:val="2"/>
          </w:tcPr>
          <w:p w14:paraId="097FAFF2" w14:textId="77777777" w:rsidR="000D1EE4" w:rsidRPr="00093640" w:rsidRDefault="00E50850" w:rsidP="005B1028">
            <w:pPr>
              <w:spacing w:before="60" w:after="60" w:line="260" w:lineRule="exact"/>
              <w:jc w:val="left"/>
              <w:rPr>
                <w:b/>
                <w:bCs/>
              </w:rPr>
            </w:pPr>
            <w:r w:rsidRPr="00093640">
              <w:rPr>
                <w:b/>
                <w:bCs/>
                <w:rtl/>
              </w:rPr>
              <w:t>الأصل: بالإنكليزية</w:t>
            </w:r>
          </w:p>
        </w:tc>
      </w:tr>
      <w:tr w:rsidR="000D1EE4" w:rsidRPr="00093640" w14:paraId="2E6F6FD3" w14:textId="77777777" w:rsidTr="00752552">
        <w:trPr>
          <w:cantSplit/>
        </w:trPr>
        <w:tc>
          <w:tcPr>
            <w:tcW w:w="9666" w:type="dxa"/>
            <w:gridSpan w:val="4"/>
          </w:tcPr>
          <w:p w14:paraId="09878113" w14:textId="77777777" w:rsidR="000D1EE4" w:rsidRPr="00093640" w:rsidRDefault="000D1EE4" w:rsidP="000D1EE4">
            <w:pPr>
              <w:rPr>
                <w:b/>
                <w:bCs/>
                <w:lang w:bidi="ar-EG"/>
              </w:rPr>
            </w:pPr>
          </w:p>
        </w:tc>
      </w:tr>
      <w:tr w:rsidR="000D1EE4" w:rsidRPr="00093640" w14:paraId="1F9395F5" w14:textId="77777777" w:rsidTr="00752552">
        <w:trPr>
          <w:cantSplit/>
        </w:trPr>
        <w:tc>
          <w:tcPr>
            <w:tcW w:w="9666" w:type="dxa"/>
            <w:gridSpan w:val="4"/>
          </w:tcPr>
          <w:p w14:paraId="0421CBC9" w14:textId="77777777" w:rsidR="000D1EE4" w:rsidRPr="00093640" w:rsidRDefault="000D1EE4" w:rsidP="000D1EE4">
            <w:pPr>
              <w:pStyle w:val="Source"/>
              <w:rPr>
                <w:rtl/>
                <w:lang w:bidi="ar-SA"/>
              </w:rPr>
            </w:pPr>
            <w:r w:rsidRPr="00093640">
              <w:rPr>
                <w:rtl/>
              </w:rPr>
              <w:t>مقترحـات مشتركـة مقدمة من جماعة آسيا والمحيط الهادئ للاتصالات</w:t>
            </w:r>
          </w:p>
        </w:tc>
      </w:tr>
      <w:tr w:rsidR="000D1EE4" w:rsidRPr="00093640" w14:paraId="3D3B2915" w14:textId="77777777" w:rsidTr="00752552">
        <w:trPr>
          <w:cantSplit/>
        </w:trPr>
        <w:tc>
          <w:tcPr>
            <w:tcW w:w="9666" w:type="dxa"/>
            <w:gridSpan w:val="4"/>
          </w:tcPr>
          <w:p w14:paraId="7BEC8F1C" w14:textId="6A3E747F" w:rsidR="000D1EE4" w:rsidRPr="00093640" w:rsidRDefault="005B1028" w:rsidP="000D1EE4">
            <w:pPr>
              <w:pStyle w:val="Title1"/>
              <w:rPr>
                <w:rtl/>
              </w:rPr>
            </w:pPr>
            <w:r w:rsidRPr="00093640">
              <w:rPr>
                <w:rtl/>
              </w:rPr>
              <w:t>مقترحات بشأن أعمال المؤتمر</w:t>
            </w:r>
          </w:p>
        </w:tc>
      </w:tr>
      <w:tr w:rsidR="000D1EE4" w:rsidRPr="00093640" w14:paraId="291E8EA5" w14:textId="77777777" w:rsidTr="00752552">
        <w:trPr>
          <w:cantSplit/>
        </w:trPr>
        <w:tc>
          <w:tcPr>
            <w:tcW w:w="9666" w:type="dxa"/>
            <w:gridSpan w:val="4"/>
          </w:tcPr>
          <w:p w14:paraId="21A3EF43" w14:textId="77777777" w:rsidR="000D1EE4" w:rsidRPr="00093640" w:rsidRDefault="000D1EE4" w:rsidP="000D1EE4">
            <w:pPr>
              <w:pStyle w:val="Title2"/>
              <w:rPr>
                <w:rtl/>
              </w:rPr>
            </w:pPr>
          </w:p>
        </w:tc>
      </w:tr>
      <w:tr w:rsidR="00E50850" w:rsidRPr="00093640" w14:paraId="52B38F24" w14:textId="77777777" w:rsidTr="00752552">
        <w:trPr>
          <w:cantSplit/>
        </w:trPr>
        <w:tc>
          <w:tcPr>
            <w:tcW w:w="9666" w:type="dxa"/>
            <w:gridSpan w:val="4"/>
          </w:tcPr>
          <w:p w14:paraId="1453175A" w14:textId="7AFBD290" w:rsidR="00E50850" w:rsidRPr="00093640" w:rsidRDefault="005B1028" w:rsidP="00E50850">
            <w:pPr>
              <w:pStyle w:val="Agendaitem"/>
            </w:pPr>
            <w:r w:rsidRPr="00093640">
              <w:rPr>
                <w:rtl/>
              </w:rPr>
              <w:t>بند جدول الأعمال 10</w:t>
            </w:r>
          </w:p>
        </w:tc>
      </w:tr>
    </w:tbl>
    <w:p w14:paraId="4D8741CD" w14:textId="77777777" w:rsidR="00147EC8" w:rsidRPr="00093640" w:rsidRDefault="000B1FC9" w:rsidP="00387E34">
      <w:pPr>
        <w:rPr>
          <w:rtl/>
        </w:rPr>
      </w:pPr>
      <w:r w:rsidRPr="00093640">
        <w:rPr>
          <w:lang w:bidi="ar-EG"/>
        </w:rPr>
        <w:t>10</w:t>
      </w:r>
      <w:r w:rsidRPr="00093640">
        <w:rPr>
          <w:rtl/>
        </w:rPr>
        <w:tab/>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093640">
        <w:t>7</w:t>
      </w:r>
      <w:r w:rsidRPr="00093640">
        <w:rPr>
          <w:rtl/>
        </w:rPr>
        <w:t xml:space="preserve"> من اتفاقية الاتحاد والقرار </w:t>
      </w:r>
      <w:r w:rsidRPr="00093640">
        <w:rPr>
          <w:b/>
          <w:bCs/>
          <w:iCs/>
        </w:rPr>
        <w:t>(Rev.WRC-19)</w:t>
      </w:r>
      <w:r w:rsidRPr="00093640">
        <w:rPr>
          <w:b/>
          <w:bCs/>
          <w:iCs/>
          <w:rtl/>
        </w:rPr>
        <w:t xml:space="preserve"> </w:t>
      </w:r>
      <w:r w:rsidRPr="00093640">
        <w:rPr>
          <w:b/>
          <w:bCs/>
          <w:iCs/>
          <w:lang w:val="en-GB"/>
        </w:rPr>
        <w:t>804</w:t>
      </w:r>
      <w:r w:rsidRPr="00093640">
        <w:rPr>
          <w:rtl/>
        </w:rPr>
        <w:t>،</w:t>
      </w:r>
    </w:p>
    <w:p w14:paraId="0605C618" w14:textId="77777777" w:rsidR="00C86750" w:rsidRPr="00093640" w:rsidRDefault="00C86750" w:rsidP="00C86750">
      <w:pPr>
        <w:pStyle w:val="Headingb"/>
      </w:pPr>
      <w:r w:rsidRPr="00093640">
        <w:rPr>
          <w:rtl/>
        </w:rPr>
        <w:t>مقدمة</w:t>
      </w:r>
    </w:p>
    <w:p w14:paraId="268D3D6B" w14:textId="77777777" w:rsidR="00C86750" w:rsidRPr="00093640" w:rsidRDefault="00C86750" w:rsidP="00C86750">
      <w:pPr>
        <w:pStyle w:val="Headingb"/>
      </w:pPr>
      <w:r w:rsidRPr="00093640">
        <w:rPr>
          <w:rtl/>
        </w:rPr>
        <w:t xml:space="preserve">المسألة: تحديد مَعلمات المدخلات لدراسات قطاع الاتصالات الراديوية بالاتحاد </w:t>
      </w:r>
      <w:r w:rsidRPr="00093640">
        <w:t>(ITU-R)</w:t>
      </w:r>
      <w:r w:rsidRPr="00093640">
        <w:rPr>
          <w:rtl/>
        </w:rPr>
        <w:t xml:space="preserve"> التي ينبغي لمختلف لجان الدراسات/فرق العمل التابعة للقطاع أن تجريها بشأن البنود ذات الصلة من جدول أعمال المؤتمر العالمي للاتصالات الراديوية </w:t>
      </w:r>
      <w:r w:rsidRPr="00093640">
        <w:t>(WRC)</w:t>
      </w:r>
    </w:p>
    <w:p w14:paraId="1379FC47" w14:textId="77777777" w:rsidR="00C86750" w:rsidRPr="00093640" w:rsidRDefault="00C86750" w:rsidP="00C86750">
      <w:pPr>
        <w:rPr>
          <w:spacing w:val="-2"/>
          <w:rtl/>
          <w:lang w:bidi="ar-EG"/>
        </w:rPr>
      </w:pPr>
      <w:r w:rsidRPr="00093640">
        <w:rPr>
          <w:spacing w:val="-2"/>
          <w:rtl/>
          <w:lang w:bidi="ar-EG"/>
        </w:rPr>
        <w:t xml:space="preserve">تطلب بنود جدول أعمال المؤتمر </w:t>
      </w:r>
      <w:r w:rsidRPr="00093640">
        <w:rPr>
          <w:spacing w:val="-2"/>
          <w:lang w:bidi="ar-EG"/>
        </w:rPr>
        <w:t>WRC</w:t>
      </w:r>
      <w:r w:rsidRPr="00093640">
        <w:rPr>
          <w:spacing w:val="-2"/>
          <w:rtl/>
          <w:lang w:bidi="ar-EG"/>
        </w:rPr>
        <w:t>، بوجهٍ عام، عن طريق القرارات الداعمة لها أن تستوفي الدراسات التي يلزم على قطاع الاتصالات الراديوية إجراؤها بنود جدول الأعمال تلك. وتنظيماً لدراسات القطاع هذه التي ينبغي للجان الدراسات/فرق العمل التابعة له أن تجريها بشأن البنود ذات الصلة من جدول أعمال المؤتمر، لا غنى عن أن تراعي هذه الدراسات مبادئ توجيهية عامة.</w:t>
      </w:r>
    </w:p>
    <w:p w14:paraId="49CFF16E" w14:textId="77777777" w:rsidR="00C86750" w:rsidRPr="00093640" w:rsidRDefault="00C86750" w:rsidP="00C86750">
      <w:pPr>
        <w:rPr>
          <w:spacing w:val="-2"/>
          <w:rtl/>
          <w:lang w:bidi="ar-EG"/>
        </w:rPr>
      </w:pPr>
      <w:r w:rsidRPr="00093640">
        <w:rPr>
          <w:spacing w:val="-2"/>
          <w:rtl/>
          <w:lang w:bidi="ar-EG"/>
        </w:rPr>
        <w:t>إضافةً إلى ذلك، يلزم أساساً الاتفاق على مَعلمات المدخلات والافتراضات ونماذج الانتشار وغيرها من العناصر قبل الشروع في تنفيذ الدراسات التي ينبغي للجان الدراسات/فرق العمل التابعة للقطاع أن تجريها بشأن البنود</w:t>
      </w:r>
      <w:r w:rsidRPr="00093640">
        <w:rPr>
          <w:spacing w:val="-2"/>
          <w:rtl/>
        </w:rPr>
        <w:t xml:space="preserve"> ذات الصلة من جدول أعمال </w:t>
      </w:r>
      <w:r w:rsidRPr="00093640">
        <w:rPr>
          <w:spacing w:val="-2"/>
          <w:rtl/>
          <w:lang w:bidi="ar-EG"/>
        </w:rPr>
        <w:t>المؤتمر.</w:t>
      </w:r>
    </w:p>
    <w:p w14:paraId="496DE74C" w14:textId="77777777" w:rsidR="00C86750" w:rsidRPr="00093640" w:rsidRDefault="00C86750" w:rsidP="00C86750">
      <w:pPr>
        <w:rPr>
          <w:lang w:bidi="ar-EG"/>
        </w:rPr>
      </w:pPr>
      <w:r w:rsidRPr="00093640">
        <w:rPr>
          <w:rtl/>
          <w:lang w:bidi="ar-EG"/>
        </w:rPr>
        <w:t xml:space="preserve">إذ تثبت التجارب السابقة أنه أثناء تنفيذ القطاع الدراسات المتصلة ببعض بنود جدول أعمال المؤتمر، وردت دراسات شتى استندت إلى افتراضات مختلفة في دراسات التقاسم والتوافق، بل حتى في المَعلمات الأساسية، الأمر الذي يؤدي إلى نتائج شديدة التباين. </w:t>
      </w:r>
      <w:r w:rsidRPr="00093640">
        <w:rPr>
          <w:color w:val="000000"/>
          <w:rtl/>
        </w:rPr>
        <w:t>ومن الصعب أو غير العملي، بداهةً، أن تورد لجان الدراسات/فرق العمل المعنية التابعة للقطاع هذه النتائج على النحو السليم في قسم "أساليب الوفاء ببند جدول الأعمال"، نظراً إلى أن بعض مَعلمات المدخلات لا يعكس سوى الأحوال والظروف التي أُجريت على أساسها الدراسة. ومن ثم، لا يمكن الخروج من هذه الدراسات باستنتاج عام واحد موحَّد.</w:t>
      </w:r>
      <w:r w:rsidRPr="00093640">
        <w:rPr>
          <w:color w:val="000000"/>
          <w:rtl/>
          <w:lang w:bidi="ar-EG"/>
        </w:rPr>
        <w:t xml:space="preserve"> كما أنه في بعض هذه الدراسات، أُجريت بعض تحليلات الحساسية استناداً إلى افتراضات مختلفة لمَعلمات المدخلات. وفي دراسات التقاسم والتوافق، تعتمد الاستنتاجات المناسبة على افتراضات المَعلمات التي تراها كل إدارة الأوثق صلةً بمواضيع هذه الدراسات.</w:t>
      </w:r>
    </w:p>
    <w:p w14:paraId="184F1C63" w14:textId="6F75C188" w:rsidR="00C86750" w:rsidRPr="00093640" w:rsidRDefault="00C86750" w:rsidP="00C86750">
      <w:pPr>
        <w:rPr>
          <w:rtl/>
          <w:lang w:bidi="ar-EG"/>
        </w:rPr>
      </w:pPr>
      <w:r w:rsidRPr="00093640">
        <w:rPr>
          <w:color w:val="000000"/>
          <w:rtl/>
        </w:rPr>
        <w:t xml:space="preserve">فعلى سبيل المثال، لم تتمكن فرقتا العمل </w:t>
      </w:r>
      <w:r w:rsidRPr="00093640">
        <w:rPr>
          <w:color w:val="000000"/>
        </w:rPr>
        <w:t>(WP)</w:t>
      </w:r>
      <w:r w:rsidRPr="00093640">
        <w:rPr>
          <w:color w:val="000000"/>
          <w:rtl/>
        </w:rPr>
        <w:t xml:space="preserve"> </w:t>
      </w:r>
      <w:r w:rsidRPr="00093640">
        <w:rPr>
          <w:color w:val="000000"/>
          <w:lang w:bidi="ar-EG"/>
        </w:rPr>
        <w:t>3K</w:t>
      </w:r>
      <w:r w:rsidRPr="00093640">
        <w:rPr>
          <w:color w:val="000000"/>
          <w:rtl/>
          <w:lang w:bidi="ar-EG"/>
        </w:rPr>
        <w:t xml:space="preserve"> و</w:t>
      </w:r>
      <w:r w:rsidRPr="00093640">
        <w:rPr>
          <w:color w:val="000000"/>
          <w:lang w:bidi="ar-EG"/>
        </w:rPr>
        <w:t>3M</w:t>
      </w:r>
      <w:r w:rsidRPr="00093640">
        <w:rPr>
          <w:color w:val="000000"/>
          <w:rtl/>
          <w:lang w:bidi="ar-EG"/>
        </w:rPr>
        <w:t xml:space="preserve"> </w:t>
      </w:r>
      <w:r w:rsidRPr="00093640">
        <w:rPr>
          <w:color w:val="000000"/>
          <w:rtl/>
        </w:rPr>
        <w:t xml:space="preserve">من الاتفاق على مزيد من الإرشادات بخصوص التوضيحات التي طلبت فرقة العمل </w:t>
      </w:r>
      <w:r w:rsidRPr="00093640">
        <w:rPr>
          <w:color w:val="000000"/>
        </w:rPr>
        <w:t>5D</w:t>
      </w:r>
      <w:r w:rsidRPr="00093640">
        <w:rPr>
          <w:color w:val="000000"/>
          <w:rtl/>
        </w:rPr>
        <w:t xml:space="preserve"> تقديمها بشأن نموذج خسارة الجلبة، بسبب اختلافات جوهرية في الرأي وتعارض وجهات النظر (انظر </w:t>
      </w:r>
      <w:r w:rsidRPr="00093640">
        <w:rPr>
          <w:color w:val="000000"/>
          <w:rtl/>
        </w:rPr>
        <w:lastRenderedPageBreak/>
        <w:t xml:space="preserve">الوثيقة </w:t>
      </w:r>
      <w:hyperlink r:id="rId15" w:history="1">
        <w:r w:rsidRPr="00093640">
          <w:rPr>
            <w:rStyle w:val="Hyperlink"/>
            <w:rFonts w:ascii="Dubai" w:hAnsi="Dubai" w:cs="Dubai"/>
          </w:rPr>
          <w:t>5D/1358</w:t>
        </w:r>
      </w:hyperlink>
      <w:r w:rsidRPr="00093640">
        <w:rPr>
          <w:color w:val="000000"/>
          <w:rtl/>
        </w:rPr>
        <w:t xml:space="preserve"> لقطاع الاتصالات الراديوية – نموذج خسارة الجلبة (البندان </w:t>
      </w:r>
      <w:r w:rsidRPr="00093640">
        <w:rPr>
          <w:color w:val="000000"/>
        </w:rPr>
        <w:t>2.1</w:t>
      </w:r>
      <w:r w:rsidRPr="00093640">
        <w:rPr>
          <w:color w:val="000000"/>
          <w:rtl/>
          <w:lang w:bidi="ar-EG"/>
        </w:rPr>
        <w:t xml:space="preserve"> و</w:t>
      </w:r>
      <w:r w:rsidRPr="00093640">
        <w:rPr>
          <w:color w:val="000000"/>
          <w:lang w:bidi="ar-EG"/>
        </w:rPr>
        <w:t>4.1</w:t>
      </w:r>
      <w:r w:rsidRPr="00093640">
        <w:rPr>
          <w:color w:val="000000"/>
          <w:rtl/>
          <w:lang w:bidi="ar-EG"/>
        </w:rPr>
        <w:t xml:space="preserve"> من جدول أعمال المؤتمر العالمي للاتصالات الراديوية لعام </w:t>
      </w:r>
      <w:r w:rsidRPr="00093640">
        <w:rPr>
          <w:color w:val="000000"/>
          <w:lang w:bidi="ar-EG"/>
        </w:rPr>
        <w:t>(WRC</w:t>
      </w:r>
      <w:r w:rsidRPr="00093640">
        <w:rPr>
          <w:color w:val="000000"/>
          <w:lang w:bidi="ar-EG"/>
        </w:rPr>
        <w:noBreakHyphen/>
        <w:t>23) 2023</w:t>
      </w:r>
      <w:r w:rsidRPr="00093640">
        <w:rPr>
          <w:color w:val="000000"/>
          <w:rtl/>
        </w:rPr>
        <w:t xml:space="preserve">). وتزيد هذه الأوضاع من </w:t>
      </w:r>
      <w:r w:rsidRPr="00093640">
        <w:rPr>
          <w:color w:val="000000"/>
          <w:rtl/>
          <w:lang w:bidi="ar-EG"/>
        </w:rPr>
        <w:t xml:space="preserve">عدم التيقن من النتائج العامة </w:t>
      </w:r>
      <w:r w:rsidRPr="00093640">
        <w:rPr>
          <w:color w:val="000000"/>
          <w:rtl/>
        </w:rPr>
        <w:t>لدراسات القطاع التي تنطوي أصلاً على درجة ما من عدم التيقن نتيجةً لاختلاف الخيارات بالنسبة لبعض المَعلمات.</w:t>
      </w:r>
    </w:p>
    <w:p w14:paraId="2E00CA46" w14:textId="1131E5DD" w:rsidR="00C86750" w:rsidRPr="00093640" w:rsidRDefault="00C86750" w:rsidP="00C86750">
      <w:pPr>
        <w:rPr>
          <w:rtl/>
          <w:lang w:bidi="ar-EG"/>
        </w:rPr>
      </w:pPr>
      <w:r w:rsidRPr="00093640">
        <w:rPr>
          <w:rtl/>
          <w:lang w:bidi="ar-EG"/>
        </w:rPr>
        <w:t xml:space="preserve">سلَّم </w:t>
      </w:r>
      <w:r w:rsidR="00015CFD" w:rsidRPr="00093640">
        <w:rPr>
          <w:rtl/>
          <w:lang w:bidi="ar-EG"/>
        </w:rPr>
        <w:t xml:space="preserve">أعضاء جماعة آسيا والمحيط الهادئ للاتصالات </w:t>
      </w:r>
      <w:r w:rsidRPr="00093640">
        <w:rPr>
          <w:rtl/>
          <w:lang w:bidi="ar-EG"/>
        </w:rPr>
        <w:t>بأن التجارب السابقة تثبت أنه أثناء قيام قطاع الاتصالات الراديوية بالاتحاد بإجراء الدراسات المتصلة ببعض بنود جداول أعمال المؤتمرات العالمية للاتصالات الراديوية، وردت دراسات شتى استندت إلى افتراضات مختلفة في دراسات التقاسم والتوافق، بل حتى في المَعلمات الأساسية، الأمر الذي يؤدي إلى نتائج شديدة التباين. وبالتالي، من الصعب أو غير العملي أن تورد لجان</w:t>
      </w:r>
      <w:r w:rsidRPr="00093640">
        <w:rPr>
          <w:color w:val="000000"/>
          <w:rtl/>
        </w:rPr>
        <w:t xml:space="preserve"> الدراسات/فرق العمل المعنية التابعة للقطاع هذه النتائج على النحو السليم في قسم "أساليب الوفاء ببند جدول الأعمال".</w:t>
      </w:r>
    </w:p>
    <w:p w14:paraId="6F5C9DC4" w14:textId="77777777" w:rsidR="00C86750" w:rsidRPr="00093640" w:rsidRDefault="00C86750" w:rsidP="00C86750">
      <w:pPr>
        <w:pStyle w:val="Headingb"/>
      </w:pPr>
      <w:r w:rsidRPr="00093640">
        <w:rPr>
          <w:rtl/>
        </w:rPr>
        <w:t>المقترح</w:t>
      </w:r>
    </w:p>
    <w:p w14:paraId="3ED39E3A" w14:textId="77777777" w:rsidR="00F25CFB" w:rsidRPr="00093640" w:rsidRDefault="000B1FC9">
      <w:pPr>
        <w:pStyle w:val="Proposal"/>
      </w:pPr>
      <w:r w:rsidRPr="00093640">
        <w:t>ADD</w:t>
      </w:r>
      <w:r w:rsidRPr="00093640">
        <w:tab/>
        <w:t>ACP/62A27A4/1</w:t>
      </w:r>
    </w:p>
    <w:p w14:paraId="3F655CBE" w14:textId="7BD24D92" w:rsidR="00C86750" w:rsidRPr="00093640" w:rsidRDefault="006D106D" w:rsidP="00C86750">
      <w:pPr>
        <w:pStyle w:val="ResNo"/>
        <w:rPr>
          <w:rtl/>
        </w:rPr>
      </w:pPr>
      <w:r w:rsidRPr="00093640">
        <w:rPr>
          <w:rtl/>
        </w:rPr>
        <w:t>مشروع القرار الجديد</w:t>
      </w:r>
      <w:r w:rsidRPr="00093640" w:rsidDel="00406C81">
        <w:rPr>
          <w:rtl/>
        </w:rPr>
        <w:t xml:space="preserve"> </w:t>
      </w:r>
      <w:r w:rsidRPr="00093640">
        <w:rPr>
          <w:lang w:val="en-GB"/>
        </w:rPr>
        <w:t>[ACP-A10-3] (WRC-23)</w:t>
      </w:r>
    </w:p>
    <w:p w14:paraId="2EA3B799" w14:textId="51C63C2E" w:rsidR="00C86750" w:rsidRPr="00093640" w:rsidRDefault="00397D66" w:rsidP="00C86750">
      <w:pPr>
        <w:pStyle w:val="Restitle"/>
      </w:pPr>
      <w:r w:rsidRPr="00093640">
        <w:rPr>
          <w:rtl/>
        </w:rPr>
        <w:t>مسارات العمل</w:t>
      </w:r>
      <w:r w:rsidR="00172C43" w:rsidRPr="00093640">
        <w:rPr>
          <w:rtl/>
        </w:rPr>
        <w:t xml:space="preserve"> التي ستُتتبع في الدورة</w:t>
      </w:r>
      <w:r w:rsidR="00C86750" w:rsidRPr="00093640">
        <w:rPr>
          <w:rtl/>
        </w:rPr>
        <w:t xml:space="preserve"> الأولى للاجتماع التحضيري للمؤتمرات العالمية المقبلة للاتصالات الراديوية</w:t>
      </w:r>
      <w:r w:rsidR="00172C43" w:rsidRPr="00093640">
        <w:rPr>
          <w:rtl/>
        </w:rPr>
        <w:t xml:space="preserve"> </w:t>
      </w:r>
      <w:r w:rsidR="00C86750" w:rsidRPr="00093640">
        <w:rPr>
          <w:rtl/>
        </w:rPr>
        <w:t>بشأن دراسات قطاع الاتصالات الراديوية بالاتحاد المتصلة ببنود جداول أعمال هذه المؤتمرات</w:t>
      </w:r>
    </w:p>
    <w:p w14:paraId="59C72280" w14:textId="77777777" w:rsidR="00C86750" w:rsidRPr="00093640" w:rsidRDefault="00C86750" w:rsidP="00C86750">
      <w:pPr>
        <w:pStyle w:val="Normalaftertitle"/>
        <w:rPr>
          <w:rtl/>
          <w:lang w:bidi="ar-EG"/>
        </w:rPr>
      </w:pPr>
      <w:r w:rsidRPr="00093640">
        <w:rPr>
          <w:rtl/>
          <w:lang w:bidi="ar-EG"/>
        </w:rPr>
        <w:t xml:space="preserve">إن المؤتمر العالمي للاتصالات الراديوية (دبي، </w:t>
      </w:r>
      <w:r w:rsidRPr="00093640">
        <w:rPr>
          <w:lang w:bidi="ar-EG"/>
        </w:rPr>
        <w:t>2023</w:t>
      </w:r>
      <w:r w:rsidRPr="00093640">
        <w:rPr>
          <w:rtl/>
          <w:lang w:bidi="ar-EG"/>
        </w:rPr>
        <w:t>)،</w:t>
      </w:r>
    </w:p>
    <w:p w14:paraId="47837200" w14:textId="77777777" w:rsidR="00C86750" w:rsidRPr="00093640" w:rsidRDefault="00C86750" w:rsidP="00C86750">
      <w:pPr>
        <w:pStyle w:val="Call"/>
        <w:rPr>
          <w:rtl/>
          <w:lang w:bidi="ar-EG"/>
        </w:rPr>
      </w:pPr>
      <w:r w:rsidRPr="00093640">
        <w:rPr>
          <w:rtl/>
          <w:lang w:bidi="ar-EG"/>
        </w:rPr>
        <w:t>إذ يضع في اعتباره</w:t>
      </w:r>
    </w:p>
    <w:p w14:paraId="18B93A40" w14:textId="77777777" w:rsidR="00C86750" w:rsidRPr="00093640" w:rsidRDefault="00C86750" w:rsidP="00C86750">
      <w:pPr>
        <w:pStyle w:val="enumlev1"/>
        <w:tabs>
          <w:tab w:val="left" w:pos="3"/>
        </w:tabs>
        <w:ind w:left="3" w:hanging="3"/>
        <w:rPr>
          <w:rtl/>
          <w:lang w:bidi="ar-EG"/>
        </w:rPr>
      </w:pPr>
      <w:r w:rsidRPr="00093640">
        <w:rPr>
          <w:i/>
          <w:iCs/>
          <w:rtl/>
          <w:lang w:bidi="ar-EG"/>
        </w:rPr>
        <w:t xml:space="preserve"> </w:t>
      </w:r>
      <w:proofErr w:type="gramStart"/>
      <w:r w:rsidRPr="00093640">
        <w:rPr>
          <w:i/>
          <w:iCs/>
          <w:rtl/>
          <w:lang w:bidi="ar-EG"/>
        </w:rPr>
        <w:t>أ )</w:t>
      </w:r>
      <w:proofErr w:type="gramEnd"/>
      <w:r w:rsidRPr="00093640">
        <w:rPr>
          <w:rtl/>
          <w:lang w:bidi="ar-EG"/>
        </w:rPr>
        <w:tab/>
        <w:t xml:space="preserve">ضرورة الاتفاق على المعايير والافتراضات وعمليات المحاكاة وغيرها من عناصر دراسات التقاسم والتوافق، في المراحل المبكرة من دراسات قطاع الاتصالات الراديوية بالاتحاد </w:t>
      </w:r>
      <w:r w:rsidRPr="00093640">
        <w:rPr>
          <w:lang w:bidi="ar-EG"/>
        </w:rPr>
        <w:t>(ITU-R)</w:t>
      </w:r>
      <w:r w:rsidRPr="00093640">
        <w:rPr>
          <w:rtl/>
          <w:lang w:bidi="ar-EG"/>
        </w:rPr>
        <w:t xml:space="preserve"> المتصلة ببنود جدول أعمال المؤتمر العالمي للاتصالات الراديوية </w:t>
      </w:r>
      <w:r w:rsidRPr="00093640">
        <w:rPr>
          <w:lang w:bidi="ar-EG"/>
        </w:rPr>
        <w:t>(WRC)</w:t>
      </w:r>
      <w:r w:rsidRPr="00093640">
        <w:rPr>
          <w:rtl/>
          <w:lang w:bidi="ar-EG"/>
        </w:rPr>
        <w:t xml:space="preserve"> قبل أن يشرع الأعضاء المعنيون في إجراء هذه الدراسات؛</w:t>
      </w:r>
    </w:p>
    <w:p w14:paraId="14FC7155" w14:textId="77777777" w:rsidR="00C86750" w:rsidRPr="00093640" w:rsidRDefault="00C86750" w:rsidP="00C86750">
      <w:pPr>
        <w:pStyle w:val="enumlev1"/>
        <w:tabs>
          <w:tab w:val="left" w:pos="3"/>
        </w:tabs>
        <w:ind w:left="3" w:firstLine="0"/>
        <w:rPr>
          <w:rtl/>
          <w:lang w:bidi="ar-EG"/>
        </w:rPr>
      </w:pPr>
      <w:r w:rsidRPr="00093640">
        <w:rPr>
          <w:i/>
          <w:iCs/>
          <w:rtl/>
          <w:lang w:bidi="ar-EG"/>
        </w:rPr>
        <w:t>ب)</w:t>
      </w:r>
      <w:r w:rsidRPr="00093640">
        <w:rPr>
          <w:rtl/>
          <w:lang w:bidi="ar-EG"/>
        </w:rPr>
        <w:tab/>
        <w:t>أن من المفيد الاستعانة، قدر الإمكان عملياً وحسب المتاح، بأي دراسات تقاسم وتوافق أُجريت حتى الآن، لتجنب تكرار دراسات سبق إجراؤها؛</w:t>
      </w:r>
    </w:p>
    <w:p w14:paraId="339499AE" w14:textId="77777777" w:rsidR="00C86750" w:rsidRPr="00093640" w:rsidRDefault="00C86750" w:rsidP="00C86750">
      <w:pPr>
        <w:rPr>
          <w:rtl/>
          <w:lang w:bidi="ar-EG"/>
        </w:rPr>
      </w:pPr>
      <w:r w:rsidRPr="00093640">
        <w:rPr>
          <w:i/>
          <w:iCs/>
          <w:rtl/>
          <w:lang w:bidi="ar-EG"/>
        </w:rPr>
        <w:t>ج)</w:t>
      </w:r>
      <w:r w:rsidRPr="00093640">
        <w:rPr>
          <w:rtl/>
          <w:lang w:bidi="ar-EG"/>
        </w:rPr>
        <w:tab/>
        <w:t>ضرورة بحث إطار دراسات التقاسم والتوافق داخل النطاق المقرر إجراؤها، أي تحديد ما إذا كان ينبغي أن يقتصر إطار هذه الدراسات على الخدمات الموزعة على أساس أولي أو يشمل أيضاً، استثنائياً، سائر الخدمات الموزعة على أساس ثانوي؛</w:t>
      </w:r>
    </w:p>
    <w:p w14:paraId="66D86CD8" w14:textId="77777777" w:rsidR="00C86750" w:rsidRPr="00093640" w:rsidRDefault="00C86750" w:rsidP="00C86750">
      <w:pPr>
        <w:rPr>
          <w:rtl/>
          <w:lang w:bidi="ar-EG"/>
        </w:rPr>
      </w:pPr>
      <w:proofErr w:type="gramStart"/>
      <w:r w:rsidRPr="00093640">
        <w:rPr>
          <w:i/>
          <w:iCs/>
          <w:rtl/>
          <w:lang w:bidi="ar-EG"/>
        </w:rPr>
        <w:t>د )</w:t>
      </w:r>
      <w:proofErr w:type="gramEnd"/>
      <w:r w:rsidRPr="00093640">
        <w:rPr>
          <w:rtl/>
          <w:lang w:bidi="ar-EG"/>
        </w:rPr>
        <w:tab/>
        <w:t>ضرورة بحث إطار دراسات التقاسم والتوافق في النطاقات المجاورة، المقرر إجراؤها، أي تحديد ما إذا كان ينبغي أن يقتصر إطار هذه الدراسات على بعض الخدمات الحساسة الموزعة على أساس أولي أو يشمل أيضاً سائر الخدمات بصرف النظر عن مدى حساسيتها،</w:t>
      </w:r>
    </w:p>
    <w:p w14:paraId="17D482FF" w14:textId="77777777" w:rsidR="00C86750" w:rsidRPr="00093640" w:rsidRDefault="00C86750" w:rsidP="00C86750">
      <w:pPr>
        <w:pStyle w:val="Call"/>
        <w:rPr>
          <w:lang w:bidi="ar-EG"/>
        </w:rPr>
      </w:pPr>
      <w:r w:rsidRPr="00093640">
        <w:rPr>
          <w:rtl/>
          <w:lang w:bidi="ar-EG"/>
        </w:rPr>
        <w:t>وإذ يدرك</w:t>
      </w:r>
    </w:p>
    <w:p w14:paraId="4EB23306" w14:textId="77777777" w:rsidR="00C86750" w:rsidRPr="00093640" w:rsidRDefault="00C86750" w:rsidP="00C86750">
      <w:pPr>
        <w:rPr>
          <w:rtl/>
          <w:lang w:bidi="ar-EG"/>
        </w:rPr>
      </w:pPr>
      <w:r w:rsidRPr="00093640">
        <w:rPr>
          <w:i/>
          <w:iCs/>
          <w:rtl/>
          <w:lang w:bidi="ar-EG"/>
        </w:rPr>
        <w:t xml:space="preserve"> </w:t>
      </w:r>
      <w:proofErr w:type="gramStart"/>
      <w:r w:rsidRPr="00093640">
        <w:rPr>
          <w:i/>
          <w:iCs/>
          <w:rtl/>
          <w:lang w:bidi="ar-EG"/>
        </w:rPr>
        <w:t>أ )</w:t>
      </w:r>
      <w:proofErr w:type="gramEnd"/>
      <w:r w:rsidRPr="00093640">
        <w:rPr>
          <w:rtl/>
          <w:lang w:bidi="ar-EG"/>
        </w:rPr>
        <w:tab/>
        <w:t>بأن التجارب الماضية أثبتت أنه أثناء قيام قطاع الاتصالات الراديوية بالاتحاد بإجراء الدراسات المتصلة ببعض بنود جداول أعمال المؤتمرات العالمية للاتصالات الراديوية، نُفذت وقُدمت إلى لجان الدراسات/فرق العمل المعنية التابعة للقطاع دراسات شتى استندت إلى افتراضات مختلفة ومَعلمات مدخلات مختلفة ونماذج انتشار مختلفة ومعايير تقنية مختلفة في دراسات التقاسم والتوافق، الأمر الذي يؤدي إلى نتائج شديدة التباين؛</w:t>
      </w:r>
    </w:p>
    <w:p w14:paraId="255C4479" w14:textId="56A54CC6" w:rsidR="00C86750" w:rsidRPr="00093640" w:rsidRDefault="00C86750" w:rsidP="00C86750">
      <w:pPr>
        <w:rPr>
          <w:rtl/>
          <w:lang w:bidi="ar-EG"/>
        </w:rPr>
      </w:pPr>
      <w:r w:rsidRPr="00093640">
        <w:rPr>
          <w:i/>
          <w:iCs/>
          <w:rtl/>
          <w:lang w:bidi="ar-EG"/>
        </w:rPr>
        <w:t>ب)</w:t>
      </w:r>
      <w:r w:rsidRPr="00093640">
        <w:rPr>
          <w:rtl/>
          <w:lang w:bidi="ar-EG"/>
        </w:rPr>
        <w:tab/>
        <w:t>بأن من الصعب أو</w:t>
      </w:r>
      <w:r w:rsidRPr="00093640">
        <w:rPr>
          <w:color w:val="000000"/>
          <w:rtl/>
          <w:lang w:bidi="ar-EG"/>
        </w:rPr>
        <w:t xml:space="preserve"> غير العملي أن تورد </w:t>
      </w:r>
      <w:r w:rsidRPr="00093640">
        <w:rPr>
          <w:color w:val="000000"/>
          <w:rtl/>
        </w:rPr>
        <w:t xml:space="preserve">لجان الدراسات/فرق العمل المعنية التابعة لقطاع الاتصالات الراديوية، على النحو السليم، نتائج دراسات القطاع هذه </w:t>
      </w:r>
      <w:r w:rsidR="00DF0A67" w:rsidRPr="00093640">
        <w:rPr>
          <w:color w:val="000000"/>
          <w:rtl/>
        </w:rPr>
        <w:t>فيما يخص الأساليب</w:t>
      </w:r>
      <w:r w:rsidRPr="00093640">
        <w:rPr>
          <w:color w:val="000000"/>
          <w:rtl/>
        </w:rPr>
        <w:t xml:space="preserve">، </w:t>
      </w:r>
      <w:r w:rsidR="00DF0A67" w:rsidRPr="00093640">
        <w:rPr>
          <w:color w:val="000000"/>
          <w:rtl/>
        </w:rPr>
        <w:t>مما يؤدي إلى إضفاء التعقيد على الملخص الشامل لنتائج الدراسات اللازمة لإعداد المؤتمرات العالمية للاتصالات الراديوية والوفاء بهذا البند من جدول الأعمال</w:t>
      </w:r>
      <w:r w:rsidRPr="00093640">
        <w:rPr>
          <w:color w:val="000000"/>
          <w:rtl/>
        </w:rPr>
        <w:t>؛</w:t>
      </w:r>
    </w:p>
    <w:p w14:paraId="5FBBA0E2" w14:textId="77777777" w:rsidR="00C86750" w:rsidRPr="00093640" w:rsidRDefault="00C86750" w:rsidP="00C86750">
      <w:pPr>
        <w:rPr>
          <w:rtl/>
          <w:lang w:bidi="ar-EG"/>
        </w:rPr>
      </w:pPr>
      <w:r w:rsidRPr="00093640">
        <w:rPr>
          <w:i/>
          <w:iCs/>
          <w:rtl/>
          <w:lang w:bidi="ar-EG"/>
        </w:rPr>
        <w:t>ج)</w:t>
      </w:r>
      <w:r w:rsidRPr="00093640">
        <w:rPr>
          <w:rtl/>
          <w:lang w:bidi="ar-EG"/>
        </w:rPr>
        <w:tab/>
        <w:t>بأنه يتعذر غالباً التوصل إلى نتائج عامة تشمل تلك الدراسات المتباينة أو توجزها،</w:t>
      </w:r>
    </w:p>
    <w:p w14:paraId="3C17F085" w14:textId="77777777" w:rsidR="00C86750" w:rsidRPr="00093640" w:rsidRDefault="00C86750" w:rsidP="00C86750">
      <w:pPr>
        <w:pStyle w:val="Call"/>
        <w:rPr>
          <w:rtl/>
          <w:lang w:bidi="ar-EG"/>
        </w:rPr>
      </w:pPr>
      <w:r w:rsidRPr="00093640">
        <w:rPr>
          <w:rtl/>
          <w:lang w:bidi="ar-EG"/>
        </w:rPr>
        <w:lastRenderedPageBreak/>
        <w:t>وإذ يدرك كذلك</w:t>
      </w:r>
    </w:p>
    <w:p w14:paraId="7D72DFCD" w14:textId="6DCB8043" w:rsidR="00C86750" w:rsidRPr="00093640" w:rsidRDefault="00C86750" w:rsidP="00C86750">
      <w:pPr>
        <w:rPr>
          <w:rtl/>
          <w:lang w:bidi="ar-EG"/>
        </w:rPr>
      </w:pPr>
      <w:r w:rsidRPr="00093640">
        <w:rPr>
          <w:i/>
          <w:iCs/>
          <w:rtl/>
          <w:lang w:bidi="ar-EG"/>
        </w:rPr>
        <w:t xml:space="preserve"> </w:t>
      </w:r>
      <w:proofErr w:type="gramStart"/>
      <w:r w:rsidRPr="00093640">
        <w:rPr>
          <w:i/>
          <w:iCs/>
          <w:rtl/>
          <w:lang w:bidi="ar-EG"/>
        </w:rPr>
        <w:t>أ )</w:t>
      </w:r>
      <w:proofErr w:type="gramEnd"/>
      <w:r w:rsidRPr="00093640">
        <w:rPr>
          <w:rtl/>
          <w:lang w:bidi="ar-EG"/>
        </w:rPr>
        <w:tab/>
        <w:t xml:space="preserve">بأنه في إطار دراسات قطاع الاتصالات الراديوية بالاتحاد المتصلة ببنود جداول أعمال المؤتمرات العالمية للاتصالات الراديوية، بُذلت في بعض الحالات محاولات لتفسير أهداف </w:t>
      </w:r>
      <w:r w:rsidR="00FF7258" w:rsidRPr="00093640">
        <w:rPr>
          <w:rtl/>
          <w:lang w:bidi="ar-EG"/>
        </w:rPr>
        <w:t>بند</w:t>
      </w:r>
      <w:r w:rsidRPr="00093640">
        <w:rPr>
          <w:rtl/>
          <w:lang w:bidi="ar-EG"/>
        </w:rPr>
        <w:t xml:space="preserve"> </w:t>
      </w:r>
      <w:r w:rsidR="00FF7258" w:rsidRPr="00093640">
        <w:rPr>
          <w:rtl/>
          <w:lang w:bidi="ar-EG"/>
        </w:rPr>
        <w:t xml:space="preserve">من بنود </w:t>
      </w:r>
      <w:r w:rsidRPr="00093640">
        <w:rPr>
          <w:rtl/>
          <w:lang w:bidi="ar-EG"/>
        </w:rPr>
        <w:t>جدول الأعمال بل فُسِّرت بالفعل بمعانٍ لم تتضمنها عناوين البنود ذات الصلة من جداول الأعمال، ولا القرارات الداعمة لتلك البنود؛</w:t>
      </w:r>
    </w:p>
    <w:p w14:paraId="3B00B23C" w14:textId="77777777" w:rsidR="00C86750" w:rsidRPr="00093640" w:rsidRDefault="00C86750" w:rsidP="00C86750">
      <w:pPr>
        <w:rPr>
          <w:rtl/>
          <w:lang w:bidi="ar-EG"/>
        </w:rPr>
      </w:pPr>
      <w:r w:rsidRPr="00093640">
        <w:rPr>
          <w:i/>
          <w:iCs/>
          <w:rtl/>
          <w:lang w:bidi="ar-EG"/>
        </w:rPr>
        <w:t>ب)</w:t>
      </w:r>
      <w:r w:rsidRPr="00093640">
        <w:rPr>
          <w:rtl/>
          <w:lang w:bidi="ar-EG"/>
        </w:rPr>
        <w:tab/>
        <w:t>بورود نصوص في ديباجات عدد من القرارات الداعمة لبنود جداول أعمال المؤتمرات العالمية للاتصالات الراديوية تشير إلى استخدام نطاقات بعينها بموجب ترتيبات وطنية محددة،</w:t>
      </w:r>
    </w:p>
    <w:p w14:paraId="24C27DE4" w14:textId="7A213B5E" w:rsidR="00C86750" w:rsidRPr="00093640" w:rsidRDefault="00C86750" w:rsidP="00C86750">
      <w:pPr>
        <w:pStyle w:val="Call"/>
        <w:rPr>
          <w:rtl/>
          <w:lang w:bidi="ar-EG"/>
        </w:rPr>
      </w:pPr>
      <w:r w:rsidRPr="00093640">
        <w:rPr>
          <w:rtl/>
          <w:lang w:bidi="ar-EG"/>
        </w:rPr>
        <w:t>يقرر</w:t>
      </w:r>
      <w:r w:rsidR="00FF7258" w:rsidRPr="00093640">
        <w:rPr>
          <w:rtl/>
          <w:lang w:bidi="ar-EG"/>
        </w:rPr>
        <w:t xml:space="preserve"> أن مسار العمل التالي هو الذي يتعين اتباعه في الدورة الأولى للاجتماع التحضيري</w:t>
      </w:r>
    </w:p>
    <w:p w14:paraId="5464625A" w14:textId="5FF8C515" w:rsidR="00C86750" w:rsidRDefault="00C86750" w:rsidP="00C86750">
      <w:pPr>
        <w:rPr>
          <w:lang w:bidi="ar-EG"/>
        </w:rPr>
      </w:pPr>
      <w:r w:rsidRPr="00093640">
        <w:rPr>
          <w:lang w:bidi="ar-EG"/>
        </w:rPr>
        <w:t>1</w:t>
      </w:r>
      <w:r w:rsidRPr="00093640">
        <w:rPr>
          <w:rtl/>
          <w:lang w:bidi="ar-EG"/>
        </w:rPr>
        <w:tab/>
        <w:t xml:space="preserve">بتحديد تاريخ صدور الخصائص التقنية والتشغيلية اللازمة لدراسات التوافق والتقاسم التي تقضي بإجرائها </w:t>
      </w:r>
      <w:proofErr w:type="spellStart"/>
      <w:r w:rsidRPr="00093640">
        <w:rPr>
          <w:rtl/>
          <w:lang w:bidi="ar-EG"/>
        </w:rPr>
        <w:t>مناطيق</w:t>
      </w:r>
      <w:proofErr w:type="spellEnd"/>
      <w:r w:rsidRPr="00093640">
        <w:rPr>
          <w:rtl/>
          <w:lang w:bidi="ar-EG"/>
        </w:rPr>
        <w:t xml:space="preserve"> </w:t>
      </w:r>
      <w:r w:rsidR="00093640">
        <w:rPr>
          <w:rFonts w:hint="cs"/>
          <w:rtl/>
          <w:lang w:bidi="ar-EG"/>
        </w:rPr>
        <w:t>"</w:t>
      </w:r>
      <w:r w:rsidR="00093640" w:rsidRPr="00093640">
        <w:rPr>
          <w:rFonts w:hint="cs"/>
          <w:i/>
          <w:iCs/>
          <w:rtl/>
          <w:lang w:bidi="ar-EG"/>
        </w:rPr>
        <w:t>يقرر</w:t>
      </w:r>
      <w:r w:rsidR="00093640">
        <w:rPr>
          <w:rFonts w:hint="cs"/>
          <w:rtl/>
          <w:lang w:bidi="ar-EG"/>
        </w:rPr>
        <w:t>"</w:t>
      </w:r>
      <w:r w:rsidRPr="00093640">
        <w:rPr>
          <w:rtl/>
          <w:lang w:bidi="ar-EG"/>
        </w:rPr>
        <w:t xml:space="preserve"> الداعمة لبنود جدول أعمال المؤتمر العالمي للاتصالات </w:t>
      </w:r>
      <w:proofErr w:type="gramStart"/>
      <w:r w:rsidRPr="00093640">
        <w:rPr>
          <w:rtl/>
          <w:lang w:bidi="ar-EG"/>
        </w:rPr>
        <w:t>الراديوية؛</w:t>
      </w:r>
      <w:proofErr w:type="gramEnd"/>
    </w:p>
    <w:p w14:paraId="2A1DFE53" w14:textId="77777777" w:rsidR="00C86750" w:rsidRPr="00093640" w:rsidRDefault="00C86750" w:rsidP="00C86750">
      <w:pPr>
        <w:rPr>
          <w:lang w:bidi="ar-EG"/>
        </w:rPr>
      </w:pPr>
      <w:r w:rsidRPr="00093640">
        <w:rPr>
          <w:lang w:bidi="ar-EG"/>
        </w:rPr>
        <w:t>2</w:t>
      </w:r>
      <w:r w:rsidRPr="00093640">
        <w:rPr>
          <w:rtl/>
          <w:lang w:bidi="ar-EG"/>
        </w:rPr>
        <w:tab/>
        <w:t>بإصدار ما يلزم من مبادئ توجيهية/تكليفات للجان الدراسات/فرق العمل المعنية التابعة لقطاع الاتصالات الراديوية بالاتحاد تقضي بما يلي:</w:t>
      </w:r>
    </w:p>
    <w:p w14:paraId="5BB271A5" w14:textId="77777777" w:rsidR="00C86750" w:rsidRPr="00093640" w:rsidRDefault="00C86750" w:rsidP="00C86750">
      <w:pPr>
        <w:pStyle w:val="enumlev1"/>
        <w:rPr>
          <w:rtl/>
          <w:lang w:bidi="ar-EG"/>
        </w:rPr>
      </w:pPr>
      <w:r w:rsidRPr="00093640">
        <w:rPr>
          <w:rtl/>
          <w:lang w:bidi="ar-EG"/>
        </w:rPr>
        <w:t>-</w:t>
      </w:r>
      <w:r w:rsidRPr="00093640">
        <w:rPr>
          <w:rtl/>
          <w:lang w:bidi="ar-EG"/>
        </w:rPr>
        <w:tab/>
        <w:t>أخذ المشاكل التي يطرحها القسم "</w:t>
      </w:r>
      <w:r w:rsidRPr="00093640">
        <w:rPr>
          <w:i/>
          <w:iCs/>
          <w:rtl/>
          <w:lang w:bidi="ar-EG"/>
        </w:rPr>
        <w:t>وإذ يضع في اعتباره</w:t>
      </w:r>
      <w:r w:rsidRPr="00093640">
        <w:rPr>
          <w:rtl/>
          <w:lang w:bidi="ar-EG"/>
        </w:rPr>
        <w:t>" من هذا القرار في الحسبان؛</w:t>
      </w:r>
    </w:p>
    <w:p w14:paraId="67BEA952" w14:textId="0C1FD554" w:rsidR="00C86750" w:rsidRPr="00093640" w:rsidRDefault="00C86750" w:rsidP="00C86750">
      <w:pPr>
        <w:pStyle w:val="enumlev1"/>
        <w:rPr>
          <w:rtl/>
          <w:lang w:bidi="ar-EG"/>
        </w:rPr>
      </w:pPr>
      <w:r w:rsidRPr="00093640">
        <w:rPr>
          <w:rtl/>
          <w:lang w:bidi="ar-EG"/>
        </w:rPr>
        <w:t>-</w:t>
      </w:r>
      <w:r w:rsidRPr="00093640">
        <w:rPr>
          <w:rtl/>
          <w:lang w:bidi="ar-EG"/>
        </w:rPr>
        <w:tab/>
        <w:t>التقيد بالموعد النهائي المذكور في القسم "</w:t>
      </w:r>
      <w:r w:rsidR="004B72EF" w:rsidRPr="00093640">
        <w:rPr>
          <w:rtl/>
        </w:rPr>
        <w:t xml:space="preserve"> </w:t>
      </w:r>
      <w:r w:rsidR="004B72EF" w:rsidRPr="00093640">
        <w:rPr>
          <w:i/>
          <w:iCs/>
          <w:rtl/>
          <w:lang w:bidi="ar-EG"/>
        </w:rPr>
        <w:t>يقرر أن مسار العمل التالي هو الذي يتعين اتباعه في الدورة الأولى للاجتماع التحضيري</w:t>
      </w:r>
      <w:r w:rsidRPr="00093640">
        <w:rPr>
          <w:rtl/>
          <w:lang w:bidi="ar-EG"/>
        </w:rPr>
        <w:t>" من هذا القرار؛</w:t>
      </w:r>
    </w:p>
    <w:p w14:paraId="18729B96" w14:textId="56D246AF" w:rsidR="00C86750" w:rsidRPr="00093640" w:rsidRDefault="00C86750" w:rsidP="004B72EF">
      <w:pPr>
        <w:pStyle w:val="enumlev1"/>
        <w:rPr>
          <w:rtl/>
          <w:lang w:bidi="ar-EG"/>
        </w:rPr>
      </w:pPr>
      <w:r w:rsidRPr="00093640">
        <w:rPr>
          <w:rtl/>
          <w:lang w:bidi="ar-EG"/>
        </w:rPr>
        <w:t>-</w:t>
      </w:r>
      <w:r w:rsidRPr="00093640">
        <w:rPr>
          <w:rtl/>
          <w:lang w:bidi="ar-EG"/>
        </w:rPr>
        <w:tab/>
        <w:t>الاتفاق على الخصائص التقنية والتشغيلية والافتراضات ومَعلمات المدخلات ونماذج الانتشار اللازمة لإجراء دراسات التقاسم والتوافق وعلى اتباع نهج مشترك لاستخدام المعايير التقنية اللازمة لإجرائها</w:t>
      </w:r>
      <w:r w:rsidR="004B72EF" w:rsidRPr="00093640">
        <w:rPr>
          <w:rtl/>
          <w:lang w:bidi="ar-EG"/>
        </w:rPr>
        <w:t>ّ؛</w:t>
      </w:r>
    </w:p>
    <w:p w14:paraId="7FC79970" w14:textId="77777777" w:rsidR="00C86750" w:rsidRPr="00093640" w:rsidRDefault="00C86750" w:rsidP="00C86750">
      <w:pPr>
        <w:pStyle w:val="enumlev1"/>
        <w:rPr>
          <w:rtl/>
          <w:lang w:bidi="ar-EG"/>
        </w:rPr>
      </w:pPr>
      <w:r w:rsidRPr="00093640">
        <w:rPr>
          <w:rtl/>
          <w:lang w:bidi="ar-EG"/>
        </w:rPr>
        <w:t>-</w:t>
      </w:r>
      <w:r w:rsidRPr="00093640">
        <w:rPr>
          <w:rtl/>
          <w:lang w:bidi="ar-EG"/>
        </w:rPr>
        <w:tab/>
        <w:t xml:space="preserve">تجنُّب جميع التفسيرات المشار إليها في الفقرة </w:t>
      </w:r>
      <w:r w:rsidRPr="00093640">
        <w:rPr>
          <w:i/>
          <w:iCs/>
          <w:rtl/>
          <w:lang w:bidi="ar-EG"/>
        </w:rPr>
        <w:t>أ)</w:t>
      </w:r>
      <w:r w:rsidRPr="00093640">
        <w:rPr>
          <w:rtl/>
          <w:lang w:bidi="ar-EG"/>
        </w:rPr>
        <w:t xml:space="preserve"> من القسم "</w:t>
      </w:r>
      <w:r w:rsidRPr="00093640">
        <w:rPr>
          <w:i/>
          <w:iCs/>
          <w:rtl/>
          <w:lang w:bidi="ar-EG"/>
        </w:rPr>
        <w:t>وإذ يدرك كذلك</w:t>
      </w:r>
      <w:r w:rsidRPr="00093640">
        <w:rPr>
          <w:rtl/>
          <w:lang w:bidi="ar-EG"/>
        </w:rPr>
        <w:t>"؛</w:t>
      </w:r>
    </w:p>
    <w:p w14:paraId="275656A0" w14:textId="77777777" w:rsidR="00C86750" w:rsidRPr="00093640" w:rsidRDefault="00C86750" w:rsidP="00C86750">
      <w:pPr>
        <w:pStyle w:val="enumlev1"/>
        <w:rPr>
          <w:rtl/>
          <w:lang w:bidi="ar-EG"/>
        </w:rPr>
      </w:pPr>
      <w:r w:rsidRPr="00093640">
        <w:rPr>
          <w:rtl/>
          <w:lang w:bidi="ar-EG"/>
        </w:rPr>
        <w:t>-</w:t>
      </w:r>
      <w:r w:rsidRPr="00093640">
        <w:rPr>
          <w:rtl/>
          <w:lang w:bidi="ar-EG"/>
        </w:rPr>
        <w:tab/>
        <w:t xml:space="preserve">إن لم تُذكر في منطوق القرار الداعم لأي من بنود جدول أعمال المؤتمر العالمي للاتصالات الراديوية النصوص الواردة في ديباجة ذلك القرار، المشار إليها في الفقرة </w:t>
      </w:r>
      <w:r w:rsidRPr="00093640">
        <w:rPr>
          <w:i/>
          <w:iCs/>
          <w:rtl/>
          <w:lang w:bidi="ar-EG"/>
        </w:rPr>
        <w:t>ب)</w:t>
      </w:r>
      <w:r w:rsidRPr="00093640">
        <w:rPr>
          <w:rtl/>
          <w:lang w:bidi="ar-EG"/>
        </w:rPr>
        <w:t xml:space="preserve"> من القسم "</w:t>
      </w:r>
      <w:r w:rsidRPr="00093640">
        <w:rPr>
          <w:i/>
          <w:iCs/>
          <w:rtl/>
          <w:lang w:bidi="ar-EG"/>
        </w:rPr>
        <w:t>وإذ يدرك كذلك</w:t>
      </w:r>
      <w:r w:rsidRPr="00093640">
        <w:rPr>
          <w:rtl/>
          <w:lang w:bidi="ar-EG"/>
        </w:rPr>
        <w:t>"</w:t>
      </w:r>
      <w:r w:rsidRPr="00093640">
        <w:rPr>
          <w:i/>
          <w:iCs/>
          <w:rtl/>
          <w:lang w:bidi="ar-EG"/>
        </w:rPr>
        <w:t xml:space="preserve"> </w:t>
      </w:r>
      <w:r w:rsidRPr="00093640">
        <w:rPr>
          <w:rtl/>
          <w:lang w:bidi="ar-EG"/>
        </w:rPr>
        <w:t>من</w:t>
      </w:r>
      <w:r w:rsidRPr="00093640">
        <w:rPr>
          <w:i/>
          <w:iCs/>
          <w:rtl/>
          <w:lang w:bidi="ar-EG"/>
        </w:rPr>
        <w:t xml:space="preserve"> </w:t>
      </w:r>
      <w:r w:rsidRPr="00093640">
        <w:rPr>
          <w:rtl/>
          <w:lang w:bidi="ar-EG"/>
        </w:rPr>
        <w:t>هذا القرار، لا تترتب على هذه النصوص أي آثار مُلزمة للإدارات ومكتب الاتصالات الراديوية فيما يتعلق بتنفيذ ذلك القرار،</w:t>
      </w:r>
    </w:p>
    <w:p w14:paraId="3645F232" w14:textId="77777777" w:rsidR="00C86750" w:rsidRPr="00093640" w:rsidRDefault="00C86750" w:rsidP="00C86750">
      <w:pPr>
        <w:pStyle w:val="Call"/>
        <w:rPr>
          <w:rtl/>
          <w:lang w:bidi="ar-EG"/>
        </w:rPr>
      </w:pPr>
      <w:r w:rsidRPr="00093640">
        <w:rPr>
          <w:rtl/>
          <w:lang w:bidi="ar-EG"/>
        </w:rPr>
        <w:t>يكلف مدير مكتب الاتصالات الراديوية</w:t>
      </w:r>
    </w:p>
    <w:p w14:paraId="3469393D" w14:textId="2EA763A6" w:rsidR="00C86750" w:rsidRDefault="00C86750" w:rsidP="00C86750">
      <w:pPr>
        <w:rPr>
          <w:lang w:bidi="ar-EG"/>
        </w:rPr>
      </w:pPr>
      <w:r w:rsidRPr="00093640">
        <w:rPr>
          <w:rtl/>
          <w:lang w:bidi="ar-EG"/>
        </w:rPr>
        <w:t xml:space="preserve">برفع هذا القرار إلى عناية الدورة الأولى للاجتماع التحضيري للمؤتمر </w:t>
      </w:r>
      <w:r w:rsidRPr="00093640">
        <w:rPr>
          <w:lang w:bidi="ar-EG"/>
        </w:rPr>
        <w:t>(CPM)</w:t>
      </w:r>
      <w:r w:rsidRPr="00093640">
        <w:rPr>
          <w:rtl/>
          <w:lang w:bidi="ar-EG"/>
        </w:rPr>
        <w:t xml:space="preserve">، بما في ذلك الدورة الأولى للاجتماع التحضيري للمؤتمر العالمي للاتصالات الراديوية لعام 2027 </w:t>
      </w:r>
      <w:r w:rsidRPr="00093640">
        <w:rPr>
          <w:lang w:bidi="ar-EG"/>
        </w:rPr>
        <w:t>(CPM27-1)</w:t>
      </w:r>
      <w:r w:rsidRPr="00093640">
        <w:rPr>
          <w:rtl/>
          <w:lang w:bidi="ar-EG"/>
        </w:rPr>
        <w:t>.</w:t>
      </w:r>
    </w:p>
    <w:p w14:paraId="41D23970" w14:textId="65EF96EC" w:rsidR="00E75165" w:rsidRPr="00527C4C" w:rsidRDefault="00520BC0" w:rsidP="00527C4C">
      <w:pPr>
        <w:pStyle w:val="Reasons"/>
        <w:jc w:val="left"/>
        <w:rPr>
          <w:b w:val="0"/>
          <w:bCs w:val="0"/>
          <w:spacing w:val="2"/>
          <w:lang w:bidi="ar-EG"/>
        </w:rPr>
      </w:pPr>
      <w:r w:rsidRPr="00093640">
        <w:rPr>
          <w:rtl/>
          <w:lang w:bidi="ar-EG"/>
        </w:rPr>
        <w:t>الأسباب:</w:t>
      </w:r>
      <w:r w:rsidRPr="00093640">
        <w:rPr>
          <w:rtl/>
          <w:lang w:bidi="ar-EG"/>
        </w:rPr>
        <w:tab/>
      </w:r>
      <w:r w:rsidRPr="00527C4C">
        <w:rPr>
          <w:b w:val="0"/>
          <w:bCs w:val="0"/>
          <w:rtl/>
          <w:lang w:bidi="ar-EG"/>
        </w:rPr>
        <w:t>تقتضي الضرورة المطلقة الاتفاق على معايير التقاسم، والافتراضات، وعملية المحاكاة، وتقنيات التخفيف، في المراحل المبكرة من تلك الدراسات قبل أن يشرع الأعضاء المهتمون في إجرائها</w:t>
      </w:r>
      <w:r w:rsidR="00093640" w:rsidRPr="00527C4C">
        <w:rPr>
          <w:rFonts w:hint="cs"/>
          <w:b w:val="0"/>
          <w:bCs w:val="0"/>
          <w:rtl/>
          <w:lang w:bidi="ar-EG"/>
        </w:rPr>
        <w:t>؛</w:t>
      </w:r>
      <w:r w:rsidR="00093640" w:rsidRPr="00527C4C">
        <w:rPr>
          <w:b w:val="0"/>
          <w:bCs w:val="0"/>
          <w:rtl/>
          <w:lang w:bidi="ar-EG"/>
        </w:rPr>
        <w:br/>
      </w:r>
      <w:r w:rsidRPr="00527C4C">
        <w:rPr>
          <w:b w:val="0"/>
          <w:bCs w:val="0"/>
          <w:rtl/>
          <w:lang w:bidi="ar-EG"/>
        </w:rPr>
        <w:t>وهو مبدأ أساسي لتجنب تكرار إجراء الدراسات لاحقاً، إذ لا يرغب بعض الأعضاء، أو قد لا يرغب بعضهم، في تكرار بعض الدراسات لاعتبارهم ذلك إهداراً محتملاً للوقت والموارد.</w:t>
      </w:r>
      <w:r w:rsidR="00093640" w:rsidRPr="00527C4C">
        <w:rPr>
          <w:b w:val="0"/>
          <w:bCs w:val="0"/>
          <w:rtl/>
          <w:lang w:bidi="ar-EG"/>
        </w:rPr>
        <w:br/>
      </w:r>
      <w:r w:rsidRPr="00527C4C">
        <w:rPr>
          <w:b w:val="0"/>
          <w:bCs w:val="0"/>
          <w:rtl/>
          <w:lang w:bidi="ar-EG"/>
        </w:rPr>
        <w:t>اعتماد أي نهج مغاير لنهج منسق وموحد قد يؤدي إلى اختلاف الاستنتاجات المتوصَّل إليها في كل دراسة، ومن ثم، يكون من الصعب جداً، إن لم يكن مستحيلاً، استخلاص استنتاج عام، وهو عنصر أساسي لاستخلاص استنتاجات من نتائج دراسات التوافق والتقاسم. وقد ظهرت هذه المشكلة خلال الدراسات التي أُجريت في فترات الدراسة السابقة</w:t>
      </w:r>
      <w:r w:rsidR="00093640" w:rsidRPr="00527C4C">
        <w:rPr>
          <w:rFonts w:hint="cs"/>
          <w:b w:val="0"/>
          <w:bCs w:val="0"/>
          <w:rtl/>
          <w:lang w:bidi="ar-EG"/>
        </w:rPr>
        <w:t>؛</w:t>
      </w:r>
      <w:r w:rsidR="00093640" w:rsidRPr="00527C4C">
        <w:rPr>
          <w:b w:val="0"/>
          <w:bCs w:val="0"/>
          <w:rtl/>
          <w:lang w:bidi="ar-EG"/>
        </w:rPr>
        <w:br/>
      </w:r>
      <w:r w:rsidR="000B1FC9" w:rsidRPr="00527C4C">
        <w:rPr>
          <w:b w:val="0"/>
          <w:bCs w:val="0"/>
          <w:rtl/>
          <w:lang w:bidi="ar-EG"/>
        </w:rPr>
        <w:t>الاستعانة، قدر الإمكان عملياً وحسب المتاح، بأي دراسات تقاسم وتوافق أُجريت حتى الآن في الدورات السابقة</w:t>
      </w:r>
      <w:r w:rsidR="00093640" w:rsidRPr="00527C4C">
        <w:rPr>
          <w:rFonts w:hint="cs"/>
          <w:b w:val="0"/>
          <w:bCs w:val="0"/>
          <w:rtl/>
          <w:lang w:bidi="ar-EG"/>
        </w:rPr>
        <w:t xml:space="preserve">. </w:t>
      </w:r>
      <w:r w:rsidR="00E75165" w:rsidRPr="00527C4C">
        <w:rPr>
          <w:b w:val="0"/>
          <w:bCs w:val="0"/>
          <w:rtl/>
          <w:lang w:bidi="ar-EG"/>
        </w:rPr>
        <w:t>وهو مبدأ لازم لتجنب تكرار ما سبق إجراؤه من دراسات. إلا أنه في ضوء ما يُحرَز من تقدم، قد يلزم النظر في تلك الدراسات لتحديد مدى ضرورة مراجعة ما تتضمنه من مواد أو مواصلة تعديلها.</w:t>
      </w:r>
      <w:r w:rsidR="00093640" w:rsidRPr="00527C4C">
        <w:rPr>
          <w:b w:val="0"/>
          <w:bCs w:val="0"/>
          <w:rtl/>
          <w:lang w:bidi="ar-EG"/>
        </w:rPr>
        <w:br/>
      </w:r>
      <w:r w:rsidR="000B1FC9" w:rsidRPr="00527C4C">
        <w:rPr>
          <w:b w:val="0"/>
          <w:bCs w:val="0"/>
          <w:rtl/>
          <w:lang w:bidi="ar-EG"/>
        </w:rPr>
        <w:t>بحث إطار دراسات التقاسم والتوافق داخل النطاق المقرر إجراؤها، أي تحديد ما إذا كان ينبغي أن يقتصر إطار هذه الدراسات على الخدمات الموزعة على أساس أولي أو يشمل أيضاً، استثنائياً، سائر الخدمات الموزعة على أساس ثانوي</w:t>
      </w:r>
      <w:r w:rsidR="00093640" w:rsidRPr="00527C4C">
        <w:rPr>
          <w:rFonts w:hint="cs"/>
          <w:b w:val="0"/>
          <w:bCs w:val="0"/>
          <w:rtl/>
          <w:lang w:bidi="ar-EG"/>
        </w:rPr>
        <w:t xml:space="preserve">. </w:t>
      </w:r>
      <w:r w:rsidR="00E75165" w:rsidRPr="00527C4C">
        <w:rPr>
          <w:b w:val="0"/>
          <w:bCs w:val="0"/>
          <w:rtl/>
          <w:lang w:bidi="ar-EG"/>
        </w:rPr>
        <w:t>ويشكل هذا المبدأ عنصراً مهماً أيضاً ينبغي النظر فيه وفقاً للغة المستخدمة في القرار الداعم للبند ذي الصلة من جدول الأعمال، أي ما إذا كان منطوق القرار يشير إلى "حماية الخدمات الموزَّع لها النطاق" أم لا يشير إلى ذلك، أو ما إذا كان يشير فقط إلى حماية الخدمات الموزَّع لها النطاق على أساس أولي أم لم يتطرق إلى هذه المسألة.</w:t>
      </w:r>
    </w:p>
    <w:p w14:paraId="3D55CFB5" w14:textId="0D36AA69" w:rsidR="000B1FC9" w:rsidRPr="00093640" w:rsidRDefault="000B1FC9" w:rsidP="00520BC0">
      <w:pPr>
        <w:rPr>
          <w:rtl/>
          <w:lang w:bidi="ar-EG"/>
        </w:rPr>
      </w:pPr>
    </w:p>
    <w:p w14:paraId="05343479" w14:textId="3ECDAD85" w:rsidR="005B1028" w:rsidRPr="00093640" w:rsidRDefault="005B1028" w:rsidP="005B1028">
      <w:pPr>
        <w:spacing w:before="600"/>
        <w:jc w:val="center"/>
        <w:rPr>
          <w:lang w:bidi="ar-EG"/>
        </w:rPr>
      </w:pPr>
      <w:r w:rsidRPr="00093640">
        <w:rPr>
          <w:rtl/>
          <w:lang w:bidi="ar-EG"/>
        </w:rPr>
        <w:t>ــــــــــــــــــــــــــــــــــــــــــــــــــــــــــــــــــــــــــــــــــــــــــــــــــــ</w:t>
      </w:r>
    </w:p>
    <w:sectPr w:rsidR="005B1028" w:rsidRPr="00093640" w:rsidSect="005B1028">
      <w:headerReference w:type="even" r:id="rId16"/>
      <w:headerReference w:type="default" r:id="rId17"/>
      <w:footerReference w:type="even" r:id="rId18"/>
      <w:footerReference w:type="default" r:id="rId19"/>
      <w:type w:val="continuous"/>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B213" w14:textId="77777777" w:rsidR="00B27A61" w:rsidRDefault="00B27A61" w:rsidP="002919E1">
      <w:r>
        <w:separator/>
      </w:r>
    </w:p>
    <w:p w14:paraId="460A7997" w14:textId="77777777" w:rsidR="00B27A61" w:rsidRDefault="00B27A61" w:rsidP="002919E1"/>
    <w:p w14:paraId="1AE764E8" w14:textId="77777777" w:rsidR="00B27A61" w:rsidRDefault="00B27A61" w:rsidP="002919E1"/>
    <w:p w14:paraId="3A16E3F6" w14:textId="77777777" w:rsidR="00B27A61" w:rsidRDefault="00B27A61"/>
    <w:p w14:paraId="1B341961" w14:textId="77777777" w:rsidR="00B27A61" w:rsidRDefault="00B27A61"/>
  </w:endnote>
  <w:endnote w:type="continuationSeparator" w:id="0">
    <w:p w14:paraId="79FDF7E1" w14:textId="77777777" w:rsidR="00B27A61" w:rsidRDefault="00B27A61" w:rsidP="002919E1">
      <w:r>
        <w:continuationSeparator/>
      </w:r>
    </w:p>
    <w:p w14:paraId="1F1B7245" w14:textId="77777777" w:rsidR="00B27A61" w:rsidRDefault="00B27A61" w:rsidP="002919E1"/>
    <w:p w14:paraId="7AFB7A88" w14:textId="77777777" w:rsidR="00B27A61" w:rsidRDefault="00B27A61" w:rsidP="002919E1"/>
    <w:p w14:paraId="1C98BFD3" w14:textId="77777777" w:rsidR="00B27A61" w:rsidRDefault="00B27A61"/>
    <w:p w14:paraId="2B03C46A" w14:textId="77777777" w:rsidR="00B27A61" w:rsidRDefault="00B27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4883" w14:textId="06DDE09F" w:rsidR="00D63A6F" w:rsidRPr="00C86750" w:rsidRDefault="00C86750" w:rsidP="00C86750">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F0096">
      <w:rPr>
        <w:noProof/>
        <w:sz w:val="16"/>
        <w:szCs w:val="16"/>
        <w:lang w:val="fr-FR"/>
      </w:rPr>
      <w:t>P:\ARA\ITU-R\CONF-R\CMR23\062ADD27ADD04A.docx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C9592C">
      <w:rPr>
        <w:sz w:val="16"/>
        <w:szCs w:val="16"/>
        <w:lang w:val="fr-FR"/>
      </w:rPr>
      <w:t>528979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20FE" w14:textId="77777777" w:rsidR="005B1028" w:rsidRPr="00C86750" w:rsidRDefault="005B1028" w:rsidP="005B102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P:\ARA\ITU-R\CONF-R\CMR23\062ADD27ADD04A.docx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C9592C">
      <w:rPr>
        <w:sz w:val="16"/>
        <w:szCs w:val="16"/>
        <w:lang w:val="fr-FR"/>
      </w:rPr>
      <w:t>528979</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8255" w14:textId="77777777" w:rsidR="00B27A61" w:rsidRDefault="00B27A61" w:rsidP="00C45930">
      <w:r>
        <w:separator/>
      </w:r>
    </w:p>
  </w:footnote>
  <w:footnote w:type="continuationSeparator" w:id="0">
    <w:p w14:paraId="3E9D8EE6" w14:textId="77777777" w:rsidR="00B27A61" w:rsidRDefault="00B27A61" w:rsidP="002919E1">
      <w:r>
        <w:continuationSeparator/>
      </w:r>
    </w:p>
    <w:p w14:paraId="3D7FE3A6" w14:textId="77777777" w:rsidR="00B27A61" w:rsidRDefault="00B27A61" w:rsidP="002919E1"/>
    <w:p w14:paraId="6E4D25D4" w14:textId="77777777" w:rsidR="00B27A61" w:rsidRDefault="00B27A61" w:rsidP="002919E1"/>
    <w:p w14:paraId="20B11DA5" w14:textId="77777777" w:rsidR="00B27A61" w:rsidRDefault="00B27A61"/>
    <w:p w14:paraId="45CAFE82" w14:textId="77777777" w:rsidR="00B27A61" w:rsidRDefault="00B27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743D" w14:textId="77777777" w:rsidR="005E5F16" w:rsidRPr="005B1028" w:rsidRDefault="005E5F16" w:rsidP="005E5F16">
    <w:pPr>
      <w:bidi w:val="0"/>
      <w:spacing w:after="360" w:line="240" w:lineRule="auto"/>
      <w:jc w:val="center"/>
      <w:rPr>
        <w:sz w:val="20"/>
        <w:szCs w:val="20"/>
      </w:rPr>
    </w:pPr>
    <w:r w:rsidRPr="005B1028">
      <w:rPr>
        <w:rStyle w:val="PageNumber"/>
        <w:rFonts w:ascii="Dubai" w:hAnsi="Dubai" w:cs="Dubai"/>
      </w:rPr>
      <w:fldChar w:fldCharType="begin"/>
    </w:r>
    <w:r w:rsidRPr="005B1028">
      <w:rPr>
        <w:rStyle w:val="PageNumber"/>
        <w:rFonts w:ascii="Dubai" w:hAnsi="Dubai" w:cs="Dubai"/>
      </w:rPr>
      <w:instrText xml:space="preserve"> PAGE </w:instrText>
    </w:r>
    <w:r w:rsidRPr="005B1028">
      <w:rPr>
        <w:rStyle w:val="PageNumber"/>
        <w:rFonts w:ascii="Dubai" w:hAnsi="Dubai" w:cs="Dubai"/>
      </w:rPr>
      <w:fldChar w:fldCharType="separate"/>
    </w:r>
    <w:r w:rsidRPr="005B1028">
      <w:rPr>
        <w:rStyle w:val="PageNumber"/>
        <w:rFonts w:ascii="Dubai" w:hAnsi="Dubai" w:cs="Dubai"/>
      </w:rPr>
      <w:t>2</w:t>
    </w:r>
    <w:r w:rsidRPr="005B1028">
      <w:rPr>
        <w:rStyle w:val="PageNumber"/>
        <w:rFonts w:ascii="Dubai" w:hAnsi="Dubai" w:cs="Dubai"/>
      </w:rPr>
      <w:fldChar w:fldCharType="end"/>
    </w:r>
    <w:r w:rsidRPr="005B1028">
      <w:rPr>
        <w:rStyle w:val="PageNumber"/>
        <w:rFonts w:ascii="Dubai" w:hAnsi="Dubai" w:cs="Dubai"/>
        <w:rtl/>
      </w:rPr>
      <w:br/>
    </w:r>
    <w:r w:rsidR="004F5F29" w:rsidRPr="005B1028">
      <w:rPr>
        <w:rStyle w:val="PageNumber"/>
        <w:rFonts w:ascii="Dubai" w:hAnsi="Dubai" w:cs="Dubai"/>
      </w:rPr>
      <w:t>WRC</w:t>
    </w:r>
    <w:r w:rsidRPr="005B1028">
      <w:rPr>
        <w:rStyle w:val="PageNumber"/>
        <w:rFonts w:ascii="Dubai" w:hAnsi="Dubai" w:cs="Dubai"/>
      </w:rPr>
      <w:t>23/62(Add.</w:t>
    </w:r>
    <w:proofErr w:type="gramStart"/>
    <w:r w:rsidRPr="005B1028">
      <w:rPr>
        <w:rStyle w:val="PageNumber"/>
        <w:rFonts w:ascii="Dubai" w:hAnsi="Dubai" w:cs="Dubai"/>
      </w:rPr>
      <w:t>27)(</w:t>
    </w:r>
    <w:proofErr w:type="gramEnd"/>
    <w:r w:rsidRPr="005B1028">
      <w:rPr>
        <w:rStyle w:val="PageNumber"/>
        <w:rFonts w:ascii="Dubai" w:hAnsi="Dubai" w:cs="Dubai"/>
      </w:rPr>
      <w:t>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482" w14:textId="77777777" w:rsidR="005B1028" w:rsidRPr="005B1028" w:rsidRDefault="005B1028" w:rsidP="005B1028">
    <w:pPr>
      <w:bidi w:val="0"/>
      <w:spacing w:after="360" w:line="240" w:lineRule="auto"/>
      <w:jc w:val="center"/>
      <w:rPr>
        <w:sz w:val="20"/>
        <w:szCs w:val="20"/>
      </w:rPr>
    </w:pPr>
    <w:r w:rsidRPr="005B1028">
      <w:rPr>
        <w:rStyle w:val="PageNumber"/>
        <w:rFonts w:ascii="Dubai" w:hAnsi="Dubai" w:cs="Dubai"/>
      </w:rPr>
      <w:fldChar w:fldCharType="begin"/>
    </w:r>
    <w:r w:rsidRPr="005B1028">
      <w:rPr>
        <w:rStyle w:val="PageNumber"/>
        <w:rFonts w:ascii="Dubai" w:hAnsi="Dubai" w:cs="Dubai"/>
      </w:rPr>
      <w:instrText xml:space="preserve"> PAGE </w:instrText>
    </w:r>
    <w:r w:rsidRPr="005B1028">
      <w:rPr>
        <w:rStyle w:val="PageNumber"/>
        <w:rFonts w:ascii="Dubai" w:hAnsi="Dubai" w:cs="Dubai"/>
      </w:rPr>
      <w:fldChar w:fldCharType="separate"/>
    </w:r>
    <w:r w:rsidRPr="005B1028">
      <w:rPr>
        <w:rStyle w:val="PageNumber"/>
        <w:rFonts w:ascii="Dubai" w:hAnsi="Dubai" w:cs="Dubai"/>
      </w:rPr>
      <w:t>2</w:t>
    </w:r>
    <w:r w:rsidRPr="005B1028">
      <w:rPr>
        <w:rStyle w:val="PageNumber"/>
        <w:rFonts w:ascii="Dubai" w:hAnsi="Dubai" w:cs="Dubai"/>
      </w:rPr>
      <w:fldChar w:fldCharType="end"/>
    </w:r>
    <w:r w:rsidRPr="005B1028">
      <w:rPr>
        <w:rStyle w:val="PageNumber"/>
        <w:rFonts w:ascii="Dubai" w:hAnsi="Dubai" w:cs="Dubai"/>
        <w:rtl/>
      </w:rPr>
      <w:br/>
    </w:r>
    <w:r w:rsidRPr="005B1028">
      <w:rPr>
        <w:rStyle w:val="PageNumber"/>
        <w:rFonts w:ascii="Dubai" w:hAnsi="Dubai" w:cs="Dubai"/>
      </w:rPr>
      <w:t>WRC23/62(Add.</w:t>
    </w:r>
    <w:proofErr w:type="gramStart"/>
    <w:r w:rsidRPr="005B1028">
      <w:rPr>
        <w:rStyle w:val="PageNumber"/>
        <w:rFonts w:ascii="Dubai" w:hAnsi="Dubai" w:cs="Dubai"/>
      </w:rPr>
      <w:t>27)(</w:t>
    </w:r>
    <w:proofErr w:type="gramEnd"/>
    <w:r w:rsidRPr="005B1028">
      <w:rPr>
        <w:rStyle w:val="PageNumber"/>
        <w:rFonts w:ascii="Dubai" w:hAnsi="Dubai" w:cs="Dubai"/>
      </w:rPr>
      <w:t>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05841071">
    <w:abstractNumId w:val="9"/>
  </w:num>
  <w:num w:numId="2" w16cid:durableId="1074744106">
    <w:abstractNumId w:val="13"/>
  </w:num>
  <w:num w:numId="3" w16cid:durableId="1584024240">
    <w:abstractNumId w:val="11"/>
  </w:num>
  <w:num w:numId="4" w16cid:durableId="2080858854">
    <w:abstractNumId w:val="14"/>
  </w:num>
  <w:num w:numId="5" w16cid:durableId="1994287115">
    <w:abstractNumId w:val="7"/>
  </w:num>
  <w:num w:numId="6" w16cid:durableId="82000504">
    <w:abstractNumId w:val="6"/>
  </w:num>
  <w:num w:numId="7" w16cid:durableId="192503972">
    <w:abstractNumId w:val="5"/>
  </w:num>
  <w:num w:numId="8" w16cid:durableId="1019703172">
    <w:abstractNumId w:val="4"/>
  </w:num>
  <w:num w:numId="9" w16cid:durableId="1616983394">
    <w:abstractNumId w:val="8"/>
  </w:num>
  <w:num w:numId="10" w16cid:durableId="1945266493">
    <w:abstractNumId w:val="3"/>
  </w:num>
  <w:num w:numId="11" w16cid:durableId="1748189524">
    <w:abstractNumId w:val="2"/>
  </w:num>
  <w:num w:numId="12" w16cid:durableId="1296987304">
    <w:abstractNumId w:val="1"/>
  </w:num>
  <w:num w:numId="13" w16cid:durableId="1253198471">
    <w:abstractNumId w:val="0"/>
  </w:num>
  <w:num w:numId="14" w16cid:durableId="856433449">
    <w:abstractNumId w:val="10"/>
  </w:num>
  <w:num w:numId="15" w16cid:durableId="1572496404">
    <w:abstractNumId w:val="15"/>
  </w:num>
  <w:num w:numId="16" w16cid:durableId="333915999">
    <w:abstractNumId w:val="12"/>
  </w:num>
  <w:num w:numId="17" w16cid:durableId="1239173543">
    <w:abstractNumId w:val="6"/>
  </w:num>
  <w:num w:numId="18" w16cid:durableId="10105758">
    <w:abstractNumId w:val="5"/>
  </w:num>
  <w:num w:numId="19" w16cid:durableId="1666283371">
    <w:abstractNumId w:val="3"/>
  </w:num>
  <w:num w:numId="20" w16cid:durableId="106124121">
    <w:abstractNumId w:val="2"/>
  </w:num>
  <w:num w:numId="21" w16cid:durableId="378868083">
    <w:abstractNumId w:val="6"/>
  </w:num>
  <w:num w:numId="22" w16cid:durableId="1338114201">
    <w:abstractNumId w:val="5"/>
  </w:num>
  <w:num w:numId="23" w16cid:durableId="1950774861">
    <w:abstractNumId w:val="3"/>
  </w:num>
  <w:num w:numId="24" w16cid:durableId="155611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5CFD"/>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3640"/>
    <w:rsid w:val="00094467"/>
    <w:rsid w:val="00095283"/>
    <w:rsid w:val="00095C28"/>
    <w:rsid w:val="000A01F0"/>
    <w:rsid w:val="000A1B16"/>
    <w:rsid w:val="000A53A4"/>
    <w:rsid w:val="000A6B88"/>
    <w:rsid w:val="000B0235"/>
    <w:rsid w:val="000B1FC9"/>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2C43"/>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0174"/>
    <w:rsid w:val="00253B4E"/>
    <w:rsid w:val="002543CF"/>
    <w:rsid w:val="00257AAF"/>
    <w:rsid w:val="0026062E"/>
    <w:rsid w:val="00260F50"/>
    <w:rsid w:val="00261EF7"/>
    <w:rsid w:val="00262C2F"/>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1155"/>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97D66"/>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0096"/>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172A"/>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72EF"/>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752"/>
    <w:rsid w:val="005169F4"/>
    <w:rsid w:val="00520AF9"/>
    <w:rsid w:val="00520BC0"/>
    <w:rsid w:val="005210D1"/>
    <w:rsid w:val="00523146"/>
    <w:rsid w:val="00523275"/>
    <w:rsid w:val="005268BC"/>
    <w:rsid w:val="00527C4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1028"/>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106D"/>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7E3"/>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2C99"/>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27A61"/>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0E7C"/>
    <w:rsid w:val="00C71759"/>
    <w:rsid w:val="00C71CEF"/>
    <w:rsid w:val="00C8199C"/>
    <w:rsid w:val="00C84112"/>
    <w:rsid w:val="00C841EB"/>
    <w:rsid w:val="00C8665F"/>
    <w:rsid w:val="00C86750"/>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6B6A"/>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0A6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165"/>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5CFB"/>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725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2F40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3098">
      <w:bodyDiv w:val="1"/>
      <w:marLeft w:val="0"/>
      <w:marRight w:val="0"/>
      <w:marTop w:val="0"/>
      <w:marBottom w:val="0"/>
      <w:divBdr>
        <w:top w:val="none" w:sz="0" w:space="0" w:color="auto"/>
        <w:left w:val="none" w:sz="0" w:space="0" w:color="auto"/>
        <w:bottom w:val="none" w:sz="0" w:space="0" w:color="auto"/>
        <w:right w:val="none" w:sz="0" w:space="0" w:color="auto"/>
      </w:divBdr>
    </w:div>
    <w:div w:id="1324357544">
      <w:bodyDiv w:val="1"/>
      <w:marLeft w:val="0"/>
      <w:marRight w:val="0"/>
      <w:marTop w:val="0"/>
      <w:marBottom w:val="0"/>
      <w:divBdr>
        <w:top w:val="none" w:sz="0" w:space="0" w:color="auto"/>
        <w:left w:val="none" w:sz="0" w:space="0" w:color="auto"/>
        <w:bottom w:val="none" w:sz="0" w:space="0" w:color="auto"/>
        <w:right w:val="none" w:sz="0" w:space="0" w:color="auto"/>
      </w:divBdr>
      <w:divsChild>
        <w:div w:id="888151494">
          <w:marLeft w:val="0"/>
          <w:marRight w:val="0"/>
          <w:marTop w:val="0"/>
          <w:marBottom w:val="0"/>
          <w:divBdr>
            <w:top w:val="none" w:sz="0" w:space="0" w:color="auto"/>
            <w:left w:val="none" w:sz="0" w:space="0" w:color="auto"/>
            <w:bottom w:val="none" w:sz="0" w:space="0" w:color="auto"/>
            <w:right w:val="none" w:sz="0" w:space="0" w:color="auto"/>
          </w:divBdr>
          <w:divsChild>
            <w:div w:id="2055881380">
              <w:marLeft w:val="0"/>
              <w:marRight w:val="0"/>
              <w:marTop w:val="0"/>
              <w:marBottom w:val="0"/>
              <w:divBdr>
                <w:top w:val="none" w:sz="0" w:space="0" w:color="auto"/>
                <w:left w:val="none" w:sz="0" w:space="0" w:color="auto"/>
                <w:bottom w:val="none" w:sz="0" w:space="0" w:color="auto"/>
                <w:right w:val="none" w:sz="0" w:space="0" w:color="auto"/>
              </w:divBdr>
              <w:divsChild>
                <w:div w:id="1427842000">
                  <w:marLeft w:val="0"/>
                  <w:marRight w:val="0"/>
                  <w:marTop w:val="0"/>
                  <w:marBottom w:val="0"/>
                  <w:divBdr>
                    <w:top w:val="none" w:sz="0" w:space="0" w:color="auto"/>
                    <w:left w:val="none" w:sz="0" w:space="0" w:color="auto"/>
                    <w:bottom w:val="none" w:sz="0" w:space="0" w:color="auto"/>
                    <w:right w:val="none" w:sz="0" w:space="0" w:color="auto"/>
                  </w:divBdr>
                  <w:divsChild>
                    <w:div w:id="308705150">
                      <w:marLeft w:val="0"/>
                      <w:marRight w:val="0"/>
                      <w:marTop w:val="0"/>
                      <w:marBottom w:val="0"/>
                      <w:divBdr>
                        <w:top w:val="none" w:sz="0" w:space="0" w:color="auto"/>
                        <w:left w:val="none" w:sz="0" w:space="0" w:color="auto"/>
                        <w:bottom w:val="none" w:sz="0" w:space="0" w:color="auto"/>
                        <w:right w:val="none" w:sz="0" w:space="0" w:color="auto"/>
                      </w:divBdr>
                      <w:divsChild>
                        <w:div w:id="376585064">
                          <w:marLeft w:val="0"/>
                          <w:marRight w:val="0"/>
                          <w:marTop w:val="0"/>
                          <w:marBottom w:val="0"/>
                          <w:divBdr>
                            <w:top w:val="none" w:sz="0" w:space="0" w:color="auto"/>
                            <w:left w:val="none" w:sz="0" w:space="0" w:color="auto"/>
                            <w:bottom w:val="none" w:sz="0" w:space="0" w:color="auto"/>
                            <w:right w:val="none" w:sz="0" w:space="0" w:color="auto"/>
                          </w:divBdr>
                          <w:divsChild>
                            <w:div w:id="1032341146">
                              <w:marLeft w:val="0"/>
                              <w:marRight w:val="0"/>
                              <w:marTop w:val="0"/>
                              <w:marBottom w:val="0"/>
                              <w:divBdr>
                                <w:top w:val="none" w:sz="0" w:space="0" w:color="auto"/>
                                <w:left w:val="none" w:sz="0" w:space="0" w:color="auto"/>
                                <w:bottom w:val="none" w:sz="0" w:space="0" w:color="auto"/>
                                <w:right w:val="none" w:sz="0" w:space="0" w:color="auto"/>
                              </w:divBdr>
                              <w:divsChild>
                                <w:div w:id="578173140">
                                  <w:marLeft w:val="0"/>
                                  <w:marRight w:val="0"/>
                                  <w:marTop w:val="0"/>
                                  <w:marBottom w:val="0"/>
                                  <w:divBdr>
                                    <w:top w:val="none" w:sz="0" w:space="0" w:color="auto"/>
                                    <w:left w:val="none" w:sz="0" w:space="0" w:color="auto"/>
                                    <w:bottom w:val="none" w:sz="0" w:space="0" w:color="auto"/>
                                    <w:right w:val="none" w:sz="0" w:space="0" w:color="auto"/>
                                  </w:divBdr>
                                  <w:divsChild>
                                    <w:div w:id="1612129610">
                                      <w:marLeft w:val="0"/>
                                      <w:marRight w:val="0"/>
                                      <w:marTop w:val="0"/>
                                      <w:marBottom w:val="0"/>
                                      <w:divBdr>
                                        <w:top w:val="none" w:sz="0" w:space="0" w:color="auto"/>
                                        <w:left w:val="none" w:sz="0" w:space="0" w:color="auto"/>
                                        <w:bottom w:val="none" w:sz="0" w:space="0" w:color="auto"/>
                                        <w:right w:val="none" w:sz="0" w:space="0" w:color="auto"/>
                                      </w:divBdr>
                                      <w:divsChild>
                                        <w:div w:id="838274872">
                                          <w:marLeft w:val="0"/>
                                          <w:marRight w:val="0"/>
                                          <w:marTop w:val="0"/>
                                          <w:marBottom w:val="0"/>
                                          <w:divBdr>
                                            <w:top w:val="none" w:sz="0" w:space="0" w:color="auto"/>
                                            <w:left w:val="none" w:sz="0" w:space="0" w:color="auto"/>
                                            <w:bottom w:val="none" w:sz="0" w:space="0" w:color="auto"/>
                                            <w:right w:val="none" w:sz="0" w:space="0" w:color="auto"/>
                                          </w:divBdr>
                                          <w:divsChild>
                                            <w:div w:id="514540079">
                                              <w:marLeft w:val="0"/>
                                              <w:marRight w:val="0"/>
                                              <w:marTop w:val="0"/>
                                              <w:marBottom w:val="0"/>
                                              <w:divBdr>
                                                <w:top w:val="none" w:sz="0" w:space="0" w:color="auto"/>
                                                <w:left w:val="none" w:sz="0" w:space="0" w:color="auto"/>
                                                <w:bottom w:val="none" w:sz="0" w:space="0" w:color="auto"/>
                                                <w:right w:val="none" w:sz="0" w:space="0" w:color="auto"/>
                                              </w:divBdr>
                                              <w:divsChild>
                                                <w:div w:id="1320646542">
                                                  <w:marLeft w:val="0"/>
                                                  <w:marRight w:val="0"/>
                                                  <w:marTop w:val="0"/>
                                                  <w:marBottom w:val="0"/>
                                                  <w:divBdr>
                                                    <w:top w:val="none" w:sz="0" w:space="0" w:color="auto"/>
                                                    <w:left w:val="none" w:sz="0" w:space="0" w:color="auto"/>
                                                    <w:bottom w:val="none" w:sz="0" w:space="0" w:color="auto"/>
                                                    <w:right w:val="none" w:sz="0" w:space="0" w:color="auto"/>
                                                  </w:divBdr>
                                                  <w:divsChild>
                                                    <w:div w:id="952328768">
                                                      <w:marLeft w:val="0"/>
                                                      <w:marRight w:val="0"/>
                                                      <w:marTop w:val="0"/>
                                                      <w:marBottom w:val="0"/>
                                                      <w:divBdr>
                                                        <w:top w:val="none" w:sz="0" w:space="0" w:color="auto"/>
                                                        <w:left w:val="none" w:sz="0" w:space="0" w:color="auto"/>
                                                        <w:bottom w:val="none" w:sz="0" w:space="0" w:color="auto"/>
                                                        <w:right w:val="none" w:sz="0" w:space="0" w:color="auto"/>
                                                      </w:divBdr>
                                                      <w:divsChild>
                                                        <w:div w:id="2066368575">
                                                          <w:marLeft w:val="0"/>
                                                          <w:marRight w:val="0"/>
                                                          <w:marTop w:val="0"/>
                                                          <w:marBottom w:val="0"/>
                                                          <w:divBdr>
                                                            <w:top w:val="none" w:sz="0" w:space="0" w:color="auto"/>
                                                            <w:left w:val="none" w:sz="0" w:space="0" w:color="auto"/>
                                                            <w:bottom w:val="none" w:sz="0" w:space="0" w:color="auto"/>
                                                            <w:right w:val="none" w:sz="0" w:space="0" w:color="auto"/>
                                                          </w:divBdr>
                                                          <w:divsChild>
                                                            <w:div w:id="1978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19-WP5D-C-1358/e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7a384f-429e-4300-a120-37a14a346a52" targetNamespace="http://schemas.microsoft.com/office/2006/metadata/properties" ma:root="true" ma:fieldsID="d41af5c836d734370eb92e7ee5f83852" ns2:_="" ns3:_="">
    <xsd:import namespace="996b2e75-67fd-4955-a3b0-5ab9934cb50b"/>
    <xsd:import namespace="257a384f-429e-4300-a120-37a14a346a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7a384f-429e-4300-a120-37a14a346a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257a384f-429e-4300-a120-37a14a346a52">DPM</DPM_x0020_Author>
    <DPM_x0020_File_x0020_name xmlns="257a384f-429e-4300-a120-37a14a346a52">R23-WRC23-C-0062!A27-A4!MSW-A</DPM_x0020_File_x0020_name>
    <DPM_x0020_Version xmlns="257a384f-429e-4300-a120-37a14a346a52">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7a384f-429e-4300-a120-37a14a346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B04F0C6-19C5-4FF2-90CF-608FFBED51FB}">
  <ds:schemaRefs>
    <ds:schemaRef ds:uri="http://schemas.openxmlformats.org/officeDocument/2006/bibliography"/>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57a384f-429e-4300-a120-37a14a346a52"/>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1352</Words>
  <Characters>7309</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R23-WRC23-C-0062!A27-A4!MSW-A</vt:lpstr>
      <vt:lpstr>R23-WRC23-C-0062!A27-A4!MSW-A</vt:lpstr>
    </vt:vector>
  </TitlesOfParts>
  <Manager>General Secretariat - Pool</Manager>
  <Company>International Telecommunication Union (ITU)</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R23-WRC23-C-0062!A27-A4!MSW-A</dc:title>
  <dc:creator>Documents Proposals Manager (DPM)</dc:creator>
  <cp:keywords>DPM_v2023.8.1.1_prod</cp:keywords>
  <cp:lastModifiedBy>Arabic_HS</cp:lastModifiedBy>
  <cp:revision>6</cp:revision>
  <cp:lastPrinted>2020-08-11T14:28:00Z</cp:lastPrinted>
  <dcterms:created xsi:type="dcterms:W3CDTF">2023-11-18T20:17:00Z</dcterms:created>
  <dcterms:modified xsi:type="dcterms:W3CDTF">2023-11-19T12:54:00Z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