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505528A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C5D5B9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4F4C229" wp14:editId="2CC978B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49026A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928548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B40645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2995F8" wp14:editId="7E6B247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ECF241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E05757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2785E8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BE0B46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BA8E91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A02E39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4AD395D" w14:textId="77777777" w:rsidTr="00752552">
        <w:trPr>
          <w:cantSplit/>
        </w:trPr>
        <w:tc>
          <w:tcPr>
            <w:tcW w:w="6696" w:type="dxa"/>
            <w:gridSpan w:val="2"/>
          </w:tcPr>
          <w:p w14:paraId="66748F07" w14:textId="77777777" w:rsidR="000D1EE4" w:rsidRPr="00A60A05" w:rsidRDefault="00E50850" w:rsidP="00A60A05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A60A0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09FFCAD" w14:textId="77777777" w:rsidR="000D1EE4" w:rsidRPr="00A60A05" w:rsidRDefault="00E50850" w:rsidP="00A60A0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60A05">
              <w:rPr>
                <w:rFonts w:eastAsia="SimSun"/>
                <w:b/>
                <w:bCs/>
                <w:rtl/>
                <w:lang w:bidi="ar-EG"/>
              </w:rPr>
              <w:t>الإضافة 18</w:t>
            </w:r>
            <w:r w:rsidRPr="00A60A0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60A05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52777494" w14:textId="77777777" w:rsidTr="00752552">
        <w:trPr>
          <w:cantSplit/>
        </w:trPr>
        <w:tc>
          <w:tcPr>
            <w:tcW w:w="6696" w:type="dxa"/>
            <w:gridSpan w:val="2"/>
          </w:tcPr>
          <w:p w14:paraId="747E6752" w14:textId="77777777" w:rsidR="000D1EE4" w:rsidRPr="00A60A05" w:rsidRDefault="000D1EE4" w:rsidP="00A60A0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04E9A05" w14:textId="77777777" w:rsidR="000D1EE4" w:rsidRPr="00A60A05" w:rsidRDefault="00E50850" w:rsidP="00A60A0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60A05">
              <w:rPr>
                <w:rFonts w:eastAsia="SimSun"/>
                <w:b/>
                <w:bCs/>
              </w:rPr>
              <w:t>4</w:t>
            </w:r>
            <w:r w:rsidRPr="00A60A0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60A0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B45B76E" w14:textId="77777777" w:rsidTr="00752552">
        <w:trPr>
          <w:cantSplit/>
        </w:trPr>
        <w:tc>
          <w:tcPr>
            <w:tcW w:w="6696" w:type="dxa"/>
            <w:gridSpan w:val="2"/>
          </w:tcPr>
          <w:p w14:paraId="4BC02589" w14:textId="77777777" w:rsidR="000D1EE4" w:rsidRPr="00A60A05" w:rsidRDefault="000D1EE4" w:rsidP="00A60A0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56CD575" w14:textId="77777777" w:rsidR="000D1EE4" w:rsidRPr="00A60A05" w:rsidRDefault="00E50850" w:rsidP="00A60A05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60A0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9BF2059" w14:textId="77777777" w:rsidTr="00752552">
        <w:trPr>
          <w:cantSplit/>
        </w:trPr>
        <w:tc>
          <w:tcPr>
            <w:tcW w:w="9666" w:type="dxa"/>
            <w:gridSpan w:val="4"/>
          </w:tcPr>
          <w:p w14:paraId="1C9ACD3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EFB6DF2" w14:textId="77777777" w:rsidTr="00752552">
        <w:trPr>
          <w:cantSplit/>
        </w:trPr>
        <w:tc>
          <w:tcPr>
            <w:tcW w:w="9666" w:type="dxa"/>
            <w:gridSpan w:val="4"/>
          </w:tcPr>
          <w:p w14:paraId="3448FC1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5D75AD2B" w14:textId="77777777" w:rsidTr="00752552">
        <w:trPr>
          <w:cantSplit/>
        </w:trPr>
        <w:tc>
          <w:tcPr>
            <w:tcW w:w="9666" w:type="dxa"/>
            <w:gridSpan w:val="4"/>
          </w:tcPr>
          <w:p w14:paraId="3EB5BF38" w14:textId="396C7479" w:rsidR="000D1EE4" w:rsidRPr="000D1EE4" w:rsidRDefault="00A60A05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842FC49" w14:textId="77777777" w:rsidTr="00752552">
        <w:trPr>
          <w:cantSplit/>
        </w:trPr>
        <w:tc>
          <w:tcPr>
            <w:tcW w:w="9666" w:type="dxa"/>
            <w:gridSpan w:val="4"/>
          </w:tcPr>
          <w:p w14:paraId="0681450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B1D6A1D" w14:textId="77777777" w:rsidTr="00752552">
        <w:trPr>
          <w:cantSplit/>
        </w:trPr>
        <w:tc>
          <w:tcPr>
            <w:tcW w:w="9666" w:type="dxa"/>
            <w:gridSpan w:val="4"/>
          </w:tcPr>
          <w:p w14:paraId="2CD539F6" w14:textId="6F39348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60A05">
              <w:rPr>
                <w:rFonts w:hint="cs"/>
                <w:rtl/>
              </w:rPr>
              <w:t xml:space="preserve"> </w:t>
            </w:r>
            <w:r w:rsidR="00A60A05">
              <w:rPr>
                <w:rtl/>
              </w:rPr>
              <w:t>18.1</w:t>
            </w:r>
          </w:p>
        </w:tc>
      </w:tr>
    </w:tbl>
    <w:p w14:paraId="027C828D" w14:textId="77777777" w:rsidR="00A60A05" w:rsidRPr="009B3B4A" w:rsidRDefault="00A60A05" w:rsidP="009B3B4A">
      <w:pPr>
        <w:rPr>
          <w:rtl/>
        </w:rPr>
      </w:pPr>
      <w:r w:rsidRPr="009B3B4A">
        <w:rPr>
          <w:bCs/>
          <w:lang w:val="es-ES"/>
        </w:rPr>
        <w:t>18.1</w:t>
      </w:r>
      <w:r w:rsidRPr="009B3B4A">
        <w:rPr>
          <w:b/>
          <w:lang w:val="es-ES"/>
        </w:rPr>
        <w:tab/>
      </w:r>
      <w:r w:rsidRPr="00306A26">
        <w:rPr>
          <w:rFonts w:hint="cs"/>
          <w:b/>
          <w:spacing w:val="-4"/>
          <w:rtl/>
          <w:lang w:val="es-ES" w:bidi="ar-EG"/>
        </w:rPr>
        <w:t xml:space="preserve">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النطاق، وفقاً للقرار </w:t>
      </w:r>
      <w:r w:rsidRPr="00E30032">
        <w:rPr>
          <w:b/>
          <w:bCs/>
          <w:spacing w:val="-4"/>
          <w:lang w:val="es-ES"/>
        </w:rPr>
        <w:t>248 (WRC-</w:t>
      </w:r>
      <w:proofErr w:type="gramStart"/>
      <w:r w:rsidRPr="00E30032">
        <w:rPr>
          <w:b/>
          <w:bCs/>
          <w:spacing w:val="-4"/>
          <w:lang w:val="es-ES"/>
        </w:rPr>
        <w:t>19)</w:t>
      </w:r>
      <w:r w:rsidRPr="00306A26">
        <w:rPr>
          <w:rFonts w:hint="cs"/>
          <w:b/>
          <w:spacing w:val="-4"/>
          <w:rtl/>
          <w:lang w:val="es-ES" w:bidi="ar-EG"/>
        </w:rPr>
        <w:t>؛</w:t>
      </w:r>
      <w:proofErr w:type="gramEnd"/>
    </w:p>
    <w:p w14:paraId="72E06A5A" w14:textId="2DB8E9D7" w:rsidR="00A60A05" w:rsidRDefault="00A60A05" w:rsidP="00AC425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96B81B6" w14:textId="5ED49FC8" w:rsidR="00C45930" w:rsidRPr="00B9403C" w:rsidRDefault="00AC4259" w:rsidP="00E56BD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بالنظر إلى الدراسات المحدودة التي أجريت لبيان التقاسم والتوافق بين الخدمة المتنقلة الساتلية </w:t>
      </w:r>
      <w:r w:rsidRPr="00465CE4">
        <w:t>(MSS)</w:t>
      </w:r>
      <w:r>
        <w:rPr>
          <w:rFonts w:hint="cs"/>
          <w:rtl/>
          <w:lang w:bidi="ar-EG"/>
        </w:rPr>
        <w:t xml:space="preserve"> ذات معدل البيانات المنخفض والخدمات القائمة في نطاقات التردد قيد النظر، يرى المؤتمر الأوروبي لإدارات البريد والاتصالات </w:t>
      </w:r>
      <w:r>
        <w:rPr>
          <w:lang w:bidi="ar-EG"/>
        </w:rPr>
        <w:t>(CEPT)</w:t>
      </w:r>
      <w:r>
        <w:rPr>
          <w:rFonts w:hint="cs"/>
          <w:rtl/>
          <w:lang w:bidi="ar-EG"/>
        </w:rPr>
        <w:t xml:space="preserve"> أنه قد لا يكون من الممكن منح توزيع جديد محتمل للخدمة المتنقلة الساتلية من أجل التطوير المستقبلي للأنظمة المتنقلة الساتلية </w:t>
      </w:r>
      <w:r w:rsidR="00930F49">
        <w:rPr>
          <w:rFonts w:hint="cs"/>
          <w:rtl/>
          <w:lang w:bidi="ar-EG"/>
        </w:rPr>
        <w:t xml:space="preserve">ضيقة النطاق </w:t>
      </w:r>
      <w:r>
        <w:rPr>
          <w:rFonts w:hint="cs"/>
          <w:rtl/>
          <w:lang w:bidi="ar-EG"/>
        </w:rPr>
        <w:t xml:space="preserve">وفقاً للقرار </w:t>
      </w:r>
      <w:r w:rsidRPr="00465CE4">
        <w:rPr>
          <w:b/>
          <w:bCs/>
        </w:rPr>
        <w:t>248 (WRC-19)</w:t>
      </w:r>
      <w:r>
        <w:rPr>
          <w:rFonts w:hint="cs"/>
          <w:rtl/>
          <w:lang w:bidi="ar-EG"/>
        </w:rPr>
        <w:t xml:space="preserve"> في المؤتمر </w:t>
      </w:r>
      <w:r w:rsidRPr="00465CE4">
        <w:t>WRC-23</w:t>
      </w:r>
      <w:r>
        <w:rPr>
          <w:rFonts w:hint="cs"/>
          <w:rtl/>
          <w:lang w:bidi="ar-EG"/>
        </w:rPr>
        <w:t xml:space="preserve"> في جميع نطاقات التردد قيد الدراسة. وعلاوة على ذلك، يسلط المؤتمر الأوروبي لإدارات البريد والاتصالات الضوء على أهمية الخدمات القائمة في هذه النطاقات، ولا سيما خدمة الأرصاد الجوية الساتلية في النطاق </w:t>
      </w:r>
      <w:r>
        <w:rPr>
          <w:lang w:bidi="ar-EG"/>
        </w:rPr>
        <w:t>MHz 1</w:t>
      </w:r>
      <w:r w:rsidR="00A7175A">
        <w:rPr>
          <w:lang w:bidi="ar-EG"/>
        </w:rPr>
        <w:t> </w:t>
      </w:r>
      <w:r>
        <w:rPr>
          <w:lang w:bidi="ar-EG"/>
        </w:rPr>
        <w:t>710-1</w:t>
      </w:r>
      <w:r w:rsidR="00A7175A">
        <w:rPr>
          <w:lang w:bidi="ar-EG"/>
        </w:rPr>
        <w:t> </w:t>
      </w:r>
      <w:r>
        <w:rPr>
          <w:lang w:bidi="ar-EG"/>
        </w:rPr>
        <w:t>695</w:t>
      </w:r>
      <w:r>
        <w:rPr>
          <w:rFonts w:hint="cs"/>
          <w:rtl/>
          <w:lang w:bidi="ar-EG"/>
        </w:rPr>
        <w:t xml:space="preserve">. ولذلك يقترح المؤتمر الأوروبي لإدارات البريد والاتصالات "عدم إدخال تغيير" على لوائح الراديو بالنسبة إلى جميع نطاقات التردد قيد النظر، أي </w:t>
      </w:r>
      <w:r w:rsidR="00407099">
        <w:rPr>
          <w:lang w:bidi="ar-EG"/>
        </w:rPr>
        <w:t>MHz 1</w:t>
      </w:r>
      <w:r w:rsidR="00A7175A">
        <w:rPr>
          <w:lang w:bidi="ar-EG"/>
        </w:rPr>
        <w:t> </w:t>
      </w:r>
      <w:r w:rsidR="00407099">
        <w:rPr>
          <w:lang w:bidi="ar-EG"/>
        </w:rPr>
        <w:t>710-1</w:t>
      </w:r>
      <w:r w:rsidR="00A7175A">
        <w:rPr>
          <w:lang w:bidi="ar-EG"/>
        </w:rPr>
        <w:t> </w:t>
      </w:r>
      <w:r w:rsidR="00407099">
        <w:rPr>
          <w:lang w:bidi="ar-EG"/>
        </w:rPr>
        <w:t>695</w:t>
      </w:r>
      <w:r>
        <w:rPr>
          <w:rFonts w:hint="cs"/>
          <w:rtl/>
          <w:lang w:bidi="ar-EG"/>
        </w:rPr>
        <w:t xml:space="preserve"> في الإقليم 2، و</w:t>
      </w:r>
      <w:r w:rsidR="00407099">
        <w:rPr>
          <w:lang w:bidi="ar-EG"/>
        </w:rPr>
        <w:t>MHz</w:t>
      </w:r>
      <w:r w:rsidR="00A7175A">
        <w:rPr>
          <w:lang w:bidi="ar-EG"/>
        </w:rPr>
        <w:t> </w:t>
      </w:r>
      <w:r w:rsidR="00407099">
        <w:rPr>
          <w:lang w:bidi="ar-EG"/>
        </w:rPr>
        <w:t>2 025-2 010</w:t>
      </w:r>
      <w:r>
        <w:rPr>
          <w:rFonts w:hint="cs"/>
          <w:rtl/>
          <w:lang w:bidi="ar-EG"/>
        </w:rPr>
        <w:t xml:space="preserve"> في الإقليم 1، و</w:t>
      </w:r>
      <w:r w:rsidR="00407099">
        <w:rPr>
          <w:lang w:bidi="ar-EG"/>
        </w:rPr>
        <w:t>MHz</w:t>
      </w:r>
      <w:r w:rsidR="00B9403C">
        <w:rPr>
          <w:lang w:bidi="ar-EG"/>
        </w:rPr>
        <w:t> </w:t>
      </w:r>
      <w:r w:rsidR="00407099">
        <w:rPr>
          <w:lang w:bidi="ar-EG"/>
        </w:rPr>
        <w:t>3 315-3 300</w:t>
      </w:r>
      <w:r>
        <w:rPr>
          <w:rFonts w:hint="cs"/>
          <w:rtl/>
          <w:lang w:bidi="ar-EG"/>
        </w:rPr>
        <w:t xml:space="preserve"> و</w:t>
      </w:r>
      <w:r w:rsidR="00407099">
        <w:rPr>
          <w:lang w:bidi="ar-EG"/>
        </w:rPr>
        <w:t>MHz 3 </w:t>
      </w:r>
      <w:r w:rsidR="00A7175A">
        <w:rPr>
          <w:lang w:bidi="ar-EG"/>
        </w:rPr>
        <w:t>400</w:t>
      </w:r>
      <w:r w:rsidR="00407099">
        <w:rPr>
          <w:lang w:bidi="ar-EG"/>
        </w:rPr>
        <w:t>-3 </w:t>
      </w:r>
      <w:r w:rsidR="00A7175A">
        <w:rPr>
          <w:lang w:bidi="ar-EG"/>
        </w:rPr>
        <w:t>385</w:t>
      </w:r>
      <w:r>
        <w:rPr>
          <w:rFonts w:hint="cs"/>
          <w:rtl/>
          <w:lang w:bidi="ar-EG"/>
        </w:rPr>
        <w:t xml:space="preserve"> في الإقليم 2. ونتيجة</w:t>
      </w:r>
      <w:r w:rsidR="00B9403C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لذلك، يؤيد المؤتمر الأوروبي لإدارات البريد والاتصالات إلغاء القرار </w:t>
      </w:r>
      <w:r w:rsidRPr="00465CE4">
        <w:rPr>
          <w:b/>
          <w:bCs/>
        </w:rPr>
        <w:t>248 (WRC-19)</w:t>
      </w:r>
      <w:r>
        <w:rPr>
          <w:rFonts w:hint="cs"/>
          <w:rtl/>
          <w:lang w:bidi="ar-EG"/>
        </w:rPr>
        <w:t>.</w:t>
      </w:r>
    </w:p>
    <w:p w14:paraId="3B2BFF01" w14:textId="4B9A622A" w:rsidR="00A60A05" w:rsidRDefault="00A60A05" w:rsidP="00276CD9">
      <w:pPr>
        <w:pStyle w:val="Headingb"/>
      </w:pPr>
      <w:r>
        <w:rPr>
          <w:rFonts w:hint="cs"/>
          <w:rtl/>
        </w:rPr>
        <w:t>المقترحات</w:t>
      </w:r>
    </w:p>
    <w:p w14:paraId="5DCD8F48" w14:textId="77777777" w:rsidR="00DE65D4" w:rsidRPr="007579F6" w:rsidRDefault="00DE65D4" w:rsidP="00DE65D4"/>
    <w:p w14:paraId="5C5C14DB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DC0C46D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73C6EFA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47A3D71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109402FA" w14:textId="77777777" w:rsidR="00A65EFC" w:rsidRDefault="00A60A05">
      <w:pPr>
        <w:pStyle w:val="Proposal"/>
      </w:pPr>
      <w:r>
        <w:rPr>
          <w:u w:val="single"/>
        </w:rPr>
        <w:t>NOC</w:t>
      </w:r>
      <w:r>
        <w:tab/>
        <w:t>EUR/65A18/1</w:t>
      </w:r>
    </w:p>
    <w:p w14:paraId="1942EC17" w14:textId="77777777" w:rsidR="00D9665F" w:rsidRDefault="002160EC" w:rsidP="00B9403C">
      <w:pPr>
        <w:pStyle w:val="Tabletitle"/>
        <w:rPr>
          <w:rtl/>
        </w:rPr>
      </w:pPr>
      <w:r>
        <w:t>MHz 1 710-1 660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2B34ED2D" w14:textId="77777777" w:rsidTr="005742F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BD5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28C323BC" w14:textId="77777777" w:rsidTr="005742F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A62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31F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4DA2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6EBFAAD3" w14:textId="77777777" w:rsidTr="005742F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3FA9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1 700-1 690</w:t>
            </w:r>
          </w:p>
          <w:p w14:paraId="7520ACDF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>مساعدات أرصاد جوية</w:t>
            </w:r>
          </w:p>
          <w:p w14:paraId="0194CE3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ind w:left="143" w:hanging="143"/>
            </w:pPr>
            <w:r w:rsidRPr="00A7175A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14:paraId="44B6E5E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tl/>
              </w:rPr>
              <w:t>ثابتة</w:t>
            </w:r>
          </w:p>
          <w:p w14:paraId="379F6A7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tl/>
              </w:rPr>
              <w:t>متنقلة باستثناء المتنقلة للطيران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3894D" w14:textId="51E19B1F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700-1 690</w:t>
            </w:r>
          </w:p>
          <w:p w14:paraId="5D7752C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مساعدات أرصاد جوية</w:t>
            </w:r>
          </w:p>
          <w:p w14:paraId="45AF3CE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</w:tc>
      </w:tr>
      <w:tr w:rsidR="00D9665F" w14:paraId="5A5B906A" w14:textId="77777777" w:rsidTr="005742F8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31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382.5  341.5</w:t>
            </w:r>
            <w:proofErr w:type="gramEnd"/>
            <w:r>
              <w:rPr>
                <w:rStyle w:val="Artref"/>
              </w:rPr>
              <w:t xml:space="preserve">  289.5</w:t>
            </w:r>
          </w:p>
        </w:tc>
        <w:tc>
          <w:tcPr>
            <w:tcW w:w="6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BF6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  <w:rtl/>
              </w:rPr>
            </w:pP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381.5  341.5</w:t>
            </w:r>
            <w:proofErr w:type="gramEnd"/>
            <w:r>
              <w:rPr>
                <w:rStyle w:val="Artref"/>
              </w:rPr>
              <w:t xml:space="preserve">  289.5</w:t>
            </w:r>
          </w:p>
        </w:tc>
      </w:tr>
      <w:tr w:rsidR="00D9665F" w14:paraId="7268C486" w14:textId="77777777" w:rsidTr="005742F8">
        <w:trPr>
          <w:cantSplit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007DB" w14:textId="07FFCB4F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710-1 700</w:t>
            </w:r>
          </w:p>
          <w:p w14:paraId="32FA0BC4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3DA22250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14:paraId="100B352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3B839" w14:textId="2FF7F4F3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710-1 700</w:t>
            </w:r>
          </w:p>
          <w:p w14:paraId="3EBF110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>ثابتة</w:t>
            </w:r>
          </w:p>
          <w:p w14:paraId="42FC83A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14:paraId="6C54205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D9665F" w14:paraId="4A9EE1F0" w14:textId="77777777" w:rsidTr="005742F8">
        <w:trPr>
          <w:cantSplit/>
          <w:jc w:val="center"/>
        </w:trPr>
        <w:tc>
          <w:tcPr>
            <w:tcW w:w="6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47AF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341.5  289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9E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384.5  341.5</w:t>
            </w:r>
            <w:proofErr w:type="gramEnd"/>
            <w:r>
              <w:rPr>
                <w:rStyle w:val="Artref"/>
              </w:rPr>
              <w:t xml:space="preserve">  289.5</w:t>
            </w:r>
          </w:p>
        </w:tc>
      </w:tr>
    </w:tbl>
    <w:p w14:paraId="4C4E9EA9" w14:textId="36559EBB" w:rsidR="00A65EFC" w:rsidRPr="005742F8" w:rsidRDefault="00A60A05" w:rsidP="005742F8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AC4259" w:rsidRPr="00930F49">
        <w:rPr>
          <w:rFonts w:hint="cs"/>
          <w:b w:val="0"/>
          <w:bCs w:val="0"/>
          <w:rtl/>
          <w:lang w:bidi="ar-EG"/>
        </w:rPr>
        <w:t xml:space="preserve">بالنظر إلى الدراسات المحدودة التي أجريت لبيان التقاسم والتوافق بين الخدمة المتنقلة الساتلية </w:t>
      </w:r>
      <w:r w:rsidR="00AC4259" w:rsidRPr="00930F49">
        <w:rPr>
          <w:b w:val="0"/>
          <w:bCs w:val="0"/>
        </w:rPr>
        <w:t>(MSS)</w:t>
      </w:r>
      <w:r w:rsidR="00AC4259" w:rsidRPr="00930F49">
        <w:rPr>
          <w:rFonts w:hint="cs"/>
          <w:b w:val="0"/>
          <w:bCs w:val="0"/>
          <w:rtl/>
          <w:lang w:bidi="ar-EG"/>
        </w:rPr>
        <w:t xml:space="preserve"> ذات معدل البيانات المنخفض والخدمات القائمة في نطاقات التردد قيد النظر،</w:t>
      </w:r>
      <w:r w:rsidR="00930F49">
        <w:rPr>
          <w:rFonts w:hint="cs"/>
          <w:b w:val="0"/>
          <w:bCs w:val="0"/>
          <w:rtl/>
          <w:lang w:bidi="ar-EG"/>
        </w:rPr>
        <w:t xml:space="preserve"> وأهمية الخدمات القائمة في هذه النطاقات، ولاسيما خدمة الأرصاد الجوية الساتلية،</w:t>
      </w:r>
      <w:r w:rsidR="00AC4259" w:rsidRPr="00930F49">
        <w:rPr>
          <w:rFonts w:hint="cs"/>
          <w:b w:val="0"/>
          <w:bCs w:val="0"/>
          <w:rtl/>
          <w:lang w:bidi="ar-EG"/>
        </w:rPr>
        <w:t xml:space="preserve"> قد لا يكون من الممكن منح توزيع جديد محتمل للخدمة المتنقلة الساتلية من أجل التطوير المستقبلي للأنظمة المتنقلة الساتلية</w:t>
      </w:r>
      <w:r w:rsidR="00930F49">
        <w:rPr>
          <w:rFonts w:hint="cs"/>
          <w:b w:val="0"/>
          <w:bCs w:val="0"/>
          <w:rtl/>
          <w:lang w:bidi="ar-EG"/>
        </w:rPr>
        <w:t xml:space="preserve"> ضيقة النطاق</w:t>
      </w:r>
      <w:r w:rsidR="00AC4259" w:rsidRPr="00930F49">
        <w:rPr>
          <w:rFonts w:hint="cs"/>
          <w:b w:val="0"/>
          <w:bCs w:val="0"/>
          <w:rtl/>
          <w:lang w:bidi="ar-EG"/>
        </w:rPr>
        <w:t xml:space="preserve"> وفقاً للقرار </w:t>
      </w:r>
      <w:r w:rsidR="00AC4259" w:rsidRPr="00930F49">
        <w:t>248 (WRC-19)</w:t>
      </w:r>
      <w:r w:rsidR="00AC4259" w:rsidRPr="00930F49">
        <w:rPr>
          <w:rFonts w:hint="cs"/>
          <w:b w:val="0"/>
          <w:bCs w:val="0"/>
          <w:rtl/>
          <w:lang w:bidi="ar-EG"/>
        </w:rPr>
        <w:t xml:space="preserve"> في المؤتمر </w:t>
      </w:r>
      <w:r w:rsidR="00AC4259" w:rsidRPr="00930F49">
        <w:rPr>
          <w:b w:val="0"/>
          <w:bCs w:val="0"/>
        </w:rPr>
        <w:t>WRC-23</w:t>
      </w:r>
      <w:r w:rsidR="00AC4259" w:rsidRPr="00930F49">
        <w:rPr>
          <w:rFonts w:hint="cs"/>
          <w:b w:val="0"/>
          <w:bCs w:val="0"/>
          <w:rtl/>
          <w:lang w:bidi="ar-EG"/>
        </w:rPr>
        <w:t>.</w:t>
      </w:r>
    </w:p>
    <w:p w14:paraId="7F299780" w14:textId="77777777" w:rsidR="00A65EFC" w:rsidRDefault="00A60A05">
      <w:pPr>
        <w:pStyle w:val="Proposal"/>
      </w:pPr>
      <w:r>
        <w:rPr>
          <w:u w:val="single"/>
        </w:rPr>
        <w:t>NOC</w:t>
      </w:r>
      <w:r>
        <w:tab/>
        <w:t>EUR/65A18/2</w:t>
      </w:r>
    </w:p>
    <w:p w14:paraId="79A60F18" w14:textId="7B4ADFE4" w:rsidR="00D9665F" w:rsidRDefault="002160EC">
      <w:pPr>
        <w:pStyle w:val="Tabletitle"/>
        <w:rPr>
          <w:rtl/>
        </w:rPr>
      </w:pPr>
      <w:r>
        <w:t>MHz 2</w:t>
      </w:r>
      <w:r w:rsidR="005742F8">
        <w:t> </w:t>
      </w:r>
      <w:r>
        <w:t>170-1</w:t>
      </w:r>
      <w:r w:rsidR="005742F8">
        <w:t> </w:t>
      </w:r>
      <w:r>
        <w:t>710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98"/>
        <w:gridCol w:w="3097"/>
        <w:gridCol w:w="8"/>
      </w:tblGrid>
      <w:tr w:rsidR="00D9665F" w14:paraId="3378B747" w14:textId="77777777" w:rsidTr="005742F8">
        <w:trPr>
          <w:gridAfter w:val="1"/>
          <w:wAfter w:w="8" w:type="dxa"/>
          <w:jc w:val="center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06D3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5F99B07F" w14:textId="77777777" w:rsidTr="005742F8">
        <w:trPr>
          <w:gridAfter w:val="1"/>
          <w:wAfter w:w="8" w:type="dxa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48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32E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836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3C5C5F4A" w14:textId="77777777" w:rsidTr="005742F8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9156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Tablefreq"/>
                <w:rFonts w:eastAsia="Arial Unicode MS"/>
              </w:rPr>
            </w:pPr>
            <w:r>
              <w:rPr>
                <w:rStyle w:val="Tablefreq"/>
              </w:rPr>
              <w:t>2 025-2 010</w:t>
            </w:r>
          </w:p>
          <w:p w14:paraId="4967C5F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ثابتة</w:t>
            </w:r>
          </w:p>
          <w:p w14:paraId="2D21BC7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proofErr w:type="gramStart"/>
            <w:r>
              <w:rPr>
                <w:b/>
                <w:bCs/>
                <w:rtl/>
              </w:rPr>
              <w:t xml:space="preserve">متنقلة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388A.5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388B.5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7FC1F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Tablefreq"/>
                <w:rFonts w:eastAsia="Arial Unicode MS"/>
              </w:rPr>
            </w:pPr>
            <w:r>
              <w:rPr>
                <w:rStyle w:val="Tablefreq"/>
              </w:rPr>
              <w:t>2 025-2 010</w:t>
            </w:r>
          </w:p>
          <w:p w14:paraId="1E9FF16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ثابتة</w:t>
            </w:r>
          </w:p>
          <w:p w14:paraId="78FCC27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 xml:space="preserve">متنقلة </w:t>
            </w:r>
          </w:p>
          <w:p w14:paraId="13BDACC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AC5EE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Tablefreq"/>
                <w:rFonts w:eastAsia="Arial Unicode MS"/>
              </w:rPr>
            </w:pPr>
            <w:r>
              <w:rPr>
                <w:rStyle w:val="Tablefreq"/>
              </w:rPr>
              <w:t>2 025-2 010</w:t>
            </w:r>
          </w:p>
          <w:p w14:paraId="42A821A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ثابتة</w:t>
            </w:r>
          </w:p>
          <w:p w14:paraId="4720474E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</w:pPr>
            <w:proofErr w:type="gramStart"/>
            <w:r>
              <w:rPr>
                <w:b/>
                <w:bCs/>
                <w:rtl/>
              </w:rPr>
              <w:t xml:space="preserve">متنقلة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388A.5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388B.5</w:t>
            </w:r>
          </w:p>
        </w:tc>
      </w:tr>
      <w:tr w:rsidR="00D9665F" w14:paraId="00EC8654" w14:textId="77777777" w:rsidTr="005742F8">
        <w:trPr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F90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Artref"/>
              </w:rPr>
              <w:t>388.5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7D7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388.5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389C.5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389E.5</w:t>
            </w:r>
            <w:r>
              <w:rPr>
                <w:rStyle w:val="Artref"/>
                <w:rtl/>
              </w:rPr>
              <w:t xml:space="preserve">  </w:t>
            </w:r>
          </w:p>
        </w:tc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58D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</w:rPr>
              <w:t>388.5</w:t>
            </w:r>
          </w:p>
        </w:tc>
      </w:tr>
    </w:tbl>
    <w:p w14:paraId="4F2E0B18" w14:textId="3E2FD20F" w:rsidR="00A65EFC" w:rsidRPr="00A60A05" w:rsidRDefault="00A60A05" w:rsidP="00276CD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30F49" w:rsidRPr="00930F49">
        <w:rPr>
          <w:rFonts w:hint="cs"/>
          <w:b w:val="0"/>
          <w:bCs w:val="0"/>
          <w:rtl/>
          <w:lang w:bidi="ar-EG"/>
        </w:rPr>
        <w:t xml:space="preserve">بالنظر إلى الدراسات التي أجريت لبيان التقاسم والتوافق بين الخدمة المتنقلة الساتلية </w:t>
      </w:r>
      <w:r w:rsidR="00930F49" w:rsidRPr="00930F49">
        <w:rPr>
          <w:b w:val="0"/>
          <w:bCs w:val="0"/>
        </w:rPr>
        <w:t>(MSS)</w:t>
      </w:r>
      <w:r w:rsidR="00930F49" w:rsidRPr="00930F49">
        <w:rPr>
          <w:rFonts w:hint="cs"/>
          <w:b w:val="0"/>
          <w:bCs w:val="0"/>
          <w:rtl/>
          <w:lang w:bidi="ar-EG"/>
        </w:rPr>
        <w:t xml:space="preserve"> ذات معدل البيانات المنخفض والخدمات القائمة في نطاق التردد</w:t>
      </w:r>
      <w:r w:rsidR="00930F49">
        <w:rPr>
          <w:rFonts w:hint="cs"/>
          <w:b w:val="0"/>
          <w:bCs w:val="0"/>
          <w:rtl/>
          <w:lang w:bidi="ar-EG"/>
        </w:rPr>
        <w:t xml:space="preserve"> </w:t>
      </w:r>
      <w:r w:rsidR="00930F49">
        <w:rPr>
          <w:b w:val="0"/>
          <w:bCs w:val="0"/>
          <w:lang w:bidi="ar-EG"/>
        </w:rPr>
        <w:t>MHz 2025-2010</w:t>
      </w:r>
      <w:r w:rsidR="00930F49" w:rsidRPr="00930F49">
        <w:rPr>
          <w:rFonts w:hint="cs"/>
          <w:b w:val="0"/>
          <w:bCs w:val="0"/>
          <w:rtl/>
          <w:lang w:bidi="ar-EG"/>
        </w:rPr>
        <w:t xml:space="preserve"> </w:t>
      </w:r>
      <w:r w:rsidR="00930F49">
        <w:rPr>
          <w:rFonts w:hint="cs"/>
          <w:b w:val="0"/>
          <w:bCs w:val="0"/>
          <w:rtl/>
          <w:lang w:bidi="ar-EG"/>
        </w:rPr>
        <w:t>لم تكتمل بعد</w:t>
      </w:r>
      <w:r w:rsidR="00930F49" w:rsidRPr="00930F49">
        <w:rPr>
          <w:rFonts w:hint="cs"/>
          <w:b w:val="0"/>
          <w:bCs w:val="0"/>
          <w:rtl/>
          <w:lang w:bidi="ar-EG"/>
        </w:rPr>
        <w:t>،</w:t>
      </w:r>
      <w:r w:rsidR="00930F49">
        <w:rPr>
          <w:rFonts w:hint="cs"/>
          <w:b w:val="0"/>
          <w:bCs w:val="0"/>
          <w:rtl/>
          <w:lang w:bidi="ar-EG"/>
        </w:rPr>
        <w:t xml:space="preserve"> </w:t>
      </w:r>
      <w:r w:rsidR="00930F49" w:rsidRPr="00930F49">
        <w:rPr>
          <w:rFonts w:hint="cs"/>
          <w:b w:val="0"/>
          <w:bCs w:val="0"/>
          <w:rtl/>
          <w:lang w:bidi="ar-EG"/>
        </w:rPr>
        <w:t>قد لا يكون من الممكن منح توزيع جديد محتمل للخدمة المتنقلة الساتلية من أجل التطوير المستقبلي للأنظمة المتنقلة الساتلية</w:t>
      </w:r>
      <w:r w:rsidR="00930F49">
        <w:rPr>
          <w:rFonts w:hint="cs"/>
          <w:b w:val="0"/>
          <w:bCs w:val="0"/>
          <w:rtl/>
          <w:lang w:bidi="ar-EG"/>
        </w:rPr>
        <w:t xml:space="preserve"> ضيقة النطاق</w:t>
      </w:r>
      <w:r w:rsidR="00930F49" w:rsidRPr="00930F49">
        <w:rPr>
          <w:rFonts w:hint="cs"/>
          <w:b w:val="0"/>
          <w:bCs w:val="0"/>
          <w:rtl/>
          <w:lang w:bidi="ar-EG"/>
        </w:rPr>
        <w:t xml:space="preserve"> وفقاً للقرار </w:t>
      </w:r>
      <w:r w:rsidR="00930F49" w:rsidRPr="00930F49">
        <w:t>248 (WRC-19)</w:t>
      </w:r>
      <w:r w:rsidR="00930F49" w:rsidRPr="00930F49">
        <w:rPr>
          <w:rFonts w:hint="cs"/>
          <w:b w:val="0"/>
          <w:bCs w:val="0"/>
          <w:rtl/>
          <w:lang w:bidi="ar-EG"/>
        </w:rPr>
        <w:t xml:space="preserve"> في المؤتمر </w:t>
      </w:r>
      <w:r w:rsidR="00930F49" w:rsidRPr="00930F49">
        <w:rPr>
          <w:b w:val="0"/>
          <w:bCs w:val="0"/>
        </w:rPr>
        <w:t>WRC-23</w:t>
      </w:r>
      <w:r w:rsidR="00930F49">
        <w:rPr>
          <w:rFonts w:hint="cs"/>
          <w:b w:val="0"/>
          <w:bCs w:val="0"/>
          <w:rtl/>
        </w:rPr>
        <w:t>.</w:t>
      </w:r>
    </w:p>
    <w:p w14:paraId="346C71A2" w14:textId="77777777" w:rsidR="00A65EFC" w:rsidRDefault="00A60A05">
      <w:pPr>
        <w:pStyle w:val="Proposal"/>
      </w:pPr>
      <w:r>
        <w:rPr>
          <w:u w:val="single"/>
        </w:rPr>
        <w:lastRenderedPageBreak/>
        <w:t>NOC</w:t>
      </w:r>
      <w:r>
        <w:tab/>
        <w:t>EUR/65A18/3</w:t>
      </w:r>
    </w:p>
    <w:p w14:paraId="3F502C7E" w14:textId="77777777" w:rsidR="00D9665F" w:rsidRDefault="002160EC">
      <w:pPr>
        <w:pStyle w:val="Tabletitle"/>
        <w:rPr>
          <w:rtl/>
        </w:rPr>
      </w:pPr>
      <w:r>
        <w:t>MHz 3 600-2 700</w:t>
      </w:r>
    </w:p>
    <w:tbl>
      <w:tblPr>
        <w:bidiVisual/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D9665F" w14:paraId="652C7B98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01C7B30C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55E7083C" w14:textId="77777777" w:rsidTr="00D9665F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768E64D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4FBE744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588087CF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line="300" w:lineRule="exact"/>
              <w:ind w:left="227" w:right="57" w:hanging="17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61694D3C" w14:textId="77777777" w:rsidTr="00D9665F">
        <w:trPr>
          <w:cantSplit/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104376CC" w14:textId="72660A69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400-3 300</w:t>
            </w:r>
          </w:p>
          <w:p w14:paraId="0731286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03E6FAE4" w14:textId="536BA22E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400-3 300</w:t>
            </w:r>
          </w:p>
          <w:p w14:paraId="4F33B4A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  <w:p w14:paraId="0DA62A8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هواة</w:t>
            </w:r>
          </w:p>
          <w:p w14:paraId="3AB98DC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ثابتة</w:t>
            </w:r>
          </w:p>
          <w:p w14:paraId="7B80C8E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متنقلة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16A76BC8" w14:textId="3436840B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3</w:t>
            </w:r>
            <w:r w:rsidR="005742F8">
              <w:rPr>
                <w:rStyle w:val="Tablefreq"/>
              </w:rPr>
              <w:t> </w:t>
            </w:r>
            <w:r>
              <w:rPr>
                <w:rStyle w:val="Tablefreq"/>
              </w:rPr>
              <w:t>400-3 300</w:t>
            </w:r>
          </w:p>
          <w:p w14:paraId="2FDE9DDE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b/>
                <w:bCs/>
                <w:rtl/>
              </w:rPr>
              <w:t>تحديد راديوي للموقع</w:t>
            </w:r>
          </w:p>
          <w:p w14:paraId="0A5B08B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</w:pPr>
            <w:r>
              <w:rPr>
                <w:rtl/>
              </w:rPr>
              <w:t>هواة</w:t>
            </w:r>
          </w:p>
        </w:tc>
      </w:tr>
      <w:tr w:rsidR="00D9665F" w14:paraId="3C87E52E" w14:textId="77777777" w:rsidTr="00CB3FF3">
        <w:trPr>
          <w:cantSplit/>
          <w:trHeight w:val="20"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1FC4D5F5" w14:textId="77777777" w:rsidR="00D9665F" w:rsidRDefault="002160EC" w:rsidP="00CB3FF3">
            <w:pPr>
              <w:pStyle w:val="TabletextS50"/>
              <w:tabs>
                <w:tab w:val="clear" w:pos="1985"/>
                <w:tab w:val="left" w:pos="374"/>
              </w:tabs>
              <w:ind w:left="57" w:right="57" w:firstLine="0"/>
              <w:rPr>
                <w:rStyle w:val="Artref"/>
                <w:spacing w:val="-4"/>
              </w:rPr>
            </w:pPr>
            <w:r>
              <w:rPr>
                <w:rStyle w:val="Artref"/>
                <w:spacing w:val="-4"/>
              </w:rPr>
              <w:t xml:space="preserve">  </w:t>
            </w:r>
            <w:proofErr w:type="gramStart"/>
            <w:r>
              <w:rPr>
                <w:rStyle w:val="Artref"/>
                <w:spacing w:val="-4"/>
              </w:rPr>
              <w:t>429B.5  429A.5</w:t>
            </w:r>
            <w:proofErr w:type="gramEnd"/>
            <w:r>
              <w:rPr>
                <w:rStyle w:val="Artref"/>
                <w:spacing w:val="-4"/>
              </w:rPr>
              <w:t xml:space="preserve">  429.5  </w:t>
            </w:r>
            <w:r w:rsidR="00CB3FF3">
              <w:rPr>
                <w:rStyle w:val="Artref"/>
                <w:spacing w:val="-4"/>
              </w:rPr>
              <w:t>149.5</w:t>
            </w:r>
            <w:r w:rsidR="00CB3FF3">
              <w:rPr>
                <w:rStyle w:val="Artref"/>
                <w:spacing w:val="-4"/>
              </w:rPr>
              <w:br/>
              <w:t>430.5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5D50E5B4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429D.5  429C.5</w:t>
            </w:r>
            <w:proofErr w:type="gramEnd"/>
            <w:r>
              <w:rPr>
                <w:rStyle w:val="Artref"/>
              </w:rPr>
              <w:t xml:space="preserve">  149.5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03891218" w14:textId="28450AAA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ind w:left="227" w:right="57"/>
              <w:rPr>
                <w:rStyle w:val="Artref"/>
                <w:rtl/>
              </w:rPr>
            </w:pPr>
            <w:proofErr w:type="gramStart"/>
            <w:r>
              <w:rPr>
                <w:rStyle w:val="Artref"/>
              </w:rPr>
              <w:t>429</w:t>
            </w:r>
            <w:r w:rsidR="001D68DE">
              <w:rPr>
                <w:rStyle w:val="Artref"/>
              </w:rPr>
              <w:t>F</w:t>
            </w:r>
            <w:r>
              <w:rPr>
                <w:rStyle w:val="Artref"/>
              </w:rPr>
              <w:t>.5  429E.5</w:t>
            </w:r>
            <w:proofErr w:type="gramEnd"/>
            <w:r>
              <w:rPr>
                <w:rStyle w:val="Artref"/>
              </w:rPr>
              <w:t xml:space="preserve">  429.5  149.5</w:t>
            </w:r>
          </w:p>
        </w:tc>
      </w:tr>
    </w:tbl>
    <w:p w14:paraId="6627949C" w14:textId="0B5E5D59" w:rsidR="00A65EFC" w:rsidRPr="00A60A05" w:rsidRDefault="00A60A05" w:rsidP="00276CD9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87710A" w:rsidRPr="0087710A">
        <w:rPr>
          <w:rFonts w:hint="cs"/>
          <w:b w:val="0"/>
          <w:bCs w:val="0"/>
          <w:rtl/>
          <w:lang w:bidi="ar-EG"/>
        </w:rPr>
        <w:t xml:space="preserve">بالنظر إلى الدراسات المحدودة التي أجريت لبيان التقاسم والتوافق بين الخدمة المتنقلة الساتلية </w:t>
      </w:r>
      <w:r w:rsidR="0087710A" w:rsidRPr="0087710A">
        <w:rPr>
          <w:b w:val="0"/>
          <w:bCs w:val="0"/>
        </w:rPr>
        <w:t>(MSS)</w:t>
      </w:r>
      <w:r w:rsidR="0087710A" w:rsidRPr="0087710A">
        <w:rPr>
          <w:rFonts w:hint="cs"/>
          <w:b w:val="0"/>
          <w:bCs w:val="0"/>
          <w:rtl/>
          <w:lang w:bidi="ar-EG"/>
        </w:rPr>
        <w:t xml:space="preserve"> ذات معدل البيانات المنخفض والخدمات القائمة في نطاقات التردد قيد النظر،</w:t>
      </w:r>
      <w:r w:rsidR="0087710A">
        <w:rPr>
          <w:rFonts w:hint="cs"/>
          <w:b w:val="0"/>
          <w:bCs w:val="0"/>
          <w:rtl/>
          <w:lang w:bidi="ar-EG"/>
        </w:rPr>
        <w:t xml:space="preserve"> وأهمية الخدمات القائمة في هذه النطاقات،</w:t>
      </w:r>
      <w:r w:rsidR="0087710A" w:rsidRPr="0087710A">
        <w:rPr>
          <w:rFonts w:hint="cs"/>
          <w:b w:val="0"/>
          <w:bCs w:val="0"/>
          <w:rtl/>
          <w:lang w:bidi="ar-EG"/>
        </w:rPr>
        <w:t xml:space="preserve"> قد لا يكون من الممكن منح توزيع جديد محتمل للخدمة المتنقلة الساتلية من أجل التطوير المستقبلي للأنظمة المتنقلة الساتلية ضيقة النطاق وفقاً للقرار </w:t>
      </w:r>
      <w:r w:rsidR="0087710A" w:rsidRPr="0087710A">
        <w:t>248 (WRC-19)</w:t>
      </w:r>
      <w:r w:rsidR="0087710A" w:rsidRPr="0087710A">
        <w:rPr>
          <w:rFonts w:hint="cs"/>
          <w:b w:val="0"/>
          <w:bCs w:val="0"/>
          <w:rtl/>
          <w:lang w:bidi="ar-EG"/>
        </w:rPr>
        <w:t xml:space="preserve"> في المؤتمر </w:t>
      </w:r>
      <w:r w:rsidR="0087710A" w:rsidRPr="0087710A">
        <w:rPr>
          <w:b w:val="0"/>
          <w:bCs w:val="0"/>
        </w:rPr>
        <w:t>WRC-23</w:t>
      </w:r>
      <w:r w:rsidR="0087710A" w:rsidRPr="0087710A">
        <w:rPr>
          <w:rFonts w:hint="cs"/>
          <w:b w:val="0"/>
          <w:bCs w:val="0"/>
          <w:rtl/>
          <w:lang w:bidi="ar-EG"/>
        </w:rPr>
        <w:t>.</w:t>
      </w:r>
    </w:p>
    <w:p w14:paraId="177D1F1C" w14:textId="77777777" w:rsidR="00A65EFC" w:rsidRDefault="00A60A05">
      <w:pPr>
        <w:pStyle w:val="Proposal"/>
      </w:pPr>
      <w:r>
        <w:t>SUP</w:t>
      </w:r>
      <w:r>
        <w:tab/>
        <w:t>EUR/65A18/4</w:t>
      </w:r>
      <w:r>
        <w:rPr>
          <w:vanish/>
          <w:color w:val="7F7F7F" w:themeColor="text1" w:themeTint="80"/>
          <w:vertAlign w:val="superscript"/>
        </w:rPr>
        <w:t>#1905</w:t>
      </w:r>
    </w:p>
    <w:p w14:paraId="361F2102" w14:textId="77777777" w:rsidR="00A60A05" w:rsidRPr="004E6F25" w:rsidRDefault="00A60A05" w:rsidP="00077E81">
      <w:pPr>
        <w:pStyle w:val="ResNo"/>
      </w:pPr>
      <w:r w:rsidRPr="004E6F25">
        <w:rPr>
          <w:rFonts w:hint="cs"/>
          <w:rtl/>
        </w:rPr>
        <w:t xml:space="preserve">القرار </w:t>
      </w:r>
      <w:r w:rsidRPr="004E6F25">
        <w:t>248 (WRC-19)</w:t>
      </w:r>
    </w:p>
    <w:p w14:paraId="6342072A" w14:textId="77777777" w:rsidR="00A60A05" w:rsidRPr="004E6F25" w:rsidRDefault="00A60A05" w:rsidP="00077E81">
      <w:pPr>
        <w:pStyle w:val="Restitle"/>
      </w:pPr>
      <w:r w:rsidRPr="004E6F25">
        <w:rPr>
          <w:rFonts w:hint="eastAsia"/>
          <w:rtl/>
        </w:rPr>
        <w:t>دراسات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بشأن </w:t>
      </w:r>
      <w:r w:rsidRPr="004E6F25">
        <w:rPr>
          <w:rtl/>
        </w:rPr>
        <w:t xml:space="preserve">الاحتياجات </w:t>
      </w:r>
      <w:r w:rsidRPr="004E6F25">
        <w:rPr>
          <w:rFonts w:hint="cs"/>
          <w:rtl/>
        </w:rPr>
        <w:t xml:space="preserve">من الطيف </w:t>
      </w:r>
      <w:r w:rsidRPr="004E6F25">
        <w:rPr>
          <w:rFonts w:hint="eastAsia"/>
          <w:rtl/>
        </w:rPr>
        <w:t>والتوزيعات</w:t>
      </w:r>
      <w:r w:rsidRPr="004E6F25">
        <w:rPr>
          <w:rtl/>
        </w:rPr>
        <w:t xml:space="preserve"> الجديدة المحتملة</w:t>
      </w:r>
      <w:r w:rsidRPr="004E6F25">
        <w:br/>
      </w:r>
      <w:r w:rsidRPr="004E6F25">
        <w:rPr>
          <w:rtl/>
        </w:rPr>
        <w:t xml:space="preserve">للخدمة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في</w:t>
      </w:r>
      <w:r w:rsidRPr="004E6F25">
        <w:rPr>
          <w:rFonts w:hint="cs"/>
          <w:rtl/>
        </w:rPr>
        <w:t> </w:t>
      </w:r>
      <w:r w:rsidRPr="004E6F25">
        <w:rPr>
          <w:rFonts w:hint="eastAsia"/>
          <w:rtl/>
        </w:rPr>
        <w:t>نطاقات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التردد </w:t>
      </w:r>
      <w:r w:rsidRPr="004E6F25">
        <w:t>MHz 1 710</w:t>
      </w:r>
      <w:r w:rsidRPr="004E6F25">
        <w:noBreakHyphen/>
        <w:t>1 695</w:t>
      </w:r>
      <w:r w:rsidRPr="004E6F25">
        <w:rPr>
          <w:rFonts w:hint="cs"/>
          <w:rtl/>
        </w:rPr>
        <w:t xml:space="preserve"> و</w:t>
      </w:r>
      <w:r w:rsidRPr="004E6F25">
        <w:t>MHz 2 025</w:t>
      </w:r>
      <w:r w:rsidRPr="004E6F25">
        <w:noBreakHyphen/>
        <w:t>2 010</w:t>
      </w:r>
      <w:r w:rsidRPr="004E6F25">
        <w:rPr>
          <w:rFonts w:hint="cs"/>
          <w:rtl/>
        </w:rPr>
        <w:t xml:space="preserve"> و</w:t>
      </w:r>
      <w:r w:rsidRPr="004E6F25">
        <w:t>MHz 3 315</w:t>
      </w:r>
      <w:r w:rsidRPr="004E6F25">
        <w:noBreakHyphen/>
        <w:t>3 300</w:t>
      </w:r>
      <w:r w:rsidRPr="004E6F25">
        <w:rPr>
          <w:rFonts w:hint="cs"/>
          <w:rtl/>
        </w:rPr>
        <w:t xml:space="preserve"> و</w:t>
      </w:r>
      <w:r w:rsidRPr="004E6F25">
        <w:t>MHz 3 400</w:t>
      </w:r>
      <w:r w:rsidRPr="004E6F25">
        <w:noBreakHyphen/>
        <w:t>3 385</w:t>
      </w:r>
      <w:r w:rsidRPr="004E6F25">
        <w:rPr>
          <w:rFonts w:hint="eastAsia"/>
          <w:rtl/>
        </w:rPr>
        <w:t>،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لأغراض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التطوير</w:t>
      </w:r>
      <w:r w:rsidRPr="004E6F25">
        <w:rPr>
          <w:rtl/>
        </w:rPr>
        <w:t xml:space="preserve"> المستقبلي</w:t>
      </w:r>
      <w:r w:rsidRPr="004E6F25">
        <w:rPr>
          <w:rFonts w:hint="cs"/>
          <w:rtl/>
        </w:rPr>
        <w:t xml:space="preserve"> </w:t>
      </w:r>
      <w:r w:rsidRPr="004E6F25">
        <w:rPr>
          <w:rFonts w:hint="eastAsia"/>
          <w:rtl/>
        </w:rPr>
        <w:t>للأنظمة</w:t>
      </w:r>
      <w:r w:rsidRPr="004E6F25">
        <w:rPr>
          <w:rtl/>
        </w:rPr>
        <w:t xml:space="preserve">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>ال</w:t>
      </w:r>
      <w:r w:rsidRPr="004E6F25">
        <w:rPr>
          <w:rFonts w:hint="eastAsia"/>
          <w:rtl/>
        </w:rPr>
        <w:t>ضيقة</w:t>
      </w:r>
      <w:r w:rsidRPr="004E6F25">
        <w:rPr>
          <w:rtl/>
        </w:rPr>
        <w:t xml:space="preserve"> النطاق</w:t>
      </w:r>
    </w:p>
    <w:p w14:paraId="7719D45C" w14:textId="12CED71B" w:rsidR="00A65EFC" w:rsidRDefault="00A60A0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87710A">
        <w:rPr>
          <w:rFonts w:hint="cs"/>
          <w:b w:val="0"/>
          <w:bCs w:val="0"/>
          <w:rtl/>
        </w:rPr>
        <w:t>يكون القرار قد أدى الغرض منه بعد النظر فيه المؤتمر العالمي للاتصالات الراديوية لعام 2023.</w:t>
      </w:r>
    </w:p>
    <w:p w14:paraId="72619A28" w14:textId="20344507" w:rsidR="005742F8" w:rsidRPr="005742F8" w:rsidRDefault="005742F8" w:rsidP="00B9403C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rtl/>
          <w:lang w:eastAsia="zh-CN" w:bidi="ar-EG"/>
        </w:rPr>
      </w:pPr>
      <w:r w:rsidRPr="005742F8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742F8" w:rsidRPr="005742F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3AAE" w14:textId="77777777" w:rsidR="001A6F04" w:rsidRDefault="001A6F04" w:rsidP="002919E1">
      <w:r>
        <w:separator/>
      </w:r>
    </w:p>
    <w:p w14:paraId="1167E4C1" w14:textId="77777777" w:rsidR="001A6F04" w:rsidRDefault="001A6F04" w:rsidP="002919E1"/>
    <w:p w14:paraId="59BF74C9" w14:textId="77777777" w:rsidR="001A6F04" w:rsidRDefault="001A6F04" w:rsidP="002919E1"/>
    <w:p w14:paraId="20F03776" w14:textId="77777777" w:rsidR="001A6F04" w:rsidRDefault="001A6F04"/>
    <w:p w14:paraId="3A8C67AF" w14:textId="77777777" w:rsidR="001A6F04" w:rsidRDefault="001A6F04"/>
  </w:endnote>
  <w:endnote w:type="continuationSeparator" w:id="0">
    <w:p w14:paraId="3D90E3E1" w14:textId="77777777" w:rsidR="001A6F04" w:rsidRDefault="001A6F04" w:rsidP="002919E1">
      <w:r>
        <w:continuationSeparator/>
      </w:r>
    </w:p>
    <w:p w14:paraId="7A830A4C" w14:textId="77777777" w:rsidR="001A6F04" w:rsidRDefault="001A6F04" w:rsidP="002919E1"/>
    <w:p w14:paraId="102F0477" w14:textId="77777777" w:rsidR="001A6F04" w:rsidRDefault="001A6F04" w:rsidP="002919E1"/>
    <w:p w14:paraId="76CB10A2" w14:textId="77777777" w:rsidR="001A6F04" w:rsidRDefault="001A6F04"/>
    <w:p w14:paraId="674A1B0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4EE1" w14:textId="2AA5CDD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9403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742F8" w:rsidRPr="00B9403C">
      <w:rPr>
        <w:noProof/>
        <w:sz w:val="16"/>
        <w:szCs w:val="16"/>
        <w:lang w:val="en-GB"/>
      </w:rPr>
      <w:t>P:\ARA\ITU-R\CONF-R\CMR23\000\065ADD18A.docx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9403C">
      <w:rPr>
        <w:sz w:val="16"/>
        <w:szCs w:val="16"/>
        <w:lang w:val="en-GB"/>
      </w:rPr>
      <w:t xml:space="preserve"> (</w:t>
    </w:r>
    <w:proofErr w:type="gramEnd"/>
    <w:r w:rsidR="00A60A05" w:rsidRPr="00B9403C">
      <w:rPr>
        <w:sz w:val="16"/>
        <w:szCs w:val="16"/>
        <w:lang w:val="en-GB"/>
      </w:rPr>
      <w:t>528837</w:t>
    </w:r>
    <w:r w:rsidRPr="00B9403C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184B" w14:textId="472A7554" w:rsidR="00A60A05" w:rsidRPr="00D63A6F" w:rsidRDefault="00A60A05" w:rsidP="00A60A0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9403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7175A" w:rsidRPr="00B9403C">
      <w:rPr>
        <w:noProof/>
        <w:sz w:val="16"/>
        <w:szCs w:val="16"/>
        <w:lang w:val="en-GB"/>
      </w:rPr>
      <w:t>P:\ARA\ITU-R\CONF-R\CMR23\000\065ADD18A.docx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9403C">
      <w:rPr>
        <w:sz w:val="16"/>
        <w:szCs w:val="16"/>
        <w:lang w:val="en-GB"/>
      </w:rPr>
      <w:t xml:space="preserve"> (</w:t>
    </w:r>
    <w:proofErr w:type="gramEnd"/>
    <w:r w:rsidRPr="00B9403C">
      <w:rPr>
        <w:sz w:val="16"/>
        <w:szCs w:val="16"/>
        <w:lang w:val="en-GB"/>
      </w:rPr>
      <w:t>528837)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B978" w14:textId="70973364" w:rsidR="00A60A05" w:rsidRPr="00D63A6F" w:rsidRDefault="00A60A05" w:rsidP="00A60A0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9403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742F8" w:rsidRPr="00B9403C">
      <w:rPr>
        <w:noProof/>
        <w:sz w:val="16"/>
        <w:szCs w:val="16"/>
        <w:lang w:val="en-GB"/>
      </w:rPr>
      <w:t>P:\ARA\ITU-R\CONF-R\CMR23\000\065ADD18A.docx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9403C">
      <w:rPr>
        <w:sz w:val="16"/>
        <w:szCs w:val="16"/>
        <w:lang w:val="en-GB"/>
      </w:rPr>
      <w:t xml:space="preserve"> (</w:t>
    </w:r>
    <w:proofErr w:type="gramEnd"/>
    <w:r w:rsidRPr="00B9403C">
      <w:rPr>
        <w:sz w:val="16"/>
        <w:szCs w:val="16"/>
        <w:lang w:val="en-GB"/>
      </w:rPr>
      <w:t>528837)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7745" w14:textId="77777777" w:rsidR="001A6F04" w:rsidRDefault="001A6F04" w:rsidP="00C45930">
      <w:r>
        <w:separator/>
      </w:r>
    </w:p>
  </w:footnote>
  <w:footnote w:type="continuationSeparator" w:id="0">
    <w:p w14:paraId="1452CB21" w14:textId="77777777" w:rsidR="001A6F04" w:rsidRDefault="001A6F04" w:rsidP="002919E1">
      <w:r>
        <w:continuationSeparator/>
      </w:r>
    </w:p>
    <w:p w14:paraId="4747727A" w14:textId="77777777" w:rsidR="001A6F04" w:rsidRDefault="001A6F04" w:rsidP="002919E1"/>
    <w:p w14:paraId="1AFF82B9" w14:textId="77777777" w:rsidR="001A6F04" w:rsidRDefault="001A6F04" w:rsidP="002919E1"/>
    <w:p w14:paraId="5746A2DC" w14:textId="77777777" w:rsidR="001A6F04" w:rsidRDefault="001A6F04"/>
    <w:p w14:paraId="4BE2BFD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39A0" w14:textId="2D9AC5A2" w:rsidR="00D63A6F" w:rsidRPr="005742F8" w:rsidRDefault="005E5F16" w:rsidP="005742F8">
    <w:pPr>
      <w:bidi w:val="0"/>
      <w:spacing w:after="360" w:line="240" w:lineRule="auto"/>
      <w:jc w:val="center"/>
      <w:rPr>
        <w:sz w:val="20"/>
        <w:szCs w:val="20"/>
      </w:rPr>
    </w:pPr>
    <w:r w:rsidRPr="005742F8">
      <w:rPr>
        <w:rStyle w:val="PageNumber"/>
        <w:rFonts w:ascii="Dubai" w:hAnsi="Dubai" w:cs="Dubai"/>
      </w:rPr>
      <w:fldChar w:fldCharType="begin"/>
    </w:r>
    <w:r w:rsidRPr="005742F8">
      <w:rPr>
        <w:rStyle w:val="PageNumber"/>
        <w:rFonts w:ascii="Dubai" w:hAnsi="Dubai" w:cs="Dubai"/>
      </w:rPr>
      <w:instrText xml:space="preserve"> PAGE </w:instrText>
    </w:r>
    <w:r w:rsidRPr="005742F8">
      <w:rPr>
        <w:rStyle w:val="PageNumber"/>
        <w:rFonts w:ascii="Dubai" w:hAnsi="Dubai" w:cs="Dubai"/>
      </w:rPr>
      <w:fldChar w:fldCharType="separate"/>
    </w:r>
    <w:r w:rsidRPr="005742F8">
      <w:rPr>
        <w:rStyle w:val="PageNumber"/>
        <w:rFonts w:ascii="Dubai" w:hAnsi="Dubai" w:cs="Dubai"/>
      </w:rPr>
      <w:t>2</w:t>
    </w:r>
    <w:r w:rsidRPr="005742F8">
      <w:rPr>
        <w:rStyle w:val="PageNumber"/>
        <w:rFonts w:ascii="Dubai" w:hAnsi="Dubai" w:cs="Dubai"/>
      </w:rPr>
      <w:fldChar w:fldCharType="end"/>
    </w:r>
    <w:r w:rsidRPr="005742F8">
      <w:rPr>
        <w:rStyle w:val="PageNumber"/>
        <w:rFonts w:ascii="Dubai" w:hAnsi="Dubai" w:cs="Dubai"/>
        <w:rtl/>
      </w:rPr>
      <w:br/>
    </w:r>
    <w:r w:rsidR="004F5F29" w:rsidRPr="005742F8">
      <w:rPr>
        <w:rStyle w:val="PageNumber"/>
        <w:rFonts w:ascii="Dubai" w:hAnsi="Dubai" w:cs="Dubai"/>
      </w:rPr>
      <w:t>WRC</w:t>
    </w:r>
    <w:r w:rsidRPr="005742F8">
      <w:rPr>
        <w:rStyle w:val="PageNumber"/>
        <w:rFonts w:ascii="Dubai" w:hAnsi="Dubai" w:cs="Dubai"/>
      </w:rPr>
      <w:t>23/65(Add.18)-A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160" w14:textId="77777777" w:rsidR="00A60A05" w:rsidRPr="005742F8" w:rsidRDefault="00A60A05" w:rsidP="00A60A05">
    <w:pPr>
      <w:bidi w:val="0"/>
      <w:spacing w:after="360" w:line="240" w:lineRule="auto"/>
      <w:jc w:val="center"/>
      <w:rPr>
        <w:sz w:val="20"/>
        <w:szCs w:val="20"/>
      </w:rPr>
    </w:pPr>
    <w:r w:rsidRPr="005742F8">
      <w:rPr>
        <w:rStyle w:val="PageNumber"/>
        <w:rFonts w:ascii="Dubai" w:hAnsi="Dubai" w:cs="Dubai"/>
      </w:rPr>
      <w:fldChar w:fldCharType="begin"/>
    </w:r>
    <w:r w:rsidRPr="005742F8">
      <w:rPr>
        <w:rStyle w:val="PageNumber"/>
        <w:rFonts w:ascii="Dubai" w:hAnsi="Dubai" w:cs="Dubai"/>
      </w:rPr>
      <w:instrText xml:space="preserve"> PAGE </w:instrText>
    </w:r>
    <w:r w:rsidRPr="005742F8">
      <w:rPr>
        <w:rStyle w:val="PageNumber"/>
        <w:rFonts w:ascii="Dubai" w:hAnsi="Dubai" w:cs="Dubai"/>
      </w:rPr>
      <w:fldChar w:fldCharType="separate"/>
    </w:r>
    <w:r w:rsidRPr="005742F8">
      <w:rPr>
        <w:rStyle w:val="PageNumber"/>
        <w:rFonts w:ascii="Dubai" w:hAnsi="Dubai" w:cs="Dubai"/>
      </w:rPr>
      <w:t>2</w:t>
    </w:r>
    <w:r w:rsidRPr="005742F8">
      <w:rPr>
        <w:rStyle w:val="PageNumber"/>
        <w:rFonts w:ascii="Dubai" w:hAnsi="Dubai" w:cs="Dubai"/>
      </w:rPr>
      <w:fldChar w:fldCharType="end"/>
    </w:r>
    <w:r w:rsidRPr="005742F8">
      <w:rPr>
        <w:rStyle w:val="PageNumber"/>
        <w:rFonts w:ascii="Dubai" w:hAnsi="Dubai" w:cs="Dubai"/>
        <w:rtl/>
      </w:rPr>
      <w:br/>
    </w:r>
    <w:r w:rsidRPr="005742F8">
      <w:rPr>
        <w:rStyle w:val="PageNumber"/>
        <w:rFonts w:ascii="Dubai" w:hAnsi="Dubai" w:cs="Dubai"/>
      </w:rPr>
      <w:t>WRC23/65(Add.18)-A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8A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4CF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E1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B00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1480971">
    <w:abstractNumId w:val="9"/>
  </w:num>
  <w:num w:numId="2" w16cid:durableId="591475099">
    <w:abstractNumId w:val="13"/>
  </w:num>
  <w:num w:numId="3" w16cid:durableId="1442066714">
    <w:abstractNumId w:val="11"/>
  </w:num>
  <w:num w:numId="4" w16cid:durableId="28334508">
    <w:abstractNumId w:val="14"/>
  </w:num>
  <w:num w:numId="5" w16cid:durableId="1104302815">
    <w:abstractNumId w:val="7"/>
  </w:num>
  <w:num w:numId="6" w16cid:durableId="1350376375">
    <w:abstractNumId w:val="6"/>
  </w:num>
  <w:num w:numId="7" w16cid:durableId="643002751">
    <w:abstractNumId w:val="5"/>
  </w:num>
  <w:num w:numId="8" w16cid:durableId="556939821">
    <w:abstractNumId w:val="4"/>
  </w:num>
  <w:num w:numId="9" w16cid:durableId="344289382">
    <w:abstractNumId w:val="8"/>
  </w:num>
  <w:num w:numId="10" w16cid:durableId="124853412">
    <w:abstractNumId w:val="3"/>
  </w:num>
  <w:num w:numId="11" w16cid:durableId="2085449961">
    <w:abstractNumId w:val="2"/>
  </w:num>
  <w:num w:numId="12" w16cid:durableId="274793199">
    <w:abstractNumId w:val="1"/>
  </w:num>
  <w:num w:numId="13" w16cid:durableId="2001692163">
    <w:abstractNumId w:val="0"/>
  </w:num>
  <w:num w:numId="14" w16cid:durableId="1817917589">
    <w:abstractNumId w:val="10"/>
  </w:num>
  <w:num w:numId="15" w16cid:durableId="1710304781">
    <w:abstractNumId w:val="15"/>
  </w:num>
  <w:num w:numId="16" w16cid:durableId="1861699652">
    <w:abstractNumId w:val="12"/>
  </w:num>
  <w:num w:numId="17" w16cid:durableId="1474441093">
    <w:abstractNumId w:val="6"/>
  </w:num>
  <w:num w:numId="18" w16cid:durableId="1195070562">
    <w:abstractNumId w:val="5"/>
  </w:num>
  <w:num w:numId="19" w16cid:durableId="1010834685">
    <w:abstractNumId w:val="3"/>
  </w:num>
  <w:num w:numId="20" w16cid:durableId="698318603">
    <w:abstractNumId w:val="2"/>
  </w:num>
  <w:num w:numId="21" w16cid:durableId="279604556">
    <w:abstractNumId w:val="6"/>
  </w:num>
  <w:num w:numId="22" w16cid:durableId="1869877923">
    <w:abstractNumId w:val="5"/>
  </w:num>
  <w:num w:numId="23" w16cid:durableId="2101174652">
    <w:abstractNumId w:val="3"/>
  </w:num>
  <w:num w:numId="24" w16cid:durableId="1760638883">
    <w:abstractNumId w:val="2"/>
  </w:num>
  <w:num w:numId="25" w16cid:durableId="2017611003">
    <w:abstractNumId w:val="6"/>
  </w:num>
  <w:num w:numId="26" w16cid:durableId="603726281">
    <w:abstractNumId w:val="5"/>
  </w:num>
  <w:num w:numId="27" w16cid:durableId="445000523">
    <w:abstractNumId w:val="3"/>
  </w:num>
  <w:num w:numId="28" w16cid:durableId="1637680482">
    <w:abstractNumId w:val="2"/>
  </w:num>
  <w:num w:numId="29" w16cid:durableId="2099322196">
    <w:abstractNumId w:val="6"/>
  </w:num>
  <w:num w:numId="30" w16cid:durableId="1257908951">
    <w:abstractNumId w:val="5"/>
  </w:num>
  <w:num w:numId="31" w16cid:durableId="1631207767">
    <w:abstractNumId w:val="3"/>
  </w:num>
  <w:num w:numId="32" w16cid:durableId="49252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68DE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6CD9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7099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42F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710A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0F49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0A05"/>
    <w:rsid w:val="00A6131E"/>
    <w:rsid w:val="00A62883"/>
    <w:rsid w:val="00A64791"/>
    <w:rsid w:val="00A65EFC"/>
    <w:rsid w:val="00A66D2B"/>
    <w:rsid w:val="00A7175A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4259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403C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B1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65D4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D8A1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cceed6-eb16-4ef1-9500-31f823d53921" targetNamespace="http://schemas.microsoft.com/office/2006/metadata/properties" ma:root="true" ma:fieldsID="d41af5c836d734370eb92e7ee5f83852" ns2:_="" ns3:_="">
    <xsd:import namespace="996b2e75-67fd-4955-a3b0-5ab9934cb50b"/>
    <xsd:import namespace="0fcceed6-eb16-4ef1-9500-31f823d539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eed6-eb16-4ef1-9500-31f823d539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cceed6-eb16-4ef1-9500-31f823d53921">DPM</DPM_x0020_Author>
    <DPM_x0020_File_x0020_name xmlns="0fcceed6-eb16-4ef1-9500-31f823d53921">R23-WRC23-C-0065!A18!MSW-A</DPM_x0020_File_x0020_name>
    <DPM_x0020_Version xmlns="0fcceed6-eb16-4ef1-9500-31f823d53921">DPM_2022.05.12.01</DPM_x0020_Version>
  </documentManagement>
</p:properti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cceed6-eb16-4ef1-9500-31f823d53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eed6-eb16-4ef1-9500-31f823d53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R23-WRC23-C-0065!A18!MSW-A</vt:lpstr>
    </vt:vector>
  </TitlesOfParts>
  <Manager>General Secretariat - Pool</Manager>
  <Company>International Telecommunication Union (ITU)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R23-WRC23-C-0065!A18!MSW-A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2023-10-30T13:14:00Z</dcterms:created>
  <dcterms:modified xsi:type="dcterms:W3CDTF">2023-10-30T15:43:00Z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