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C68C5AC" w14:textId="77777777" w:rsidTr="00F467B6">
        <w:trPr>
          <w:cantSplit/>
        </w:trPr>
        <w:tc>
          <w:tcPr>
            <w:tcW w:w="1560" w:type="dxa"/>
            <w:vAlign w:val="center"/>
          </w:tcPr>
          <w:p w14:paraId="3DDEB59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BC05D50" wp14:editId="3DC8810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3E8D63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66FDC7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00AE7DF" wp14:editId="4D6E394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C42D137" w14:textId="77777777">
        <w:trPr>
          <w:cantSplit/>
        </w:trPr>
        <w:tc>
          <w:tcPr>
            <w:tcW w:w="6911" w:type="dxa"/>
            <w:gridSpan w:val="2"/>
            <w:tcBorders>
              <w:bottom w:val="single" w:sz="12" w:space="0" w:color="auto"/>
            </w:tcBorders>
          </w:tcPr>
          <w:p w14:paraId="5A74438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94F8F8C" w14:textId="77777777" w:rsidR="00622560" w:rsidRPr="00622560" w:rsidRDefault="00622560" w:rsidP="00622560">
            <w:pPr>
              <w:spacing w:before="0" w:line="240" w:lineRule="atLeast"/>
              <w:rPr>
                <w:rFonts w:ascii="Verdana" w:hAnsi="Verdana"/>
                <w:sz w:val="20"/>
                <w:szCs w:val="24"/>
              </w:rPr>
            </w:pPr>
          </w:p>
        </w:tc>
      </w:tr>
      <w:tr w:rsidR="00622560" w:rsidRPr="00C324A8" w14:paraId="4EE3C3D9" w14:textId="77777777" w:rsidTr="00622560">
        <w:trPr>
          <w:cantSplit/>
        </w:trPr>
        <w:tc>
          <w:tcPr>
            <w:tcW w:w="6911" w:type="dxa"/>
            <w:gridSpan w:val="2"/>
            <w:tcBorders>
              <w:top w:val="single" w:sz="12" w:space="0" w:color="auto"/>
            </w:tcBorders>
          </w:tcPr>
          <w:p w14:paraId="6A60FF4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62E0788" w14:textId="77777777" w:rsidR="00622560" w:rsidRPr="00CB4E5A" w:rsidRDefault="00622560" w:rsidP="001B6360">
            <w:pPr>
              <w:spacing w:line="240" w:lineRule="atLeast"/>
              <w:rPr>
                <w:rFonts w:ascii="Verdana" w:hAnsi="Verdana"/>
                <w:b/>
                <w:bCs/>
                <w:sz w:val="20"/>
              </w:rPr>
            </w:pPr>
          </w:p>
        </w:tc>
      </w:tr>
      <w:tr w:rsidR="00622560" w:rsidRPr="00C324A8" w14:paraId="43E44C58" w14:textId="77777777" w:rsidTr="00622560">
        <w:trPr>
          <w:cantSplit/>
          <w:trHeight w:val="23"/>
        </w:trPr>
        <w:tc>
          <w:tcPr>
            <w:tcW w:w="6911" w:type="dxa"/>
            <w:gridSpan w:val="2"/>
          </w:tcPr>
          <w:p w14:paraId="12DD34B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B3B7A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1478F75" w14:textId="77777777" w:rsidTr="00622560">
        <w:trPr>
          <w:cantSplit/>
          <w:trHeight w:val="23"/>
        </w:trPr>
        <w:tc>
          <w:tcPr>
            <w:tcW w:w="6911" w:type="dxa"/>
            <w:gridSpan w:val="2"/>
          </w:tcPr>
          <w:p w14:paraId="28519553" w14:textId="77777777" w:rsidR="008221A4" w:rsidRPr="00C324A8" w:rsidRDefault="008221A4" w:rsidP="00A466E6">
            <w:pPr>
              <w:spacing w:before="0"/>
              <w:rPr>
                <w:rFonts w:ascii="Verdana" w:hAnsi="Verdana"/>
                <w:b/>
                <w:smallCaps/>
                <w:sz w:val="20"/>
              </w:rPr>
            </w:pPr>
          </w:p>
        </w:tc>
        <w:tc>
          <w:tcPr>
            <w:tcW w:w="3120" w:type="dxa"/>
            <w:gridSpan w:val="2"/>
          </w:tcPr>
          <w:p w14:paraId="5CDA645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3086FA4D" w14:textId="77777777" w:rsidTr="00622560">
        <w:trPr>
          <w:cantSplit/>
          <w:trHeight w:val="23"/>
        </w:trPr>
        <w:tc>
          <w:tcPr>
            <w:tcW w:w="6911" w:type="dxa"/>
            <w:gridSpan w:val="2"/>
          </w:tcPr>
          <w:p w14:paraId="71574408" w14:textId="77777777" w:rsidR="008221A4" w:rsidRPr="00CB4E5A" w:rsidRDefault="008221A4" w:rsidP="00A466E6">
            <w:pPr>
              <w:spacing w:before="0"/>
              <w:rPr>
                <w:rFonts w:ascii="Verdana" w:hAnsi="Verdana"/>
                <w:b/>
                <w:bCs/>
                <w:sz w:val="20"/>
              </w:rPr>
            </w:pPr>
          </w:p>
        </w:tc>
        <w:tc>
          <w:tcPr>
            <w:tcW w:w="3120" w:type="dxa"/>
            <w:gridSpan w:val="2"/>
          </w:tcPr>
          <w:p w14:paraId="3BD9E08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61B7731" w14:textId="77777777" w:rsidTr="00FE20CB">
        <w:trPr>
          <w:cantSplit/>
          <w:trHeight w:val="23"/>
        </w:trPr>
        <w:tc>
          <w:tcPr>
            <w:tcW w:w="10031" w:type="dxa"/>
            <w:gridSpan w:val="4"/>
          </w:tcPr>
          <w:p w14:paraId="453D275A" w14:textId="77777777" w:rsidR="008221A4" w:rsidRDefault="008221A4" w:rsidP="008221A4">
            <w:pPr>
              <w:spacing w:before="0" w:line="240" w:lineRule="atLeast"/>
              <w:rPr>
                <w:rFonts w:ascii="Verdana" w:hAnsi="Verdana"/>
                <w:b/>
                <w:bCs/>
                <w:sz w:val="20"/>
              </w:rPr>
            </w:pPr>
          </w:p>
        </w:tc>
      </w:tr>
      <w:tr w:rsidR="008221A4" w14:paraId="20515188" w14:textId="77777777">
        <w:trPr>
          <w:cantSplit/>
        </w:trPr>
        <w:tc>
          <w:tcPr>
            <w:tcW w:w="10031" w:type="dxa"/>
            <w:gridSpan w:val="4"/>
          </w:tcPr>
          <w:p w14:paraId="76B88849"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8D5F57F" w14:textId="77777777">
        <w:trPr>
          <w:cantSplit/>
        </w:trPr>
        <w:tc>
          <w:tcPr>
            <w:tcW w:w="10031" w:type="dxa"/>
            <w:gridSpan w:val="4"/>
          </w:tcPr>
          <w:p w14:paraId="6AB18F5E" w14:textId="569AFCF4" w:rsidR="008221A4" w:rsidRDefault="007D00EE" w:rsidP="008221A4">
            <w:pPr>
              <w:pStyle w:val="Title1"/>
            </w:pPr>
            <w:bookmarkStart w:id="5" w:name="dtitle1" w:colFirst="0" w:colLast="0"/>
            <w:bookmarkEnd w:id="4"/>
            <w:proofErr w:type="spellStart"/>
            <w:r w:rsidRPr="008036D6">
              <w:rPr>
                <w:rFonts w:hint="eastAsia"/>
              </w:rPr>
              <w:t>有关大会工作的提案</w:t>
            </w:r>
            <w:proofErr w:type="spellEnd"/>
          </w:p>
        </w:tc>
      </w:tr>
      <w:tr w:rsidR="008221A4" w14:paraId="100BB984" w14:textId="77777777">
        <w:trPr>
          <w:cantSplit/>
        </w:trPr>
        <w:tc>
          <w:tcPr>
            <w:tcW w:w="10031" w:type="dxa"/>
            <w:gridSpan w:val="4"/>
          </w:tcPr>
          <w:p w14:paraId="0337D5A4" w14:textId="77777777" w:rsidR="008221A4" w:rsidRDefault="008221A4" w:rsidP="008221A4">
            <w:pPr>
              <w:pStyle w:val="Title2"/>
            </w:pPr>
            <w:bookmarkStart w:id="6" w:name="dtitle2" w:colFirst="0" w:colLast="0"/>
            <w:bookmarkEnd w:id="5"/>
          </w:p>
        </w:tc>
      </w:tr>
      <w:tr w:rsidR="008221A4" w14:paraId="10964D66" w14:textId="77777777">
        <w:trPr>
          <w:cantSplit/>
        </w:trPr>
        <w:tc>
          <w:tcPr>
            <w:tcW w:w="10031" w:type="dxa"/>
            <w:gridSpan w:val="4"/>
          </w:tcPr>
          <w:p w14:paraId="2CD8B4A1"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7123EB6A" w14:textId="3EFC86BE" w:rsidR="00FE5838" w:rsidRPr="001E0433" w:rsidRDefault="00FE5838"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sidR="00A42E25">
        <w:rPr>
          <w:lang w:val="en-US" w:eastAsia="zh-CN"/>
        </w:rPr>
        <w:t xml:space="preserve"> </w:t>
      </w:r>
      <w:r w:rsidRPr="00A716CF">
        <w:rPr>
          <w:lang w:val="en-US" w:eastAsia="zh-CN"/>
        </w:rPr>
        <w:t>300-3</w:t>
      </w:r>
      <w:r w:rsidR="00A42E25">
        <w:rPr>
          <w:lang w:val="en-US" w:eastAsia="zh-CN"/>
        </w:rPr>
        <w:t xml:space="preserve"> </w:t>
      </w:r>
      <w:r w:rsidRPr="00A716CF">
        <w:rPr>
          <w:lang w:val="en-US" w:eastAsia="zh-CN"/>
        </w:rPr>
        <w:t>400</w:t>
      </w:r>
      <w:r w:rsidR="00A42E25">
        <w:rPr>
          <w:lang w:val="en-US" w:eastAsia="zh-CN"/>
        </w:rPr>
        <w:t xml:space="preserve"> </w:t>
      </w:r>
      <w:r w:rsidRPr="00A716CF">
        <w:rPr>
          <w:lang w:val="en-US" w:eastAsia="zh-CN"/>
        </w:rPr>
        <w:t>MHz</w:t>
      </w:r>
      <w:r w:rsidRPr="00A716CF">
        <w:rPr>
          <w:rFonts w:hint="eastAsia"/>
          <w:lang w:val="en-US" w:eastAsia="zh-CN"/>
        </w:rPr>
        <w:t>、</w:t>
      </w:r>
      <w:r w:rsidRPr="00A716CF">
        <w:rPr>
          <w:lang w:val="en-US" w:eastAsia="zh-CN"/>
        </w:rPr>
        <w:t>3</w:t>
      </w:r>
      <w:r w:rsidR="00240310">
        <w:rPr>
          <w:lang w:val="en-US" w:eastAsia="zh-CN"/>
        </w:rPr>
        <w:t> </w:t>
      </w:r>
      <w:r w:rsidRPr="00A716CF">
        <w:rPr>
          <w:lang w:val="en-US" w:eastAsia="zh-CN"/>
        </w:rPr>
        <w:t>600</w:t>
      </w:r>
      <w:r w:rsidR="00240310">
        <w:rPr>
          <w:lang w:val="en-US" w:eastAsia="zh-CN"/>
        </w:rPr>
        <w:t>-</w:t>
      </w:r>
      <w:r w:rsidRPr="00A716CF">
        <w:rPr>
          <w:lang w:val="en-US" w:eastAsia="zh-CN"/>
        </w:rPr>
        <w:t>3</w:t>
      </w:r>
      <w:r w:rsidR="00240310">
        <w:rPr>
          <w:lang w:val="en-US" w:eastAsia="zh-CN"/>
        </w:rPr>
        <w:t> </w:t>
      </w:r>
      <w:r w:rsidRPr="00A716CF">
        <w:rPr>
          <w:lang w:val="en-US" w:eastAsia="zh-CN"/>
        </w:rPr>
        <w:t>800</w:t>
      </w:r>
      <w:r w:rsidR="00240310">
        <w:rPr>
          <w:lang w:val="en-US" w:eastAsia="zh-CN"/>
        </w:rPr>
        <w:t> </w:t>
      </w:r>
      <w:r w:rsidRPr="00A716CF">
        <w:rPr>
          <w:lang w:val="en-US" w:eastAsia="zh-CN"/>
        </w:rPr>
        <w:t>MHz</w:t>
      </w:r>
      <w:r w:rsidRPr="00A716CF">
        <w:rPr>
          <w:rFonts w:hint="eastAsia"/>
          <w:lang w:val="en-US" w:eastAsia="zh-CN"/>
        </w:rPr>
        <w:t>、</w:t>
      </w:r>
      <w:r w:rsidRPr="00A716CF">
        <w:rPr>
          <w:lang w:val="en-US" w:eastAsia="zh-CN"/>
        </w:rPr>
        <w:t>6</w:t>
      </w:r>
      <w:r w:rsidR="00A42E25">
        <w:rPr>
          <w:lang w:val="en-US" w:eastAsia="zh-CN"/>
        </w:rPr>
        <w:t xml:space="preserve"> </w:t>
      </w:r>
      <w:r w:rsidRPr="00A716CF">
        <w:rPr>
          <w:lang w:val="en-US" w:eastAsia="zh-CN"/>
        </w:rPr>
        <w:t>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0B725726" w14:textId="03072898" w:rsidR="007D00EE" w:rsidRPr="00315BEA" w:rsidRDefault="004B0EE7" w:rsidP="007D00EE">
      <w:pPr>
        <w:spacing w:before="240"/>
        <w:jc w:val="center"/>
        <w:rPr>
          <w:b/>
          <w:lang w:eastAsia="zh-CN"/>
        </w:rPr>
      </w:pPr>
      <w:bookmarkStart w:id="8" w:name="_Hlk124935735"/>
      <w:r w:rsidRPr="004B0EE7">
        <w:rPr>
          <w:rFonts w:hint="eastAsia"/>
          <w:b/>
          <w:lang w:eastAsia="zh-CN"/>
        </w:rPr>
        <w:t>第</w:t>
      </w:r>
      <w:r w:rsidRPr="004B0EE7">
        <w:rPr>
          <w:rFonts w:hint="eastAsia"/>
          <w:b/>
          <w:lang w:eastAsia="zh-CN"/>
        </w:rPr>
        <w:t>2</w:t>
      </w:r>
      <w:r w:rsidRPr="004B0EE7">
        <w:rPr>
          <w:rFonts w:hint="eastAsia"/>
          <w:b/>
          <w:lang w:eastAsia="zh-CN"/>
        </w:rPr>
        <w:t>部分</w:t>
      </w:r>
      <w:r w:rsidR="00C4047B">
        <w:rPr>
          <w:rFonts w:hint="eastAsia"/>
          <w:b/>
          <w:lang w:eastAsia="zh-CN"/>
        </w:rPr>
        <w:t xml:space="preserve"> </w:t>
      </w:r>
      <w:r w:rsidR="00C4047B">
        <w:rPr>
          <w:lang w:eastAsia="zh-CN"/>
        </w:rPr>
        <w:t>–</w:t>
      </w:r>
      <w:r w:rsidR="00C4047B">
        <w:rPr>
          <w:rFonts w:hint="eastAsia"/>
          <w:lang w:eastAsia="zh-CN"/>
        </w:rPr>
        <w:t xml:space="preserve"> </w:t>
      </w:r>
      <w:r w:rsidRPr="004B0EE7">
        <w:rPr>
          <w:rFonts w:hint="eastAsia"/>
          <w:b/>
          <w:lang w:eastAsia="zh-CN"/>
        </w:rPr>
        <w:t>2</w:t>
      </w:r>
      <w:r w:rsidRPr="004B0EE7">
        <w:rPr>
          <w:rFonts w:hint="eastAsia"/>
          <w:b/>
          <w:lang w:eastAsia="zh-CN"/>
        </w:rPr>
        <w:t>区</w:t>
      </w:r>
      <w:r w:rsidRPr="004B0EE7">
        <w:rPr>
          <w:rFonts w:hint="eastAsia"/>
          <w:b/>
          <w:lang w:eastAsia="zh-CN"/>
        </w:rPr>
        <w:t>3 300-3 400 MHz</w:t>
      </w:r>
      <w:r w:rsidRPr="004B0EE7">
        <w:rPr>
          <w:rFonts w:hint="eastAsia"/>
          <w:b/>
          <w:lang w:eastAsia="zh-CN"/>
        </w:rPr>
        <w:t>频段</w:t>
      </w:r>
    </w:p>
    <w:bookmarkEnd w:id="8"/>
    <w:p w14:paraId="3C86029B" w14:textId="0E4E34A0" w:rsidR="007D00EE" w:rsidRPr="00E13B16" w:rsidRDefault="004B0EE7" w:rsidP="007D00EE">
      <w:pPr>
        <w:pStyle w:val="Headingb"/>
        <w:rPr>
          <w:lang w:eastAsia="zh-CN"/>
        </w:rPr>
      </w:pPr>
      <w:r>
        <w:rPr>
          <w:rFonts w:hint="eastAsia"/>
          <w:lang w:eastAsia="zh-CN"/>
        </w:rPr>
        <w:t>提案</w:t>
      </w:r>
    </w:p>
    <w:p w14:paraId="0A0B258A" w14:textId="77777777" w:rsidR="00622560" w:rsidRDefault="00622560" w:rsidP="003E5931">
      <w:pPr>
        <w:rPr>
          <w:lang w:eastAsia="zh-CN"/>
        </w:rPr>
      </w:pPr>
    </w:p>
    <w:p w14:paraId="68ABE57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8FDBC1" w14:textId="77777777" w:rsidR="00FE5838" w:rsidRDefault="00FE5838"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1AEE51CF" w14:textId="77777777" w:rsidR="00FE5838" w:rsidRDefault="00FE5838"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43C52BBF" w14:textId="77777777" w:rsidR="00FE5838" w:rsidRDefault="00FE583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E2C050A" w14:textId="77777777" w:rsidR="000B2CCE" w:rsidRDefault="00FE5838">
      <w:pPr>
        <w:pStyle w:val="Proposal"/>
        <w:rPr>
          <w:lang w:eastAsia="zh-CN"/>
        </w:rPr>
      </w:pPr>
      <w:r>
        <w:rPr>
          <w:u w:val="single"/>
          <w:lang w:eastAsia="zh-CN"/>
        </w:rPr>
        <w:t>NOC</w:t>
      </w:r>
      <w:r>
        <w:rPr>
          <w:lang w:eastAsia="zh-CN"/>
        </w:rPr>
        <w:tab/>
        <w:t>EUR/65A2A2/1</w:t>
      </w:r>
    </w:p>
    <w:p w14:paraId="79CA5BD9" w14:textId="355A0C8D" w:rsidR="00FE5838" w:rsidRPr="00CC7CAF" w:rsidRDefault="00FE5838" w:rsidP="00076011">
      <w:pPr>
        <w:pStyle w:val="Note"/>
        <w:rPr>
          <w:lang w:eastAsia="ja-JP"/>
        </w:rPr>
      </w:pPr>
      <w:r w:rsidRPr="00CC7CAF">
        <w:rPr>
          <w:rStyle w:val="Artdef"/>
          <w:lang w:eastAsia="zh-CN"/>
        </w:rPr>
        <w:t>5.429C</w:t>
      </w:r>
      <w:r w:rsidRPr="00CC7CAF">
        <w:rPr>
          <w:lang w:eastAsia="zh-CN"/>
        </w:rPr>
        <w:tab/>
      </w:r>
      <w:r w:rsidRPr="00CC7CAF">
        <w:rPr>
          <w:rFonts w:ascii="STKaiti" w:eastAsia="STKaiti" w:hAnsi="STKaiti" w:hint="eastAsia"/>
          <w:lang w:eastAsia="zh-CN"/>
        </w:rPr>
        <w:t>不同业务种类</w:t>
      </w:r>
      <w:r w:rsidRPr="00CC7CAF">
        <w:rPr>
          <w:rFonts w:hint="eastAsia"/>
          <w:lang w:eastAsia="zh-CN"/>
        </w:rPr>
        <w:t>：在阿根廷、</w:t>
      </w:r>
      <w:r w:rsidRPr="00CC7CAF">
        <w:rPr>
          <w:lang w:val="en-US" w:eastAsia="zh-CN"/>
        </w:rPr>
        <w:t>伯利兹</w:t>
      </w:r>
      <w:r w:rsidRPr="00CC7CAF">
        <w:rPr>
          <w:rFonts w:hint="eastAsia"/>
          <w:lang w:val="en-US" w:eastAsia="zh-CN"/>
        </w:rPr>
        <w:t>、</w:t>
      </w:r>
      <w:r w:rsidRPr="00CC7CAF">
        <w:rPr>
          <w:rFonts w:hint="eastAsia"/>
          <w:lang w:eastAsia="zh-CN"/>
        </w:rPr>
        <w:t>巴西、</w:t>
      </w:r>
      <w:r w:rsidRPr="00CC7CAF">
        <w:rPr>
          <w:lang w:eastAsia="zh-CN"/>
        </w:rPr>
        <w:t>智利</w:t>
      </w:r>
      <w:r w:rsidRPr="00CC7CAF">
        <w:rPr>
          <w:rFonts w:hint="eastAsia"/>
          <w:lang w:eastAsia="zh-CN"/>
        </w:rPr>
        <w:t>、哥伦比亚、哥斯达黎加、</w:t>
      </w:r>
      <w:r w:rsidRPr="00CC7CAF">
        <w:rPr>
          <w:lang w:val="en-US" w:eastAsia="zh-CN"/>
        </w:rPr>
        <w:t>多米尼加共和国</w:t>
      </w:r>
      <w:r w:rsidRPr="00CC7CAF">
        <w:rPr>
          <w:rFonts w:hint="eastAsia"/>
          <w:lang w:val="en-US" w:eastAsia="zh-CN"/>
        </w:rPr>
        <w:t>、</w:t>
      </w:r>
      <w:r w:rsidRPr="00CC7CAF">
        <w:rPr>
          <w:lang w:val="en-US" w:eastAsia="zh-CN"/>
        </w:rPr>
        <w:t>萨尔瓦多</w:t>
      </w:r>
      <w:r w:rsidRPr="00CC7CAF">
        <w:rPr>
          <w:rFonts w:hint="eastAsia"/>
          <w:lang w:val="en-US" w:eastAsia="zh-CN"/>
        </w:rPr>
        <w:t>、</w:t>
      </w:r>
      <w:r w:rsidRPr="00CC7CAF">
        <w:rPr>
          <w:rFonts w:hint="eastAsia"/>
          <w:lang w:eastAsia="zh-CN"/>
        </w:rPr>
        <w:t>厄瓜多尔、危地马拉</w:t>
      </w:r>
      <w:r w:rsidRPr="00CC7CAF">
        <w:rPr>
          <w:lang w:eastAsia="zh-CN"/>
        </w:rPr>
        <w:t>、</w:t>
      </w:r>
      <w:r w:rsidRPr="00CC7CAF">
        <w:rPr>
          <w:rFonts w:hint="eastAsia"/>
          <w:lang w:eastAsia="zh-CN"/>
        </w:rPr>
        <w:t>墨西哥、</w:t>
      </w:r>
      <w:r w:rsidRPr="00CC7CAF">
        <w:rPr>
          <w:lang w:eastAsia="zh-CN"/>
        </w:rPr>
        <w:t>巴拉圭</w:t>
      </w:r>
      <w:r w:rsidRPr="00CC7CAF">
        <w:rPr>
          <w:rFonts w:hint="eastAsia"/>
          <w:lang w:eastAsia="zh-CN"/>
        </w:rPr>
        <w:t>和乌拉圭，</w:t>
      </w:r>
      <w:r w:rsidRPr="00CC7CAF">
        <w:rPr>
          <w:lang w:eastAsia="zh-CN"/>
        </w:rPr>
        <w:t>3 300-3 400 MHz</w:t>
      </w:r>
      <w:r w:rsidRPr="00CC7CAF">
        <w:rPr>
          <w:rFonts w:hint="eastAsia"/>
          <w:lang w:eastAsia="zh-CN"/>
        </w:rPr>
        <w:t>频段划分给除航空移动以外的作为主要业务的移动业务。在阿根廷、巴西、</w:t>
      </w:r>
      <w:bookmarkStart w:id="12" w:name="_Hlk24309970"/>
      <w:r w:rsidRPr="00CC7CAF">
        <w:rPr>
          <w:lang w:val="en-US" w:eastAsia="zh-CN"/>
        </w:rPr>
        <w:t>多米尼加共和国</w:t>
      </w:r>
      <w:bookmarkEnd w:id="12"/>
      <w:r w:rsidRPr="00CC7CAF">
        <w:rPr>
          <w:rFonts w:hint="eastAsia"/>
          <w:lang w:val="en-US" w:eastAsia="zh-CN"/>
        </w:rPr>
        <w:t>、</w:t>
      </w:r>
      <w:r w:rsidRPr="00CC7CAF">
        <w:rPr>
          <w:lang w:eastAsia="zh-CN"/>
        </w:rPr>
        <w:t>危地马拉</w:t>
      </w:r>
      <w:r w:rsidRPr="00CC7CAF">
        <w:rPr>
          <w:rFonts w:hint="eastAsia"/>
          <w:lang w:eastAsia="zh-CN"/>
        </w:rPr>
        <w:t>、墨西哥、巴拉圭和</w:t>
      </w:r>
      <w:r w:rsidRPr="00CC7CAF">
        <w:rPr>
          <w:lang w:val="en-US" w:eastAsia="zh-CN"/>
        </w:rPr>
        <w:t>乌拉圭</w:t>
      </w:r>
      <w:r w:rsidRPr="00CC7CAF">
        <w:rPr>
          <w:rFonts w:hint="eastAsia"/>
          <w:lang w:eastAsia="zh-CN"/>
        </w:rPr>
        <w:t>，</w:t>
      </w:r>
      <w:r w:rsidRPr="00CC7CAF">
        <w:rPr>
          <w:lang w:eastAsia="zh-CN"/>
        </w:rPr>
        <w:t>3 300-3</w:t>
      </w:r>
      <w:r w:rsidR="004B0EE7">
        <w:rPr>
          <w:lang w:eastAsia="zh-CN"/>
        </w:rPr>
        <w:t xml:space="preserve"> </w:t>
      </w:r>
      <w:r w:rsidRPr="00CC7CAF">
        <w:rPr>
          <w:lang w:eastAsia="zh-CN"/>
        </w:rPr>
        <w:t>400</w:t>
      </w:r>
      <w:r w:rsidR="004B0EE7">
        <w:rPr>
          <w:lang w:eastAsia="zh-CN"/>
        </w:rPr>
        <w:t xml:space="preserve"> </w:t>
      </w:r>
      <w:r w:rsidRPr="00CC7CAF">
        <w:rPr>
          <w:lang w:eastAsia="zh-CN"/>
        </w:rPr>
        <w:t>MHz</w:t>
      </w:r>
      <w:r w:rsidRPr="00CC7CAF">
        <w:rPr>
          <w:rFonts w:hint="eastAsia"/>
          <w:lang w:eastAsia="zh-CN"/>
        </w:rPr>
        <w:t>频段亦划分给作为主要业务的固定业务。</w:t>
      </w:r>
      <w:r w:rsidRPr="00CC7CAF">
        <w:rPr>
          <w:rFonts w:hint="eastAsia"/>
          <w:bCs/>
          <w:lang w:eastAsia="zh-CN"/>
        </w:rPr>
        <w:t>在</w:t>
      </w:r>
      <w:r w:rsidRPr="00CC7CAF">
        <w:rPr>
          <w:lang w:eastAsia="zh-CN"/>
        </w:rPr>
        <w:t>3</w:t>
      </w:r>
      <w:r w:rsidR="004B0EE7">
        <w:rPr>
          <w:lang w:eastAsia="zh-CN"/>
        </w:rPr>
        <w:t xml:space="preserve"> </w:t>
      </w:r>
      <w:r w:rsidRPr="00CC7CAF">
        <w:rPr>
          <w:lang w:eastAsia="zh-CN"/>
        </w:rPr>
        <w:t>300-3</w:t>
      </w:r>
      <w:r w:rsidR="004B0EE7">
        <w:rPr>
          <w:lang w:eastAsia="zh-CN"/>
        </w:rPr>
        <w:t xml:space="preserve"> </w:t>
      </w:r>
      <w:r w:rsidRPr="00CC7CAF">
        <w:rPr>
          <w:lang w:eastAsia="zh-CN"/>
        </w:rPr>
        <w:t>400</w:t>
      </w:r>
      <w:r w:rsidR="004B0EE7">
        <w:rPr>
          <w:lang w:eastAsia="zh-CN"/>
        </w:rPr>
        <w:t xml:space="preserve"> </w:t>
      </w:r>
      <w:r w:rsidRPr="00CC7CAF">
        <w:rPr>
          <w:lang w:eastAsia="zh-CN"/>
        </w:rPr>
        <w:t>MHz</w:t>
      </w:r>
      <w:r w:rsidRPr="00CC7CAF">
        <w:rPr>
          <w:rFonts w:hint="eastAsia"/>
          <w:lang w:eastAsia="zh-CN"/>
        </w:rPr>
        <w:t>频段运行的固定和移动业务台站，不得对无线电定位业务台站造成有害干扰，亦不得要求其提供保护。</w:t>
      </w:r>
      <w:r w:rsidRPr="00CC7CAF">
        <w:rPr>
          <w:rFonts w:hint="eastAsia"/>
          <w:sz w:val="16"/>
          <w:szCs w:val="16"/>
          <w:lang w:eastAsia="ja-JP"/>
        </w:rPr>
        <w:t>（</w:t>
      </w:r>
      <w:r w:rsidRPr="00CC7CAF">
        <w:rPr>
          <w:sz w:val="16"/>
          <w:szCs w:val="16"/>
          <w:lang w:eastAsia="ja-JP"/>
        </w:rPr>
        <w:t>WRC</w:t>
      </w:r>
      <w:r w:rsidRPr="00CC7CAF">
        <w:rPr>
          <w:sz w:val="16"/>
          <w:szCs w:val="16"/>
          <w:lang w:eastAsia="ja-JP"/>
        </w:rPr>
        <w:noBreakHyphen/>
      </w:r>
      <w:r w:rsidRPr="00CC7CAF">
        <w:rPr>
          <w:sz w:val="16"/>
          <w:szCs w:val="16"/>
          <w:lang w:eastAsia="zh-CN"/>
        </w:rPr>
        <w:t>19</w:t>
      </w:r>
      <w:r w:rsidRPr="00CC7CAF">
        <w:rPr>
          <w:rFonts w:hint="eastAsia"/>
          <w:sz w:val="16"/>
          <w:szCs w:val="16"/>
          <w:lang w:eastAsia="ja-JP"/>
        </w:rPr>
        <w:t>）</w:t>
      </w:r>
    </w:p>
    <w:p w14:paraId="6332808D" w14:textId="77777777" w:rsidR="000B2CCE" w:rsidRDefault="000B2CCE">
      <w:pPr>
        <w:pStyle w:val="Reasons"/>
        <w:rPr>
          <w:lang w:eastAsia="zh-CN"/>
        </w:rPr>
      </w:pPr>
    </w:p>
    <w:p w14:paraId="237A90A5" w14:textId="77777777" w:rsidR="000B2CCE" w:rsidRDefault="00FE5838">
      <w:pPr>
        <w:pStyle w:val="Proposal"/>
        <w:rPr>
          <w:lang w:eastAsia="zh-CN"/>
        </w:rPr>
      </w:pPr>
      <w:r>
        <w:rPr>
          <w:u w:val="single"/>
          <w:lang w:eastAsia="zh-CN"/>
        </w:rPr>
        <w:t>NOC</w:t>
      </w:r>
      <w:r>
        <w:rPr>
          <w:lang w:eastAsia="zh-CN"/>
        </w:rPr>
        <w:tab/>
        <w:t>EUR/65A2A2/2</w:t>
      </w:r>
    </w:p>
    <w:p w14:paraId="300BC13D" w14:textId="4D0B0F8B" w:rsidR="00FE5838" w:rsidRPr="00CC7CAF" w:rsidRDefault="00FE5838" w:rsidP="00076011">
      <w:pPr>
        <w:pStyle w:val="Note"/>
        <w:rPr>
          <w:lang w:val="en-ZA" w:eastAsia="zh-CN"/>
        </w:rPr>
      </w:pPr>
      <w:r w:rsidRPr="00CC7CAF">
        <w:rPr>
          <w:rStyle w:val="Artdef"/>
          <w:lang w:eastAsia="zh-CN"/>
        </w:rPr>
        <w:t>5.429D</w:t>
      </w:r>
      <w:r w:rsidRPr="00CC7CAF">
        <w:rPr>
          <w:lang w:eastAsia="zh-CN"/>
        </w:rPr>
        <w:tab/>
      </w:r>
      <w:r w:rsidRPr="00CC7CAF">
        <w:rPr>
          <w:rFonts w:hint="eastAsia"/>
          <w:lang w:val="en-ZA" w:eastAsia="zh-CN"/>
        </w:rPr>
        <w:t>在下列</w:t>
      </w:r>
      <w:r w:rsidRPr="00CC7CAF">
        <w:rPr>
          <w:lang w:val="en-ZA" w:eastAsia="zh-CN"/>
        </w:rPr>
        <w:t>2</w:t>
      </w:r>
      <w:r w:rsidRPr="00CC7CAF">
        <w:rPr>
          <w:rFonts w:hint="eastAsia"/>
          <w:lang w:val="en-ZA" w:eastAsia="zh-CN"/>
        </w:rPr>
        <w:t>区国家：</w:t>
      </w:r>
      <w:r w:rsidRPr="00CC7CAF">
        <w:rPr>
          <w:rFonts w:hint="eastAsia"/>
          <w:lang w:eastAsia="zh-CN"/>
        </w:rPr>
        <w:t>阿根廷、</w:t>
      </w:r>
      <w:r w:rsidRPr="00CC7CAF">
        <w:rPr>
          <w:lang w:val="en-US" w:eastAsia="zh-CN"/>
        </w:rPr>
        <w:t>伯利兹</w:t>
      </w:r>
      <w:r w:rsidRPr="00CC7CAF">
        <w:rPr>
          <w:rFonts w:hint="eastAsia"/>
          <w:lang w:val="en-US" w:eastAsia="zh-CN"/>
        </w:rPr>
        <w:t>、</w:t>
      </w:r>
      <w:r w:rsidRPr="00CC7CAF">
        <w:rPr>
          <w:lang w:val="en-US" w:eastAsia="zh-CN"/>
        </w:rPr>
        <w:t>巴西</w:t>
      </w:r>
      <w:r w:rsidRPr="00CC7CAF">
        <w:rPr>
          <w:rFonts w:hint="eastAsia"/>
          <w:lang w:val="en-US" w:eastAsia="zh-CN"/>
        </w:rPr>
        <w:t>、</w:t>
      </w:r>
      <w:r w:rsidRPr="00CC7CAF">
        <w:rPr>
          <w:lang w:val="en-US" w:eastAsia="zh-CN"/>
        </w:rPr>
        <w:t>智利</w:t>
      </w:r>
      <w:r w:rsidRPr="00CC7CAF">
        <w:rPr>
          <w:rFonts w:hint="eastAsia"/>
          <w:lang w:val="en-US" w:eastAsia="zh-CN"/>
        </w:rPr>
        <w:t>、</w:t>
      </w:r>
      <w:r w:rsidRPr="00CC7CAF">
        <w:rPr>
          <w:rFonts w:hint="eastAsia"/>
          <w:lang w:eastAsia="zh-CN"/>
        </w:rPr>
        <w:t>哥伦比亚、哥斯达黎加、</w:t>
      </w:r>
      <w:r w:rsidRPr="00CC7CAF">
        <w:rPr>
          <w:lang w:val="en-US" w:eastAsia="zh-CN"/>
        </w:rPr>
        <w:t>多米尼加共和国</w:t>
      </w:r>
      <w:r w:rsidRPr="00CC7CAF">
        <w:rPr>
          <w:rFonts w:hint="eastAsia"/>
          <w:lang w:val="en-US" w:eastAsia="zh-CN"/>
        </w:rPr>
        <w:t>、</w:t>
      </w:r>
      <w:r w:rsidRPr="00CC7CAF">
        <w:rPr>
          <w:lang w:val="en-US" w:eastAsia="zh-CN"/>
        </w:rPr>
        <w:t>萨尔瓦多</w:t>
      </w:r>
      <w:r w:rsidRPr="00CC7CAF">
        <w:rPr>
          <w:rFonts w:hint="eastAsia"/>
          <w:lang w:val="en-US" w:eastAsia="zh-CN"/>
        </w:rPr>
        <w:t>、</w:t>
      </w:r>
      <w:r w:rsidRPr="00CC7CAF">
        <w:rPr>
          <w:rFonts w:hint="eastAsia"/>
          <w:lang w:eastAsia="zh-CN"/>
        </w:rPr>
        <w:t>厄瓜多尔、危地马拉</w:t>
      </w:r>
      <w:r w:rsidRPr="00CC7CAF">
        <w:rPr>
          <w:lang w:eastAsia="zh-CN"/>
        </w:rPr>
        <w:t>、</w:t>
      </w:r>
      <w:r w:rsidRPr="00CC7CAF">
        <w:rPr>
          <w:rFonts w:hint="eastAsia"/>
          <w:lang w:eastAsia="zh-CN"/>
        </w:rPr>
        <w:t>墨西哥、</w:t>
      </w:r>
      <w:r w:rsidRPr="00CC7CAF">
        <w:rPr>
          <w:lang w:val="en-US" w:eastAsia="zh-CN"/>
        </w:rPr>
        <w:t>巴拉圭</w:t>
      </w:r>
      <w:r w:rsidRPr="00CC7CAF">
        <w:rPr>
          <w:rFonts w:hint="eastAsia"/>
          <w:lang w:eastAsia="zh-CN"/>
        </w:rPr>
        <w:t>和乌拉圭</w:t>
      </w:r>
      <w:r w:rsidRPr="00CC7CAF">
        <w:rPr>
          <w:rFonts w:hint="eastAsia"/>
          <w:lang w:val="en-ZA" w:eastAsia="zh-CN"/>
        </w:rPr>
        <w:t>，</w:t>
      </w:r>
      <w:r w:rsidRPr="00CC7CAF">
        <w:rPr>
          <w:lang w:eastAsia="zh-CN"/>
        </w:rPr>
        <w:t>3</w:t>
      </w:r>
      <w:r w:rsidR="004B0EE7">
        <w:rPr>
          <w:lang w:eastAsia="zh-CN"/>
        </w:rPr>
        <w:t xml:space="preserve"> </w:t>
      </w:r>
      <w:r w:rsidRPr="00CC7CAF">
        <w:rPr>
          <w:lang w:eastAsia="zh-CN"/>
        </w:rPr>
        <w:t>300-3 400 MHz</w:t>
      </w:r>
      <w:r w:rsidRPr="00CC7CAF">
        <w:rPr>
          <w:rFonts w:hint="eastAsia"/>
          <w:lang w:eastAsia="zh-CN"/>
        </w:rPr>
        <w:t>频段确定用于实施国际移动通信（</w:t>
      </w:r>
      <w:r w:rsidRPr="00CC7CAF">
        <w:rPr>
          <w:lang w:eastAsia="zh-CN"/>
        </w:rPr>
        <w:t>IMT</w:t>
      </w:r>
      <w:r w:rsidRPr="00CC7CAF">
        <w:rPr>
          <w:rFonts w:hint="eastAsia"/>
          <w:lang w:eastAsia="zh-CN"/>
        </w:rPr>
        <w:t>）。此类使用须符合第</w:t>
      </w:r>
      <w:r w:rsidRPr="00CC7CAF">
        <w:rPr>
          <w:b/>
          <w:bCs/>
          <w:lang w:val="en-ZA" w:eastAsia="zh-CN"/>
        </w:rPr>
        <w:t>223</w:t>
      </w:r>
      <w:r w:rsidRPr="00CC7CAF">
        <w:rPr>
          <w:rFonts w:hint="eastAsia"/>
          <w:lang w:eastAsia="zh-CN"/>
        </w:rPr>
        <w:t>号决议</w:t>
      </w:r>
      <w:r w:rsidRPr="00CC7CAF">
        <w:rPr>
          <w:rFonts w:hint="eastAsia"/>
          <w:b/>
          <w:bCs/>
          <w:lang w:val="en-ZA" w:eastAsia="zh-CN"/>
        </w:rPr>
        <w:t>（</w:t>
      </w:r>
      <w:r w:rsidRPr="00CC7CAF">
        <w:rPr>
          <w:b/>
          <w:bCs/>
          <w:lang w:val="en-ZA" w:eastAsia="zh-CN"/>
        </w:rPr>
        <w:t>WRC-1</w:t>
      </w:r>
      <w:r w:rsidRPr="00CC7CAF">
        <w:rPr>
          <w:rFonts w:hint="eastAsia"/>
          <w:b/>
          <w:bCs/>
          <w:lang w:val="en-ZA" w:eastAsia="zh-CN"/>
        </w:rPr>
        <w:t>9</w:t>
      </w:r>
      <w:r w:rsidRPr="00CC7CAF">
        <w:rPr>
          <w:rFonts w:hint="eastAsia"/>
          <w:b/>
          <w:bCs/>
          <w:lang w:val="en-ZA" w:eastAsia="zh-CN"/>
        </w:rPr>
        <w:t>，修订版）</w:t>
      </w:r>
      <w:r w:rsidRPr="00CC7CAF">
        <w:rPr>
          <w:rFonts w:hint="eastAsia"/>
          <w:lang w:eastAsia="zh-CN"/>
        </w:rPr>
        <w:t>的规定。在阿根廷</w:t>
      </w:r>
      <w:r w:rsidRPr="00CC7CAF">
        <w:rPr>
          <w:rFonts w:hint="eastAsia"/>
          <w:szCs w:val="24"/>
          <w:lang w:val="en-US" w:eastAsia="zh-CN"/>
        </w:rPr>
        <w:t>、</w:t>
      </w:r>
      <w:r w:rsidRPr="00CC7CAF">
        <w:rPr>
          <w:szCs w:val="24"/>
          <w:lang w:val="en-US" w:eastAsia="zh-CN"/>
        </w:rPr>
        <w:t>巴拉圭</w:t>
      </w:r>
      <w:r w:rsidRPr="00CC7CAF">
        <w:rPr>
          <w:lang w:eastAsia="zh-CN"/>
        </w:rPr>
        <w:t>和乌拉圭</w:t>
      </w:r>
      <w:r w:rsidRPr="00CC7CAF">
        <w:rPr>
          <w:rFonts w:hint="eastAsia"/>
          <w:lang w:eastAsia="zh-CN"/>
        </w:rPr>
        <w:t>，这种</w:t>
      </w:r>
      <w:r w:rsidRPr="00CC7CAF">
        <w:rPr>
          <w:lang w:eastAsia="zh-CN"/>
        </w:rPr>
        <w:t>使用需</w:t>
      </w:r>
      <w:r w:rsidRPr="00CC7CAF">
        <w:rPr>
          <w:rFonts w:hint="eastAsia"/>
          <w:lang w:eastAsia="zh-CN"/>
        </w:rPr>
        <w:t>适用</w:t>
      </w:r>
      <w:r w:rsidRPr="00CC7CAF">
        <w:rPr>
          <w:lang w:eastAsia="zh-CN"/>
        </w:rPr>
        <w:t>第</w:t>
      </w:r>
      <w:proofErr w:type="gramStart"/>
      <w:r w:rsidRPr="00CC7CAF">
        <w:rPr>
          <w:b/>
          <w:bCs/>
          <w:lang w:eastAsia="zh-CN"/>
        </w:rPr>
        <w:t>9.21</w:t>
      </w:r>
      <w:r w:rsidRPr="00CC7CAF">
        <w:rPr>
          <w:rFonts w:hint="eastAsia"/>
          <w:lang w:eastAsia="zh-CN"/>
        </w:rPr>
        <w:t>款</w:t>
      </w:r>
      <w:r w:rsidRPr="00CC7CAF">
        <w:rPr>
          <w:lang w:eastAsia="zh-CN"/>
        </w:rPr>
        <w:t>。</w:t>
      </w:r>
      <w:r w:rsidRPr="00CC7CAF">
        <w:rPr>
          <w:rFonts w:hint="eastAsia"/>
          <w:lang w:eastAsia="zh-CN"/>
        </w:rPr>
        <w:t>移动</w:t>
      </w:r>
      <w:r w:rsidRPr="00CC7CAF">
        <w:rPr>
          <w:lang w:eastAsia="zh-CN"/>
        </w:rPr>
        <w:t>业务</w:t>
      </w:r>
      <w:r w:rsidRPr="00CC7CAF">
        <w:rPr>
          <w:rFonts w:hint="eastAsia"/>
          <w:lang w:eastAsia="zh-CN"/>
        </w:rPr>
        <w:t>的</w:t>
      </w:r>
      <w:r w:rsidRPr="00CC7CAF">
        <w:rPr>
          <w:lang w:eastAsia="zh-CN"/>
        </w:rPr>
        <w:t>IMT</w:t>
      </w:r>
      <w:r w:rsidRPr="00CC7CAF">
        <w:rPr>
          <w:rFonts w:hint="eastAsia"/>
          <w:lang w:eastAsia="zh-CN"/>
        </w:rPr>
        <w:t>台站对</w:t>
      </w:r>
      <w:proofErr w:type="gramEnd"/>
      <w:r w:rsidRPr="00CC7CAF">
        <w:rPr>
          <w:lang w:eastAsia="zh-CN"/>
        </w:rPr>
        <w:t>3 300-3 400 MHz</w:t>
      </w:r>
      <w:r w:rsidRPr="00CC7CAF">
        <w:rPr>
          <w:rFonts w:hint="eastAsia"/>
          <w:lang w:eastAsia="zh-CN"/>
        </w:rPr>
        <w:t>的使用不得对无线电定位业务系统造成有害干扰，也不得寻求其保护。希望实施</w:t>
      </w:r>
      <w:r w:rsidRPr="00CC7CAF">
        <w:rPr>
          <w:lang w:eastAsia="zh-CN"/>
        </w:rPr>
        <w:t>IMT</w:t>
      </w:r>
      <w:r w:rsidRPr="00CC7CAF">
        <w:rPr>
          <w:rFonts w:hint="eastAsia"/>
          <w:lang w:eastAsia="zh-CN"/>
        </w:rPr>
        <w:t>的主管部门须获得其邻国同意，以保护无线电定位业务的操作。这种确定不妨碍已在这些频段获得划分的业务应用使用此频段，亦未在《无线电规则》中确定优先权。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r>
      <w:r w:rsidRPr="00CC7CAF">
        <w:rPr>
          <w:sz w:val="16"/>
          <w:szCs w:val="16"/>
          <w:lang w:eastAsia="zh-CN"/>
        </w:rPr>
        <w:t>19</w:t>
      </w:r>
      <w:r w:rsidRPr="00CC7CAF">
        <w:rPr>
          <w:rFonts w:hint="eastAsia"/>
          <w:sz w:val="16"/>
          <w:lang w:eastAsia="zh-CN"/>
        </w:rPr>
        <w:t>）</w:t>
      </w:r>
    </w:p>
    <w:p w14:paraId="4E011CF2" w14:textId="73A3C630" w:rsidR="000B2CCE" w:rsidRDefault="00FE5838">
      <w:pPr>
        <w:pStyle w:val="Reasons"/>
        <w:rPr>
          <w:lang w:eastAsia="zh-CN"/>
        </w:rPr>
      </w:pPr>
      <w:r>
        <w:rPr>
          <w:b/>
          <w:lang w:eastAsia="zh-CN"/>
        </w:rPr>
        <w:t>理由：</w:t>
      </w:r>
      <w:r>
        <w:rPr>
          <w:lang w:eastAsia="zh-CN"/>
        </w:rPr>
        <w:tab/>
      </w:r>
      <w:r w:rsidR="00575A12" w:rsidRPr="00575A12">
        <w:rPr>
          <w:rFonts w:hint="eastAsia"/>
          <w:lang w:eastAsia="zh-CN"/>
        </w:rPr>
        <w:t>欧洲邮电主管部门大会（</w:t>
      </w:r>
      <w:r w:rsidR="00575A12" w:rsidRPr="00575A12">
        <w:rPr>
          <w:rFonts w:hint="eastAsia"/>
          <w:lang w:eastAsia="zh-CN"/>
        </w:rPr>
        <w:t>CEPT</w:t>
      </w:r>
      <w:r w:rsidR="00575A12" w:rsidRPr="00575A12">
        <w:rPr>
          <w:rFonts w:hint="eastAsia"/>
          <w:lang w:eastAsia="zh-CN"/>
        </w:rPr>
        <w:t>）支持保留《无线电规则》中适用于该频段</w:t>
      </w:r>
      <w:r w:rsidR="00575A12" w:rsidRPr="00575A12">
        <w:rPr>
          <w:rFonts w:hint="eastAsia"/>
          <w:lang w:eastAsia="zh-CN"/>
        </w:rPr>
        <w:t>IMT</w:t>
      </w:r>
      <w:r w:rsidR="00575A12" w:rsidRPr="00575A12">
        <w:rPr>
          <w:rFonts w:hint="eastAsia"/>
          <w:lang w:eastAsia="zh-CN"/>
        </w:rPr>
        <w:t>台站的第</w:t>
      </w:r>
      <w:r w:rsidR="00575A12" w:rsidRPr="00575A12">
        <w:rPr>
          <w:rFonts w:hint="eastAsia"/>
          <w:b/>
          <w:bCs/>
          <w:lang w:eastAsia="zh-CN"/>
        </w:rPr>
        <w:t>5.429C</w:t>
      </w:r>
      <w:r w:rsidR="00575A12" w:rsidRPr="00575A12">
        <w:rPr>
          <w:rFonts w:hint="eastAsia"/>
          <w:lang w:eastAsia="zh-CN"/>
        </w:rPr>
        <w:t>和第</w:t>
      </w:r>
      <w:r w:rsidR="00575A12" w:rsidRPr="00575A12">
        <w:rPr>
          <w:rFonts w:hint="eastAsia"/>
          <w:b/>
          <w:bCs/>
          <w:lang w:eastAsia="zh-CN"/>
        </w:rPr>
        <w:t>5.429D</w:t>
      </w:r>
      <w:r w:rsidR="00575A12" w:rsidRPr="00575A12">
        <w:rPr>
          <w:rFonts w:hint="eastAsia"/>
          <w:lang w:eastAsia="zh-CN"/>
        </w:rPr>
        <w:t>款的规则规定。</w:t>
      </w:r>
      <w:r w:rsidR="00B65FB5" w:rsidRPr="00B65FB5">
        <w:rPr>
          <w:rFonts w:hint="eastAsia"/>
          <w:lang w:eastAsia="zh-CN"/>
        </w:rPr>
        <w:t>特别是，</w:t>
      </w:r>
      <w:r w:rsidR="00B65FB5" w:rsidRPr="00B65FB5">
        <w:rPr>
          <w:rFonts w:hint="eastAsia"/>
          <w:lang w:eastAsia="zh-CN"/>
        </w:rPr>
        <w:t>IMT</w:t>
      </w:r>
      <w:r w:rsidR="00B65FB5" w:rsidRPr="00B65FB5">
        <w:rPr>
          <w:rFonts w:hint="eastAsia"/>
          <w:lang w:eastAsia="zh-CN"/>
        </w:rPr>
        <w:t>台站不得对各种国家和国际操作环境中的无线电定位业务系统造成有害干扰或要求其给予保护，同时</w:t>
      </w:r>
      <w:r w:rsidR="0096514D">
        <w:rPr>
          <w:rFonts w:hint="eastAsia"/>
          <w:lang w:eastAsia="zh-CN"/>
        </w:rPr>
        <w:t>须</w:t>
      </w:r>
      <w:r w:rsidR="00B65FB5" w:rsidRPr="00B65FB5">
        <w:rPr>
          <w:rFonts w:hint="eastAsia"/>
          <w:lang w:eastAsia="zh-CN"/>
        </w:rPr>
        <w:t>符合相关</w:t>
      </w:r>
      <w:r w:rsidR="00B65FB5" w:rsidRPr="00B65FB5">
        <w:rPr>
          <w:rFonts w:hint="eastAsia"/>
          <w:lang w:eastAsia="zh-CN"/>
        </w:rPr>
        <w:t>ITU-R</w:t>
      </w:r>
      <w:r w:rsidR="00B65FB5" w:rsidRPr="00B65FB5">
        <w:rPr>
          <w:rFonts w:hint="eastAsia"/>
          <w:lang w:eastAsia="zh-CN"/>
        </w:rPr>
        <w:t>建议书中规定的无用发射水平。</w:t>
      </w:r>
    </w:p>
    <w:p w14:paraId="74536C20" w14:textId="39EED3C8" w:rsidR="00FE5838" w:rsidRDefault="00FE5838" w:rsidP="00FE5838">
      <w:pPr>
        <w:jc w:val="center"/>
      </w:pPr>
      <w:r>
        <w:t>_______________</w:t>
      </w:r>
    </w:p>
    <w:sectPr w:rsidR="00FE5838">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2D99" w14:textId="77777777" w:rsidR="00E91822" w:rsidRDefault="00E91822">
      <w:r>
        <w:separator/>
      </w:r>
    </w:p>
  </w:endnote>
  <w:endnote w:type="continuationSeparator" w:id="0">
    <w:p w14:paraId="7E913505" w14:textId="77777777" w:rsidR="00E91822" w:rsidRDefault="00E9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F2C4" w14:textId="6FF718D4" w:rsidR="00B851D4" w:rsidRPr="00DA0469" w:rsidRDefault="00FE5838" w:rsidP="00060B2F">
    <w:pPr>
      <w:pStyle w:val="Footer"/>
      <w:rPr>
        <w:lang w:val="en-US"/>
      </w:rPr>
    </w:pPr>
    <w:r>
      <w:fldChar w:fldCharType="begin"/>
    </w:r>
    <w:r w:rsidRPr="00DA0469">
      <w:rPr>
        <w:lang w:val="en-US"/>
      </w:rPr>
      <w:instrText xml:space="preserve"> FILENAME \p \* MERGEFORMAT </w:instrText>
    </w:r>
    <w:r>
      <w:fldChar w:fldCharType="separate"/>
    </w:r>
    <w:r w:rsidR="00240310">
      <w:rPr>
        <w:lang w:val="en-US"/>
      </w:rPr>
      <w:t>P:\CHI\ITU-R\CONF-R\CMR23\000\065ADD02ADD02C.docx</w:t>
    </w:r>
    <w:r>
      <w:fldChar w:fldCharType="end"/>
    </w:r>
    <w:r>
      <w:t xml:space="preserve"> </w:t>
    </w:r>
    <w:r>
      <w:rPr>
        <w:lang w:val="en-US"/>
      </w:rPr>
      <w:t>(528879)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66A7" w14:textId="355DD59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40310">
      <w:rPr>
        <w:lang w:val="en-US"/>
      </w:rPr>
      <w:t>P:\CHI\ITU-R\CONF-R\CMR23\000\065ADD02ADD02C.docx</w:t>
    </w:r>
    <w:r>
      <w:fldChar w:fldCharType="end"/>
    </w:r>
    <w:r w:rsidR="007D00EE">
      <w:t xml:space="preserve"> </w:t>
    </w:r>
    <w:r w:rsidR="007D00EE">
      <w:rPr>
        <w:lang w:val="en-US"/>
      </w:rPr>
      <w:t>(528879)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0675" w14:textId="77777777" w:rsidR="00E91822" w:rsidRDefault="00E91822">
      <w:r>
        <w:t>____________________</w:t>
      </w:r>
    </w:p>
  </w:footnote>
  <w:footnote w:type="continuationSeparator" w:id="0">
    <w:p w14:paraId="592778E6" w14:textId="77777777" w:rsidR="00E91822" w:rsidRDefault="00E9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FD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28C41F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2CCE"/>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40310"/>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0EE7"/>
    <w:rsid w:val="004B4C76"/>
    <w:rsid w:val="004C4554"/>
    <w:rsid w:val="004D2DEC"/>
    <w:rsid w:val="004F2BE6"/>
    <w:rsid w:val="00527E8A"/>
    <w:rsid w:val="00532EA3"/>
    <w:rsid w:val="00542E85"/>
    <w:rsid w:val="00562479"/>
    <w:rsid w:val="00575A12"/>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D00EE"/>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57FB0"/>
    <w:rsid w:val="0096514D"/>
    <w:rsid w:val="009657F9"/>
    <w:rsid w:val="00982F93"/>
    <w:rsid w:val="0099525B"/>
    <w:rsid w:val="009C72B7"/>
    <w:rsid w:val="00A0052C"/>
    <w:rsid w:val="00A31B14"/>
    <w:rsid w:val="00A323DC"/>
    <w:rsid w:val="00A42E25"/>
    <w:rsid w:val="00A466E6"/>
    <w:rsid w:val="00A815BE"/>
    <w:rsid w:val="00A93295"/>
    <w:rsid w:val="00AA5DA1"/>
    <w:rsid w:val="00AC2C94"/>
    <w:rsid w:val="00AE369F"/>
    <w:rsid w:val="00B026CB"/>
    <w:rsid w:val="00B113DF"/>
    <w:rsid w:val="00B33617"/>
    <w:rsid w:val="00B50377"/>
    <w:rsid w:val="00B6115E"/>
    <w:rsid w:val="00B65FB5"/>
    <w:rsid w:val="00B711CC"/>
    <w:rsid w:val="00B851D4"/>
    <w:rsid w:val="00B868FC"/>
    <w:rsid w:val="00B95072"/>
    <w:rsid w:val="00BB26CD"/>
    <w:rsid w:val="00BE464F"/>
    <w:rsid w:val="00C07239"/>
    <w:rsid w:val="00C364B1"/>
    <w:rsid w:val="00C4047B"/>
    <w:rsid w:val="00C47D87"/>
    <w:rsid w:val="00C627F9"/>
    <w:rsid w:val="00C6584D"/>
    <w:rsid w:val="00C929E0"/>
    <w:rsid w:val="00CB4E5A"/>
    <w:rsid w:val="00CC73D7"/>
    <w:rsid w:val="00CD00C9"/>
    <w:rsid w:val="00CF0AD7"/>
    <w:rsid w:val="00CF0BE1"/>
    <w:rsid w:val="00CF7C2B"/>
    <w:rsid w:val="00D52A14"/>
    <w:rsid w:val="00D5451C"/>
    <w:rsid w:val="00D6206A"/>
    <w:rsid w:val="00D74599"/>
    <w:rsid w:val="00DA0469"/>
    <w:rsid w:val="00DD13B7"/>
    <w:rsid w:val="00DF0809"/>
    <w:rsid w:val="00DF3B0C"/>
    <w:rsid w:val="00E14984"/>
    <w:rsid w:val="00E22A25"/>
    <w:rsid w:val="00E45C7B"/>
    <w:rsid w:val="00E560F1"/>
    <w:rsid w:val="00E73D27"/>
    <w:rsid w:val="00E8717D"/>
    <w:rsid w:val="00E91822"/>
    <w:rsid w:val="00E92319"/>
    <w:rsid w:val="00F467B6"/>
    <w:rsid w:val="00F837F4"/>
    <w:rsid w:val="00FC59C4"/>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3C56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cedd6b-ee25-42f0-8f8f-3b536088b0ef" targetNamespace="http://schemas.microsoft.com/office/2006/metadata/properties" ma:root="true" ma:fieldsID="d41af5c836d734370eb92e7ee5f83852" ns2:_="" ns3:_="">
    <xsd:import namespace="996b2e75-67fd-4955-a3b0-5ab9934cb50b"/>
    <xsd:import namespace="d2cedd6b-ee25-42f0-8f8f-3b536088b0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cedd6b-ee25-42f0-8f8f-3b536088b0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2cedd6b-ee25-42f0-8f8f-3b536088b0ef">DPM</DPM_x0020_Author>
    <DPM_x0020_File_x0020_name xmlns="d2cedd6b-ee25-42f0-8f8f-3b536088b0ef">R23-WRC23-C-0065!A2-A2!MSW-C</DPM_x0020_File_x0020_name>
    <DPM_x0020_Version xmlns="d2cedd6b-ee25-42f0-8f8f-3b536088b0e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cedd6b-ee25-42f0-8f8f-3b536088b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cedd6b-ee25-42f0-8f8f-3b536088b0ef"/>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768</Words>
  <Characters>332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R23-WRC23-C-0065!A2-A2!MSW-C</vt:lpstr>
    </vt:vector>
  </TitlesOfParts>
  <Manager>General Secretariat - Pool</Manager>
  <Company>International Telecommunication Union (ITU)</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R23-WRC23-C-0065!A2-A2!MSW-C</dc:title>
  <dc:subject>World Radiocommunication Conference - 2019</dc:subject>
  <dc:creator>Documents Proposals Manager (DPM)</dc:creator>
  <cp:keywords>DPM_v2023.8.1.1_prod</cp:keywords>
  <dc:description/>
  <cp:lastModifiedBy>Li, Jianying</cp:lastModifiedBy>
  <cp:revision>3</cp:revision>
  <cp:lastPrinted>2006-07-03T06:56:00Z</cp:lastPrinted>
  <dcterms:created xsi:type="dcterms:W3CDTF">2023-10-17T07:34:00Z</dcterms:created>
  <dcterms:modified xsi:type="dcterms:W3CDTF">2023-10-17T07:43:00Z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