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06ABDAF2" w14:textId="77777777" w:rsidTr="00752552">
        <w:trPr>
          <w:cantSplit/>
          <w:trHeight w:val="20"/>
        </w:trPr>
        <w:tc>
          <w:tcPr>
            <w:tcW w:w="1589" w:type="dxa"/>
            <w:vAlign w:val="center"/>
          </w:tcPr>
          <w:p w14:paraId="5D654332"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533DAA72" wp14:editId="7FC0BB24">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10CFCC88"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0EE62F16"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2FA922E1" w14:textId="77777777" w:rsidR="00752552" w:rsidRPr="000D1EE4" w:rsidRDefault="00752552" w:rsidP="00752552">
            <w:pPr>
              <w:jc w:val="right"/>
              <w:rPr>
                <w:rtl/>
                <w:lang w:bidi="ar-EG"/>
              </w:rPr>
            </w:pPr>
            <w:bookmarkStart w:id="0" w:name="ditulogo"/>
            <w:bookmarkEnd w:id="0"/>
            <w:r>
              <w:rPr>
                <w:noProof/>
              </w:rPr>
              <w:drawing>
                <wp:inline distT="0" distB="0" distL="0" distR="0" wp14:anchorId="1FD84B37" wp14:editId="47CA4FA0">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0662E87B" w14:textId="77777777" w:rsidTr="00752552">
        <w:trPr>
          <w:cantSplit/>
          <w:trHeight w:val="20"/>
        </w:trPr>
        <w:tc>
          <w:tcPr>
            <w:tcW w:w="6696" w:type="dxa"/>
            <w:gridSpan w:val="2"/>
            <w:tcBorders>
              <w:bottom w:val="single" w:sz="12" w:space="0" w:color="auto"/>
            </w:tcBorders>
          </w:tcPr>
          <w:p w14:paraId="09FB3B27" w14:textId="77777777" w:rsidR="000D1EE4" w:rsidRPr="000D1EE4" w:rsidRDefault="000D1EE4" w:rsidP="000D1EE4">
            <w:pPr>
              <w:rPr>
                <w:rtl/>
                <w:lang w:bidi="ar-EG"/>
              </w:rPr>
            </w:pPr>
          </w:p>
        </w:tc>
        <w:tc>
          <w:tcPr>
            <w:tcW w:w="2970" w:type="dxa"/>
            <w:gridSpan w:val="2"/>
            <w:tcBorders>
              <w:bottom w:val="single" w:sz="12" w:space="0" w:color="auto"/>
            </w:tcBorders>
          </w:tcPr>
          <w:p w14:paraId="0618F45B" w14:textId="77777777" w:rsidR="000D1EE4" w:rsidRPr="000D1EE4" w:rsidRDefault="000D1EE4" w:rsidP="000D1EE4">
            <w:pPr>
              <w:rPr>
                <w:lang w:val="en-GB" w:bidi="ar-EG"/>
              </w:rPr>
            </w:pPr>
          </w:p>
        </w:tc>
      </w:tr>
      <w:tr w:rsidR="000D1EE4" w:rsidRPr="000D1EE4" w14:paraId="19EAA769" w14:textId="77777777" w:rsidTr="00752552">
        <w:trPr>
          <w:cantSplit/>
          <w:trHeight w:val="20"/>
        </w:trPr>
        <w:tc>
          <w:tcPr>
            <w:tcW w:w="6696" w:type="dxa"/>
            <w:gridSpan w:val="2"/>
            <w:tcBorders>
              <w:top w:val="single" w:sz="12" w:space="0" w:color="auto"/>
            </w:tcBorders>
          </w:tcPr>
          <w:p w14:paraId="1B7D6A9D" w14:textId="77777777" w:rsidR="000D1EE4" w:rsidRPr="000D1EE4" w:rsidRDefault="000D1EE4" w:rsidP="000D1EE4">
            <w:pPr>
              <w:rPr>
                <w:b/>
                <w:bCs/>
                <w:rtl/>
                <w:lang w:bidi="ar-EG"/>
              </w:rPr>
            </w:pPr>
          </w:p>
        </w:tc>
        <w:tc>
          <w:tcPr>
            <w:tcW w:w="2970" w:type="dxa"/>
            <w:gridSpan w:val="2"/>
            <w:tcBorders>
              <w:top w:val="single" w:sz="12" w:space="0" w:color="auto"/>
            </w:tcBorders>
          </w:tcPr>
          <w:p w14:paraId="356FB7CB" w14:textId="77777777" w:rsidR="000D1EE4" w:rsidRPr="000D1EE4" w:rsidRDefault="000D1EE4" w:rsidP="000D1EE4">
            <w:pPr>
              <w:rPr>
                <w:b/>
                <w:bCs/>
                <w:lang w:bidi="ar-EG"/>
              </w:rPr>
            </w:pPr>
          </w:p>
        </w:tc>
      </w:tr>
      <w:tr w:rsidR="000D1EE4" w:rsidRPr="000D1EE4" w14:paraId="2DB0EA67" w14:textId="77777777" w:rsidTr="00752552">
        <w:trPr>
          <w:cantSplit/>
        </w:trPr>
        <w:tc>
          <w:tcPr>
            <w:tcW w:w="6696" w:type="dxa"/>
            <w:gridSpan w:val="2"/>
          </w:tcPr>
          <w:p w14:paraId="5A25379E" w14:textId="77777777" w:rsidR="000D1EE4" w:rsidRPr="009744FD" w:rsidRDefault="00E50850" w:rsidP="00051BCC">
            <w:pPr>
              <w:pStyle w:val="Committee"/>
              <w:bidi/>
              <w:rPr>
                <w:rtl/>
                <w:lang w:bidi="ar-EG"/>
              </w:rPr>
            </w:pPr>
            <w:r w:rsidRPr="009744FD">
              <w:rPr>
                <w:rtl/>
                <w:lang w:bidi="ar-EG"/>
              </w:rPr>
              <w:t>الجلسة العامة</w:t>
            </w:r>
          </w:p>
        </w:tc>
        <w:tc>
          <w:tcPr>
            <w:tcW w:w="2970" w:type="dxa"/>
            <w:gridSpan w:val="2"/>
          </w:tcPr>
          <w:p w14:paraId="60D38562" w14:textId="77777777" w:rsidR="000D1EE4" w:rsidRPr="009744FD" w:rsidRDefault="00E50850" w:rsidP="009744FD">
            <w:pPr>
              <w:spacing w:before="60" w:after="60" w:line="260" w:lineRule="exact"/>
              <w:jc w:val="left"/>
              <w:rPr>
                <w:b/>
                <w:bCs/>
                <w:rtl/>
                <w:lang w:bidi="ar-EG"/>
              </w:rPr>
            </w:pPr>
            <w:r w:rsidRPr="009744FD">
              <w:rPr>
                <w:rFonts w:eastAsia="SimSun"/>
                <w:b/>
                <w:bCs/>
                <w:rtl/>
                <w:lang w:bidi="ar-EG"/>
              </w:rPr>
              <w:t>الإضافة 10</w:t>
            </w:r>
            <w:r w:rsidRPr="009744FD">
              <w:rPr>
                <w:rFonts w:eastAsia="SimSun"/>
                <w:b/>
                <w:bCs/>
                <w:rtl/>
                <w:lang w:bidi="ar-EG"/>
              </w:rPr>
              <w:br/>
              <w:t xml:space="preserve">للوثيقة </w:t>
            </w:r>
            <w:r w:rsidRPr="009744FD">
              <w:rPr>
                <w:rFonts w:eastAsia="SimSun"/>
                <w:b/>
                <w:bCs/>
              </w:rPr>
              <w:t>65(Add.22)-A</w:t>
            </w:r>
          </w:p>
        </w:tc>
      </w:tr>
      <w:tr w:rsidR="000D1EE4" w:rsidRPr="000D1EE4" w14:paraId="7AEB8325" w14:textId="77777777" w:rsidTr="00752552">
        <w:trPr>
          <w:cantSplit/>
        </w:trPr>
        <w:tc>
          <w:tcPr>
            <w:tcW w:w="6696" w:type="dxa"/>
            <w:gridSpan w:val="2"/>
          </w:tcPr>
          <w:p w14:paraId="771D372C" w14:textId="77777777" w:rsidR="000D1EE4" w:rsidRPr="000D1EE4" w:rsidRDefault="000D1EE4" w:rsidP="000D1EE4">
            <w:pPr>
              <w:spacing w:before="60" w:after="60" w:line="260" w:lineRule="exact"/>
              <w:rPr>
                <w:b/>
                <w:bCs/>
                <w:rtl/>
                <w:lang w:bidi="ar-EG"/>
              </w:rPr>
            </w:pPr>
          </w:p>
        </w:tc>
        <w:tc>
          <w:tcPr>
            <w:tcW w:w="2970" w:type="dxa"/>
            <w:gridSpan w:val="2"/>
          </w:tcPr>
          <w:p w14:paraId="36DA974F" w14:textId="77777777" w:rsidR="000D1EE4" w:rsidRPr="009744FD" w:rsidRDefault="00E50850" w:rsidP="009744FD">
            <w:pPr>
              <w:spacing w:before="60" w:after="60" w:line="260" w:lineRule="exact"/>
              <w:jc w:val="left"/>
              <w:rPr>
                <w:b/>
                <w:bCs/>
                <w:rtl/>
                <w:lang w:bidi="ar-EG"/>
              </w:rPr>
            </w:pPr>
            <w:r w:rsidRPr="009744FD">
              <w:rPr>
                <w:rFonts w:eastAsia="SimSun"/>
                <w:b/>
                <w:bCs/>
              </w:rPr>
              <w:t>4</w:t>
            </w:r>
            <w:r w:rsidRPr="009744FD">
              <w:rPr>
                <w:rFonts w:eastAsia="SimSun"/>
                <w:b/>
                <w:bCs/>
                <w:rtl/>
              </w:rPr>
              <w:t xml:space="preserve"> أكتوبر </w:t>
            </w:r>
            <w:r w:rsidRPr="009744FD">
              <w:rPr>
                <w:rFonts w:eastAsia="SimSun"/>
                <w:b/>
                <w:bCs/>
              </w:rPr>
              <w:t>2023</w:t>
            </w:r>
          </w:p>
        </w:tc>
      </w:tr>
      <w:tr w:rsidR="000D1EE4" w:rsidRPr="000D1EE4" w14:paraId="4B2B6E54" w14:textId="77777777" w:rsidTr="00752552">
        <w:trPr>
          <w:cantSplit/>
        </w:trPr>
        <w:tc>
          <w:tcPr>
            <w:tcW w:w="6696" w:type="dxa"/>
            <w:gridSpan w:val="2"/>
          </w:tcPr>
          <w:p w14:paraId="38130D4A" w14:textId="77777777" w:rsidR="000D1EE4" w:rsidRPr="000D1EE4" w:rsidRDefault="000D1EE4" w:rsidP="000D1EE4">
            <w:pPr>
              <w:spacing w:before="60" w:after="60" w:line="260" w:lineRule="exact"/>
              <w:rPr>
                <w:b/>
                <w:bCs/>
                <w:rtl/>
                <w:lang w:bidi="ar-EG"/>
              </w:rPr>
            </w:pPr>
          </w:p>
        </w:tc>
        <w:tc>
          <w:tcPr>
            <w:tcW w:w="2970" w:type="dxa"/>
            <w:gridSpan w:val="2"/>
          </w:tcPr>
          <w:p w14:paraId="4DF1AA9F" w14:textId="77777777" w:rsidR="000D1EE4" w:rsidRPr="009744FD" w:rsidRDefault="00E50850" w:rsidP="009744FD">
            <w:pPr>
              <w:spacing w:before="60" w:after="60" w:line="260" w:lineRule="exact"/>
              <w:jc w:val="left"/>
              <w:rPr>
                <w:b/>
                <w:bCs/>
                <w:lang w:bidi="ar-EG"/>
              </w:rPr>
            </w:pPr>
            <w:r w:rsidRPr="009744FD">
              <w:rPr>
                <w:b/>
                <w:bCs/>
                <w:rtl/>
                <w:lang w:bidi="ar-EG"/>
              </w:rPr>
              <w:t>الأصل: بالإنكليزية</w:t>
            </w:r>
          </w:p>
        </w:tc>
      </w:tr>
      <w:tr w:rsidR="000D1EE4" w:rsidRPr="000D1EE4" w14:paraId="5F8CD6A5" w14:textId="77777777" w:rsidTr="00752552">
        <w:trPr>
          <w:cantSplit/>
        </w:trPr>
        <w:tc>
          <w:tcPr>
            <w:tcW w:w="9666" w:type="dxa"/>
            <w:gridSpan w:val="4"/>
          </w:tcPr>
          <w:p w14:paraId="5C345AD0" w14:textId="77777777" w:rsidR="000D1EE4" w:rsidRPr="000D1EE4" w:rsidRDefault="000D1EE4" w:rsidP="000D1EE4">
            <w:pPr>
              <w:rPr>
                <w:b/>
                <w:bCs/>
                <w:lang w:bidi="ar-EG"/>
              </w:rPr>
            </w:pPr>
          </w:p>
        </w:tc>
      </w:tr>
      <w:tr w:rsidR="000D1EE4" w:rsidRPr="000D1EE4" w14:paraId="38431427" w14:textId="77777777" w:rsidTr="00752552">
        <w:trPr>
          <w:cantSplit/>
        </w:trPr>
        <w:tc>
          <w:tcPr>
            <w:tcW w:w="9666" w:type="dxa"/>
            <w:gridSpan w:val="4"/>
          </w:tcPr>
          <w:p w14:paraId="39136629" w14:textId="77777777" w:rsidR="000D1EE4" w:rsidRPr="000D1EE4" w:rsidRDefault="000D1EE4" w:rsidP="000D1EE4">
            <w:pPr>
              <w:pStyle w:val="Source"/>
              <w:rPr>
                <w:rtl/>
                <w:lang w:bidi="ar-SA"/>
              </w:rPr>
            </w:pPr>
            <w:r w:rsidRPr="000D1EE4">
              <w:rPr>
                <w:rtl/>
              </w:rPr>
              <w:t>مقترحات أوروبية مشتركة</w:t>
            </w:r>
          </w:p>
        </w:tc>
      </w:tr>
      <w:tr w:rsidR="000D1EE4" w:rsidRPr="000D1EE4" w14:paraId="545F4BA8" w14:textId="77777777" w:rsidTr="00752552">
        <w:trPr>
          <w:cantSplit/>
        </w:trPr>
        <w:tc>
          <w:tcPr>
            <w:tcW w:w="9666" w:type="dxa"/>
            <w:gridSpan w:val="4"/>
          </w:tcPr>
          <w:p w14:paraId="0068ED2B" w14:textId="28F93373" w:rsidR="000D1EE4" w:rsidRPr="00F82143" w:rsidRDefault="00F93FDD" w:rsidP="000D1EE4">
            <w:pPr>
              <w:pStyle w:val="Title1"/>
              <w:rPr>
                <w:rtl/>
              </w:rPr>
            </w:pPr>
            <w:r w:rsidRPr="00F82143">
              <w:rPr>
                <w:rFonts w:hint="cs"/>
                <w:rtl/>
                <w:lang w:bidi="ar-SA"/>
              </w:rPr>
              <w:t>مقترحات بشأن أعمال المؤتمر</w:t>
            </w:r>
          </w:p>
        </w:tc>
      </w:tr>
      <w:tr w:rsidR="000D1EE4" w:rsidRPr="000D1EE4" w14:paraId="2EE4B01A" w14:textId="77777777" w:rsidTr="00752552">
        <w:trPr>
          <w:cantSplit/>
        </w:trPr>
        <w:tc>
          <w:tcPr>
            <w:tcW w:w="9666" w:type="dxa"/>
            <w:gridSpan w:val="4"/>
          </w:tcPr>
          <w:p w14:paraId="66E65F58" w14:textId="7B379160" w:rsidR="000D1EE4" w:rsidRPr="009744FD" w:rsidRDefault="000D1EE4" w:rsidP="009744FD">
            <w:pPr>
              <w:pStyle w:val="Title2"/>
              <w:rPr>
                <w:highlight w:val="cyan"/>
              </w:rPr>
            </w:pPr>
          </w:p>
        </w:tc>
      </w:tr>
      <w:tr w:rsidR="00E50850" w:rsidRPr="000D1EE4" w14:paraId="6039C0E7" w14:textId="77777777" w:rsidTr="00752552">
        <w:trPr>
          <w:cantSplit/>
        </w:trPr>
        <w:tc>
          <w:tcPr>
            <w:tcW w:w="9666" w:type="dxa"/>
            <w:gridSpan w:val="4"/>
          </w:tcPr>
          <w:p w14:paraId="164495F6" w14:textId="7F271C6F" w:rsidR="00E50850" w:rsidRPr="009744FD" w:rsidRDefault="00E50850" w:rsidP="00E50850">
            <w:pPr>
              <w:pStyle w:val="Agendaitem"/>
              <w:rPr>
                <w:lang w:val="en-US"/>
              </w:rPr>
            </w:pPr>
            <w:r>
              <w:rPr>
                <w:rtl/>
              </w:rPr>
              <w:t>‎‎‎‎‎‎بند جدول الأعمال</w:t>
            </w:r>
            <w:r w:rsidR="009744FD">
              <w:rPr>
                <w:rFonts w:hint="cs"/>
                <w:rtl/>
              </w:rPr>
              <w:t xml:space="preserve"> </w:t>
            </w:r>
            <w:r w:rsidR="009744FD">
              <w:rPr>
                <w:lang w:val="en-US"/>
              </w:rPr>
              <w:t>7(H)</w:t>
            </w:r>
          </w:p>
        </w:tc>
      </w:tr>
    </w:tbl>
    <w:p w14:paraId="22AA4326" w14:textId="6896C85B" w:rsidR="00D26CD2" w:rsidRPr="00EF1E29" w:rsidRDefault="00D26CD2" w:rsidP="005A38D8">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r w:rsidRPr="00A01660">
        <w:rPr>
          <w:rFonts w:hint="eastAsia"/>
          <w:rtl/>
        </w:rPr>
        <w:t>الساتلية</w:t>
      </w:r>
      <w:r w:rsidRPr="00A01660">
        <w:rPr>
          <w:rtl/>
        </w:rPr>
        <w:t xml:space="preserve">، وفقاً للقرار </w:t>
      </w:r>
      <w:r w:rsidRPr="00A01660">
        <w:rPr>
          <w:b/>
          <w:bCs/>
        </w:rPr>
        <w:t>86 (</w:t>
      </w:r>
      <w:proofErr w:type="spellStart"/>
      <w:r w:rsidRPr="00A01660">
        <w:rPr>
          <w:b/>
          <w:bCs/>
        </w:rPr>
        <w:t>Rev.WRC</w:t>
      </w:r>
      <w:proofErr w:type="spellEnd"/>
      <w:r w:rsidRPr="00A01660">
        <w:rPr>
          <w:b/>
          <w:bCs/>
          <w:lang w:val="en-GB"/>
        </w:rPr>
        <w:noBreakHyphen/>
      </w:r>
      <w:proofErr w:type="gramStart"/>
      <w:r w:rsidRPr="00A01660">
        <w:rPr>
          <w:b/>
          <w:bCs/>
          <w:lang w:val="en-GB"/>
        </w:rPr>
        <w:t>07</w:t>
      </w:r>
      <w:r w:rsidRPr="00A01660">
        <w:rPr>
          <w:b/>
          <w:bCs/>
        </w:rPr>
        <w:t>)</w:t>
      </w:r>
      <w:r w:rsidRPr="0037018A">
        <w:rPr>
          <w:rFonts w:hint="cs"/>
          <w:rtl/>
        </w:rPr>
        <w:t>،</w:t>
      </w:r>
      <w:proofErr w:type="gramEnd"/>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r w:rsidRPr="00A01660">
        <w:rPr>
          <w:rFonts w:hint="eastAsia"/>
          <w:rtl/>
        </w:rPr>
        <w:t>السواتل</w:t>
      </w:r>
      <w:r w:rsidRPr="00A01660">
        <w:rPr>
          <w:rtl/>
        </w:rPr>
        <w:t xml:space="preserve"> المستقرة بالنسبة للأرض؛</w:t>
      </w:r>
    </w:p>
    <w:p w14:paraId="78DECB7D" w14:textId="77777777" w:rsidR="00D26CD2" w:rsidRPr="00C540FD" w:rsidRDefault="00D26CD2" w:rsidP="00D35151">
      <w:pPr>
        <w:rPr>
          <w:lang w:bidi="ar-EG"/>
        </w:rPr>
      </w:pPr>
      <w:r w:rsidRPr="00663E06">
        <w:rPr>
          <w:rFonts w:eastAsia="SimSun"/>
          <w:spacing w:val="-2"/>
          <w:lang w:eastAsia="zh-CN" w:bidi="ar-EG"/>
        </w:rPr>
        <w:t>7(</w:t>
      </w:r>
      <w:r w:rsidRPr="00C828EE">
        <w:rPr>
          <w:rFonts w:eastAsia="SimSun"/>
          <w:spacing w:val="-2"/>
          <w:lang w:eastAsia="zh-CN" w:bidi="ar-EG"/>
        </w:rPr>
        <w:t>H</w:t>
      </w:r>
      <w:r w:rsidRPr="00663E06">
        <w:rPr>
          <w:rFonts w:eastAsia="SimSun"/>
          <w:spacing w:val="-2"/>
          <w:lang w:eastAsia="zh-CN" w:bidi="ar-EG"/>
        </w:rPr>
        <w:t>)</w:t>
      </w:r>
      <w:r w:rsidRPr="00C828EE">
        <w:rPr>
          <w:spacing w:val="-2"/>
          <w:rtl/>
        </w:rPr>
        <w:tab/>
      </w:r>
      <w:r w:rsidRPr="00663E06">
        <w:rPr>
          <w:rFonts w:eastAsia="SimSun" w:hint="cs"/>
          <w:spacing w:val="-2"/>
          <w:rtl/>
          <w:lang w:eastAsia="zh-CN" w:bidi="ar-EG"/>
        </w:rPr>
        <w:t xml:space="preserve">الموضوع </w:t>
      </w:r>
      <w:r w:rsidRPr="00C828EE">
        <w:rPr>
          <w:rFonts w:eastAsia="SimSun"/>
          <w:spacing w:val="-2"/>
          <w:lang w:eastAsia="zh-CN" w:bidi="ar-EG"/>
        </w:rPr>
        <w:t>H</w:t>
      </w:r>
      <w:r w:rsidRPr="00663E06">
        <w:rPr>
          <w:rFonts w:eastAsia="SimSun" w:hint="cs"/>
          <w:spacing w:val="-2"/>
          <w:rtl/>
          <w:lang w:eastAsia="zh-CN" w:bidi="ar-EG"/>
        </w:rPr>
        <w:t xml:space="preserve"> </w:t>
      </w:r>
      <w:r w:rsidRPr="00C828EE">
        <w:rPr>
          <w:spacing w:val="-2"/>
          <w:rtl/>
        </w:rPr>
        <w:t xml:space="preserve">– </w:t>
      </w:r>
      <w:r w:rsidRPr="00C828EE">
        <w:rPr>
          <w:rFonts w:hint="cs"/>
          <w:spacing w:val="-2"/>
          <w:rtl/>
          <w:lang w:bidi="ar-EG"/>
        </w:rPr>
        <w:t xml:space="preserve">حماية معززة </w:t>
      </w:r>
      <w:r w:rsidRPr="00927524">
        <w:rPr>
          <w:rFonts w:hint="cs"/>
          <w:spacing w:val="-2"/>
          <w:rtl/>
          <w:lang w:bidi="ar-EG"/>
        </w:rPr>
        <w:t>للتذييلين</w:t>
      </w:r>
      <w:r w:rsidRPr="0037018A">
        <w:rPr>
          <w:rFonts w:hint="cs"/>
          <w:rtl/>
        </w:rPr>
        <w:t xml:space="preserve"> </w:t>
      </w:r>
      <w:r w:rsidRPr="00C828EE">
        <w:rPr>
          <w:b/>
          <w:bCs/>
          <w:spacing w:val="-2"/>
          <w:lang w:bidi="ar-EG"/>
        </w:rPr>
        <w:t>30/30A</w:t>
      </w:r>
      <w:r w:rsidRPr="00C828EE">
        <w:rPr>
          <w:rFonts w:hint="cs"/>
          <w:spacing w:val="-2"/>
          <w:rtl/>
          <w:lang w:bidi="ar-EG"/>
        </w:rPr>
        <w:t xml:space="preserve"> من لوائح الراديو في </w:t>
      </w:r>
      <w:r>
        <w:rPr>
          <w:rFonts w:hint="cs"/>
          <w:spacing w:val="-2"/>
          <w:rtl/>
          <w:lang w:bidi="ar-EG"/>
        </w:rPr>
        <w:t>الإقليمين</w:t>
      </w:r>
      <w:r w:rsidRPr="00C828EE">
        <w:rPr>
          <w:rFonts w:hint="cs"/>
          <w:spacing w:val="-2"/>
          <w:rtl/>
          <w:lang w:bidi="ar-EG"/>
        </w:rPr>
        <w:t xml:space="preserve"> </w:t>
      </w:r>
      <w:r w:rsidRPr="00C828EE">
        <w:rPr>
          <w:spacing w:val="-2"/>
          <w:lang w:bidi="ar-EG"/>
        </w:rPr>
        <w:t>1</w:t>
      </w:r>
      <w:r w:rsidRPr="00C828EE">
        <w:rPr>
          <w:rFonts w:hint="cs"/>
          <w:spacing w:val="-2"/>
          <w:rtl/>
          <w:lang w:bidi="ar-EG"/>
        </w:rPr>
        <w:t xml:space="preserve"> و</w:t>
      </w:r>
      <w:r w:rsidRPr="00C828EE">
        <w:rPr>
          <w:spacing w:val="-2"/>
          <w:lang w:bidi="ar-EG"/>
        </w:rPr>
        <w:t>3</w:t>
      </w:r>
      <w:r w:rsidRPr="00C828EE">
        <w:rPr>
          <w:rFonts w:hint="cs"/>
          <w:spacing w:val="-2"/>
          <w:rtl/>
          <w:lang w:bidi="ar-EG"/>
        </w:rPr>
        <w:t xml:space="preserve"> </w:t>
      </w:r>
      <w:r w:rsidRPr="00927524">
        <w:rPr>
          <w:rFonts w:hint="cs"/>
          <w:spacing w:val="-2"/>
          <w:rtl/>
          <w:lang w:bidi="ar-EG"/>
        </w:rPr>
        <w:t>والتذييل</w:t>
      </w:r>
      <w:r w:rsidRPr="0037018A">
        <w:rPr>
          <w:rFonts w:hint="cs"/>
          <w:spacing w:val="-2"/>
          <w:rtl/>
          <w:lang w:bidi="ar-EG"/>
        </w:rPr>
        <w:t xml:space="preserve"> </w:t>
      </w:r>
      <w:r w:rsidRPr="00C828EE">
        <w:rPr>
          <w:b/>
          <w:bCs/>
          <w:spacing w:val="-2"/>
          <w:lang w:bidi="ar-EG"/>
        </w:rPr>
        <w:t>30B</w:t>
      </w:r>
      <w:r w:rsidRPr="00C828EE">
        <w:rPr>
          <w:rFonts w:hint="cs"/>
          <w:b/>
          <w:bCs/>
          <w:spacing w:val="-2"/>
          <w:rtl/>
          <w:lang w:bidi="ar-EG"/>
        </w:rPr>
        <w:t xml:space="preserve"> </w:t>
      </w:r>
      <w:r w:rsidRPr="00C828EE">
        <w:rPr>
          <w:rFonts w:hint="cs"/>
          <w:spacing w:val="-2"/>
          <w:rtl/>
          <w:lang w:bidi="ar-EG"/>
        </w:rPr>
        <w:t>من لوائح الراديو</w:t>
      </w:r>
    </w:p>
    <w:p w14:paraId="16316D94" w14:textId="39212BD0" w:rsidR="00417E14" w:rsidRDefault="009744FD" w:rsidP="009744FD">
      <w:pPr>
        <w:pStyle w:val="Headingb"/>
        <w:rPr>
          <w:rtl/>
        </w:rPr>
      </w:pPr>
      <w:r w:rsidRPr="00F82143">
        <w:rPr>
          <w:rFonts w:hint="cs"/>
          <w:rtl/>
        </w:rPr>
        <w:t>مقدمة</w:t>
      </w:r>
    </w:p>
    <w:p w14:paraId="6BDC008A" w14:textId="7E5C7A4E" w:rsidR="009744FD" w:rsidRDefault="00F82143" w:rsidP="00C309E0">
      <w:pPr>
        <w:rPr>
          <w:rtl/>
          <w:lang w:bidi="ar-EG"/>
        </w:rPr>
      </w:pPr>
      <w:r>
        <w:rPr>
          <w:rFonts w:hint="cs"/>
          <w:rtl/>
          <w:lang w:bidi="ar-EG"/>
        </w:rPr>
        <w:t>تم تقسيم هذا الموضوع إلى عنصرين مختلفين أثناء النظر فيه في قطاع الاتصالات الراديوية:</w:t>
      </w:r>
    </w:p>
    <w:p w14:paraId="0145814A" w14:textId="17762F76" w:rsidR="00B24B17" w:rsidRDefault="009744FD" w:rsidP="0037018A">
      <w:pPr>
        <w:pStyle w:val="enumlev1"/>
      </w:pPr>
      <w:r>
        <w:rPr>
          <w:rFonts w:hint="cs"/>
          <w:rtl/>
        </w:rPr>
        <w:t>-</w:t>
      </w:r>
      <w:r>
        <w:rPr>
          <w:rtl/>
        </w:rPr>
        <w:tab/>
      </w:r>
      <w:r w:rsidR="00F82143">
        <w:rPr>
          <w:rFonts w:hint="cs"/>
          <w:rtl/>
        </w:rPr>
        <w:t>اتفاق ضمني،</w:t>
      </w:r>
    </w:p>
    <w:p w14:paraId="7701C22D" w14:textId="451863ED" w:rsidR="009744FD" w:rsidRDefault="009744FD" w:rsidP="0037018A">
      <w:pPr>
        <w:pStyle w:val="enumlev1"/>
        <w:rPr>
          <w:rtl/>
        </w:rPr>
      </w:pPr>
      <w:r>
        <w:rPr>
          <w:rFonts w:hint="cs"/>
          <w:rtl/>
        </w:rPr>
        <w:t>-</w:t>
      </w:r>
      <w:r>
        <w:rPr>
          <w:rtl/>
        </w:rPr>
        <w:tab/>
      </w:r>
      <w:r w:rsidR="00F82143">
        <w:rPr>
          <w:rFonts w:hint="cs"/>
          <w:rtl/>
        </w:rPr>
        <w:t xml:space="preserve">وخفض </w:t>
      </w:r>
      <w:r w:rsidR="00A002B4">
        <w:rPr>
          <w:rFonts w:hint="cs"/>
          <w:rtl/>
        </w:rPr>
        <w:t>قيمة عتبة إطلاق التنسيق من أجل التخصيصات الواردة في الخطة.</w:t>
      </w:r>
    </w:p>
    <w:p w14:paraId="450FEC6A" w14:textId="7B914364" w:rsidR="00A002B4" w:rsidRDefault="00A002B4" w:rsidP="00A002B4">
      <w:pPr>
        <w:rPr>
          <w:rtl/>
        </w:rPr>
      </w:pPr>
      <w:r>
        <w:rPr>
          <w:rFonts w:hint="cs"/>
          <w:rtl/>
        </w:rPr>
        <w:t xml:space="preserve">وترتبط أحكام التذييل </w:t>
      </w:r>
      <w:r w:rsidRPr="00B80D00">
        <w:rPr>
          <w:rFonts w:hint="cs"/>
          <w:b/>
          <w:bCs/>
          <w:rtl/>
        </w:rPr>
        <w:t>30</w:t>
      </w:r>
      <w:r>
        <w:rPr>
          <w:rFonts w:hint="cs"/>
          <w:rtl/>
        </w:rPr>
        <w:t xml:space="preserve"> </w:t>
      </w:r>
      <w:r w:rsidRPr="00B80D00">
        <w:rPr>
          <w:rFonts w:hint="cs"/>
          <w:rtl/>
        </w:rPr>
        <w:t>للوائح</w:t>
      </w:r>
      <w:r w:rsidR="00D91C11" w:rsidRPr="00B80D00">
        <w:rPr>
          <w:rFonts w:hint="cs"/>
          <w:rtl/>
        </w:rPr>
        <w:t xml:space="preserve"> </w:t>
      </w:r>
      <w:r>
        <w:rPr>
          <w:rFonts w:hint="cs"/>
          <w:rtl/>
        </w:rPr>
        <w:t xml:space="preserve">الراديو في الإقليمين 1 و3، والتذييل </w:t>
      </w:r>
      <w:r w:rsidRPr="008F67B8">
        <w:rPr>
          <w:b/>
          <w:bCs/>
        </w:rPr>
        <w:t>30A</w:t>
      </w:r>
      <w:r>
        <w:rPr>
          <w:rFonts w:hint="cs"/>
          <w:rtl/>
        </w:rPr>
        <w:t xml:space="preserve"> من لوائح الراديو في الإقليمين 1 و3، والتذييل</w:t>
      </w:r>
      <w:r w:rsidR="00051BCC">
        <w:rPr>
          <w:rFonts w:hint="cs"/>
          <w:rtl/>
        </w:rPr>
        <w:t xml:space="preserve"> </w:t>
      </w:r>
      <w:r w:rsidRPr="008F67B8">
        <w:rPr>
          <w:b/>
          <w:bCs/>
        </w:rPr>
        <w:t>30B</w:t>
      </w:r>
      <w:r w:rsidR="00051BCC">
        <w:rPr>
          <w:rFonts w:hint="cs"/>
          <w:b/>
          <w:bCs/>
          <w:rtl/>
        </w:rPr>
        <w:t xml:space="preserve"> </w:t>
      </w:r>
      <w:r>
        <w:rPr>
          <w:rFonts w:hint="cs"/>
          <w:rtl/>
        </w:rPr>
        <w:t>من لوائح الراديو بالأحكام الأخرى الواردة في التذييل نفسه ويلزم النظر فيها معاً.</w:t>
      </w:r>
    </w:p>
    <w:p w14:paraId="221B954A" w14:textId="6ADF15DB" w:rsidR="00A002B4" w:rsidRPr="00A002B4" w:rsidRDefault="00A002B4" w:rsidP="00A002B4">
      <w:r>
        <w:rPr>
          <w:rFonts w:hint="cs"/>
          <w:rtl/>
        </w:rPr>
        <w:t xml:space="preserve">وعند مراجعة حكم أو أكثر من أحكام أحد </w:t>
      </w:r>
      <w:proofErr w:type="spellStart"/>
      <w:r>
        <w:rPr>
          <w:rFonts w:hint="cs"/>
          <w:rtl/>
        </w:rPr>
        <w:t>التذييلات</w:t>
      </w:r>
      <w:proofErr w:type="spellEnd"/>
      <w:r>
        <w:rPr>
          <w:rFonts w:hint="cs"/>
          <w:rtl/>
        </w:rPr>
        <w:t xml:space="preserve"> تدعو الحاجة إلى دراسة جميع أحكام هذا التذييل حت</w:t>
      </w:r>
      <w:r w:rsidR="00C873C7">
        <w:rPr>
          <w:rFonts w:hint="cs"/>
          <w:rtl/>
        </w:rPr>
        <w:t>ى</w:t>
      </w:r>
      <w:r>
        <w:rPr>
          <w:rFonts w:hint="cs"/>
          <w:rtl/>
        </w:rPr>
        <w:t xml:space="preserve"> لا يتغير التوازن المتفق عليه بين الحقوق </w:t>
      </w:r>
      <w:r w:rsidR="0048681A">
        <w:rPr>
          <w:rFonts w:hint="cs"/>
          <w:rtl/>
        </w:rPr>
        <w:t>والالتزامات</w:t>
      </w:r>
      <w:r>
        <w:rPr>
          <w:rFonts w:hint="cs"/>
          <w:rtl/>
        </w:rPr>
        <w:t>.</w:t>
      </w:r>
    </w:p>
    <w:p w14:paraId="627DA209" w14:textId="30594331" w:rsidR="00C45930" w:rsidRDefault="0048681A" w:rsidP="00E56BD6">
      <w:pPr>
        <w:rPr>
          <w:rtl/>
          <w:lang w:bidi="ar-EG"/>
        </w:rPr>
      </w:pPr>
      <w:r>
        <w:rPr>
          <w:rFonts w:hint="cs"/>
          <w:rtl/>
          <w:lang w:bidi="ar-EG"/>
        </w:rPr>
        <w:t>وعلاوة</w:t>
      </w:r>
      <w:r w:rsidR="00D91C11">
        <w:rPr>
          <w:rFonts w:hint="cs"/>
          <w:rtl/>
          <w:lang w:bidi="ar-EG"/>
        </w:rPr>
        <w:t>ً</w:t>
      </w:r>
      <w:r>
        <w:rPr>
          <w:rFonts w:hint="cs"/>
          <w:rtl/>
          <w:lang w:bidi="ar-EG"/>
        </w:rPr>
        <w:t xml:space="preserve"> على ذلك، ينبغي زيادة النظر في الآثار المترتبة على المقترحات المقدمة فيما يتعلق بعدم وفاء الإدارات بالتزاماتها بموجب لوائح الراديو للاستجابة للتبليغات التي قد تؤثر على تخصيصاتها، وفي الآثار المترتبة على التغييرات المقترحة.</w:t>
      </w:r>
    </w:p>
    <w:p w14:paraId="2E99EF3E" w14:textId="77777777" w:rsidR="00DD5C60" w:rsidRDefault="0048681A" w:rsidP="00DD5C60">
      <w:pPr>
        <w:rPr>
          <w:lang w:bidi="ar-EG"/>
        </w:rPr>
      </w:pPr>
      <w:r>
        <w:rPr>
          <w:rFonts w:hint="cs"/>
          <w:rtl/>
          <w:lang w:bidi="ar-EG"/>
        </w:rPr>
        <w:t xml:space="preserve">ولذلك فإن المؤتمر الأوروبي لإدارات البريد والاتصالات </w:t>
      </w:r>
      <w:r w:rsidR="00AC4D72">
        <w:rPr>
          <w:lang w:bidi="ar-EG"/>
        </w:rPr>
        <w:t>(CEPT)</w:t>
      </w:r>
      <w:r>
        <w:rPr>
          <w:rFonts w:hint="cs"/>
          <w:rtl/>
          <w:lang w:bidi="ar-EG"/>
        </w:rPr>
        <w:t xml:space="preserve"> لا يؤيد أي تغيير فيما يتعلق بكل </w:t>
      </w:r>
      <w:r w:rsidR="00AC4D72">
        <w:rPr>
          <w:rFonts w:hint="cs"/>
          <w:rtl/>
          <w:lang w:bidi="ar-EG"/>
        </w:rPr>
        <w:t xml:space="preserve">من عنصر الاتفاق الضمني وخفض هامش الحماية المكافئة </w:t>
      </w:r>
      <w:r w:rsidR="00AC4D72" w:rsidRPr="008F67B8">
        <w:t>(EPM)</w:t>
      </w:r>
      <w:r w:rsidR="00AC4D72">
        <w:rPr>
          <w:rFonts w:hint="cs"/>
          <w:rtl/>
          <w:lang w:bidi="ar-EG"/>
        </w:rPr>
        <w:t>.</w:t>
      </w:r>
    </w:p>
    <w:p w14:paraId="08BE2F48" w14:textId="2A840397" w:rsidR="004C67F1" w:rsidRPr="00DD5C60" w:rsidRDefault="005A38D8" w:rsidP="00B80D00">
      <w:pPr>
        <w:pStyle w:val="Headingb"/>
        <w:keepNext w:val="0"/>
        <w:keepLines w:val="0"/>
        <w:rPr>
          <w:rtl/>
        </w:rPr>
      </w:pPr>
      <w:r w:rsidRPr="00B80D00">
        <w:rPr>
          <w:rFonts w:hint="cs"/>
          <w:rtl/>
        </w:rPr>
        <w:t>المقترحات</w:t>
      </w:r>
      <w:r w:rsidR="004C67F1">
        <w:rPr>
          <w:rtl/>
          <w:lang w:val="en-GB"/>
        </w:rPr>
        <w:br w:type="page"/>
      </w:r>
    </w:p>
    <w:p w14:paraId="535EECD8" w14:textId="77777777" w:rsidR="00BC06A5" w:rsidRDefault="00D26CD2">
      <w:pPr>
        <w:pStyle w:val="Proposal"/>
      </w:pPr>
      <w:r>
        <w:rPr>
          <w:u w:val="single"/>
        </w:rPr>
        <w:lastRenderedPageBreak/>
        <w:t>NOC</w:t>
      </w:r>
      <w:r>
        <w:tab/>
        <w:t>EUR/65A22A10/1</w:t>
      </w:r>
      <w:r>
        <w:rPr>
          <w:vanish/>
          <w:color w:val="7F7F7F" w:themeColor="text1" w:themeTint="80"/>
          <w:vertAlign w:val="superscript"/>
        </w:rPr>
        <w:t>#2073</w:t>
      </w:r>
    </w:p>
    <w:p w14:paraId="7BB10503" w14:textId="77777777" w:rsidR="00D26CD2" w:rsidRPr="008C40EC" w:rsidRDefault="00D26CD2" w:rsidP="00B80D00">
      <w:pPr>
        <w:pStyle w:val="AppendixNo"/>
        <w:spacing w:before="240"/>
        <w:rPr>
          <w:rtl/>
        </w:rPr>
      </w:pPr>
      <w:r w:rsidRPr="008C40EC">
        <w:rPr>
          <w:rtl/>
        </w:rPr>
        <w:t xml:space="preserve">التذييـل </w:t>
      </w:r>
      <w:r w:rsidRPr="008C40EC">
        <w:rPr>
          <w:rStyle w:val="href"/>
        </w:rPr>
        <w:t>30</w:t>
      </w:r>
      <w:r w:rsidRPr="008C40EC">
        <w:t xml:space="preserve"> (REV.WRC-19)</w:t>
      </w:r>
      <w:r w:rsidRPr="008C40EC">
        <w:rPr>
          <w:rStyle w:val="FootnoteReference"/>
          <w:rtl/>
        </w:rPr>
        <w:t>*</w:t>
      </w:r>
    </w:p>
    <w:p w14:paraId="511A4F88" w14:textId="77777777" w:rsidR="00D26CD2" w:rsidRPr="008C40EC" w:rsidRDefault="00D26CD2" w:rsidP="00F91337">
      <w:pPr>
        <w:pStyle w:val="Appendixtitle"/>
        <w:rPr>
          <w:sz w:val="16"/>
          <w:rtl/>
        </w:rPr>
      </w:pPr>
      <w:r w:rsidRPr="008C40EC">
        <w:rPr>
          <w:rtl/>
        </w:rPr>
        <w:t>الأحكام بشأن جميع الخدمات والخطتان والقائمة المصاحبة لها</w:t>
      </w:r>
      <w:r w:rsidRPr="008C40EC">
        <w:rPr>
          <w:rStyle w:val="FootnoteReference"/>
          <w:rtl/>
        </w:rPr>
        <w:t>1</w:t>
      </w:r>
      <w:r w:rsidRPr="008C40EC">
        <w:rPr>
          <w:rtl/>
        </w:rPr>
        <w:t xml:space="preserve"> بشأن الخدمة الإذاعية الساتلية في نطاقات الترددات </w:t>
      </w:r>
      <w:r w:rsidRPr="008C40EC">
        <w:t>GHz 12,2-11,7</w:t>
      </w:r>
      <w:r w:rsidRPr="008C40EC">
        <w:rPr>
          <w:rtl/>
        </w:rPr>
        <w:t xml:space="preserve"> (في الإقليم </w:t>
      </w:r>
      <w:r w:rsidRPr="008C40EC">
        <w:t>3</w:t>
      </w:r>
      <w:r w:rsidRPr="008C40EC">
        <w:rPr>
          <w:rtl/>
        </w:rPr>
        <w:t>) و</w:t>
      </w:r>
      <w:r w:rsidRPr="008C40EC">
        <w:t>GHz 12,5-11,7</w:t>
      </w:r>
      <w:r w:rsidRPr="008C40EC">
        <w:rPr>
          <w:rtl/>
        </w:rPr>
        <w:br/>
        <w:t xml:space="preserve">(في الإقليم </w:t>
      </w:r>
      <w:r w:rsidRPr="008C40EC">
        <w:t>1</w:t>
      </w:r>
      <w:r w:rsidRPr="008C40EC">
        <w:rPr>
          <w:rtl/>
        </w:rPr>
        <w:t>) و</w:t>
      </w:r>
      <w:r w:rsidRPr="008C40EC">
        <w:t>GHz 12,7-12,2</w:t>
      </w:r>
      <w:r w:rsidRPr="008C40EC">
        <w:rPr>
          <w:rtl/>
        </w:rPr>
        <w:t xml:space="preserve"> (في الإقليم </w:t>
      </w:r>
      <w:r w:rsidRPr="008C40EC">
        <w:t>2</w:t>
      </w:r>
      <w:r w:rsidRPr="008C40EC">
        <w:rPr>
          <w:rtl/>
        </w:rPr>
        <w:t>)</w:t>
      </w:r>
      <w:r w:rsidRPr="008C40EC">
        <w:rPr>
          <w:b w:val="0"/>
          <w:bCs w:val="0"/>
          <w:sz w:val="16"/>
          <w:szCs w:val="16"/>
        </w:rPr>
        <w:t>(WRC-03)</w:t>
      </w:r>
      <w:r w:rsidRPr="008C40EC">
        <w:rPr>
          <w:sz w:val="16"/>
          <w:szCs w:val="16"/>
        </w:rPr>
        <w:t>   </w:t>
      </w:r>
      <w:r w:rsidRPr="008C40EC">
        <w:rPr>
          <w:sz w:val="16"/>
        </w:rPr>
        <w:t>  </w:t>
      </w:r>
    </w:p>
    <w:p w14:paraId="7969EF97" w14:textId="77777777" w:rsidR="00BC06A5" w:rsidRDefault="00BC06A5">
      <w:pPr>
        <w:pStyle w:val="Reasons"/>
      </w:pPr>
    </w:p>
    <w:p w14:paraId="7019763A" w14:textId="77777777" w:rsidR="00BC06A5" w:rsidRDefault="00D26CD2">
      <w:pPr>
        <w:pStyle w:val="Proposal"/>
      </w:pPr>
      <w:r>
        <w:rPr>
          <w:u w:val="single"/>
        </w:rPr>
        <w:t>NOC</w:t>
      </w:r>
      <w:r>
        <w:tab/>
        <w:t>EUR/65A22A10/2</w:t>
      </w:r>
      <w:r>
        <w:rPr>
          <w:vanish/>
          <w:color w:val="7F7F7F" w:themeColor="text1" w:themeTint="80"/>
          <w:vertAlign w:val="superscript"/>
        </w:rPr>
        <w:t>#2074</w:t>
      </w:r>
    </w:p>
    <w:p w14:paraId="1BD99160" w14:textId="77777777" w:rsidR="00D26CD2" w:rsidRPr="008C40EC" w:rsidRDefault="00D26CD2" w:rsidP="00B80D00">
      <w:pPr>
        <w:pStyle w:val="AppendixNo"/>
        <w:spacing w:before="240"/>
        <w:rPr>
          <w:rtl/>
        </w:rPr>
      </w:pPr>
      <w:r w:rsidRPr="008C40EC">
        <w:rPr>
          <w:rtl/>
        </w:rPr>
        <w:t xml:space="preserve">التذييـل </w:t>
      </w:r>
      <w:r w:rsidRPr="008C40EC">
        <w:rPr>
          <w:rStyle w:val="FootnoteReference"/>
          <w:position w:val="-2"/>
          <w:sz w:val="26"/>
          <w:szCs w:val="26"/>
        </w:rPr>
        <w:t>*</w:t>
      </w:r>
      <w:r w:rsidRPr="008C40EC">
        <w:rPr>
          <w:rStyle w:val="href"/>
        </w:rPr>
        <w:t>30A</w:t>
      </w:r>
      <w:r w:rsidRPr="008C40EC">
        <w:t xml:space="preserve"> (REV.WRC-19)</w:t>
      </w:r>
    </w:p>
    <w:p w14:paraId="04AABE8F" w14:textId="77777777" w:rsidR="00D26CD2" w:rsidRPr="008C40EC" w:rsidRDefault="00D26CD2" w:rsidP="00F91337">
      <w:pPr>
        <w:pStyle w:val="Appendixtitle"/>
        <w:spacing w:line="168" w:lineRule="auto"/>
        <w:rPr>
          <w:sz w:val="16"/>
          <w:szCs w:val="24"/>
          <w:rtl/>
        </w:rPr>
      </w:pPr>
      <w:r w:rsidRPr="008C40EC">
        <w:rPr>
          <w:rtl/>
        </w:rPr>
        <w:t>الأحكام والخطتان والقائمة</w:t>
      </w:r>
      <w:r w:rsidRPr="008C40EC">
        <w:rPr>
          <w:rStyle w:val="FootnoteReference"/>
        </w:rPr>
        <w:t>1</w:t>
      </w:r>
      <w:r w:rsidRPr="008C40EC">
        <w:rPr>
          <w:rtl/>
        </w:rPr>
        <w:t xml:space="preserve"> المصاحبة لها التي تتعلق بوصلات التغذية</w:t>
      </w:r>
      <w:r w:rsidRPr="008C40EC">
        <w:rPr>
          <w:rtl/>
        </w:rPr>
        <w:br/>
        <w:t>في الخدمة الإذاعية الساتلية (</w:t>
      </w:r>
      <w:r w:rsidRPr="008C40EC">
        <w:t>GHz 12,5-11,7</w:t>
      </w:r>
      <w:r w:rsidRPr="008C40EC">
        <w:rPr>
          <w:rtl/>
        </w:rPr>
        <w:t xml:space="preserve"> في الإقليم </w:t>
      </w:r>
      <w:r w:rsidRPr="008C40EC">
        <w:t>1</w:t>
      </w:r>
      <w:r w:rsidRPr="008C40EC">
        <w:rPr>
          <w:rtl/>
        </w:rPr>
        <w:t xml:space="preserve"> و</w:t>
      </w:r>
      <w:r w:rsidRPr="008C40EC">
        <w:t>GHz 12,7-12,2</w:t>
      </w:r>
      <w:r w:rsidRPr="008C40EC">
        <w:rPr>
          <w:rtl/>
        </w:rPr>
        <w:br/>
        <w:t xml:space="preserve">في الإقليم </w:t>
      </w:r>
      <w:r w:rsidRPr="008C40EC">
        <w:t>2</w:t>
      </w:r>
      <w:r w:rsidRPr="008C40EC">
        <w:rPr>
          <w:rtl/>
        </w:rPr>
        <w:t xml:space="preserve"> و</w:t>
      </w:r>
      <w:r w:rsidRPr="008C40EC">
        <w:t>GHz 12,2-11,7</w:t>
      </w:r>
      <w:r w:rsidRPr="008C40EC">
        <w:rPr>
          <w:rtl/>
        </w:rPr>
        <w:t xml:space="preserve"> في الإقليم </w:t>
      </w:r>
      <w:r w:rsidRPr="008C40EC">
        <w:t>3</w:t>
      </w:r>
      <w:r w:rsidRPr="008C40EC">
        <w:rPr>
          <w:rtl/>
        </w:rPr>
        <w:t>) في نطاقات التردد</w:t>
      </w:r>
      <w:r w:rsidRPr="008C40EC">
        <w:rPr>
          <w:rtl/>
        </w:rPr>
        <w:br/>
      </w:r>
      <w:r w:rsidRPr="008C40EC">
        <w:rPr>
          <w:rStyle w:val="FootnoteReference"/>
        </w:rPr>
        <w:t>2</w:t>
      </w:r>
      <w:r w:rsidRPr="008C40EC">
        <w:t>GHz 14,8-14,5</w:t>
      </w:r>
      <w:r w:rsidRPr="008C40EC">
        <w:rPr>
          <w:rtl/>
        </w:rPr>
        <w:t xml:space="preserve"> و</w:t>
      </w:r>
      <w:r w:rsidRPr="008C40EC">
        <w:t>GHz 18,1-17,3</w:t>
      </w:r>
      <w:r w:rsidRPr="008C40EC">
        <w:rPr>
          <w:rtl/>
        </w:rPr>
        <w:t xml:space="preserve"> في الإقليمين </w:t>
      </w:r>
      <w:r w:rsidRPr="008C40EC">
        <w:t>1</w:t>
      </w:r>
      <w:r w:rsidRPr="008C40EC">
        <w:rPr>
          <w:rtl/>
        </w:rPr>
        <w:t xml:space="preserve"> و</w:t>
      </w:r>
      <w:r w:rsidRPr="008C40EC">
        <w:t>3</w:t>
      </w:r>
      <w:r w:rsidRPr="008C40EC">
        <w:rPr>
          <w:rtl/>
        </w:rPr>
        <w:br/>
        <w:t>و</w:t>
      </w:r>
      <w:r w:rsidRPr="008C40EC">
        <w:t>GHz 17,8-17,3</w:t>
      </w:r>
      <w:r w:rsidRPr="008C40EC">
        <w:rPr>
          <w:rtl/>
        </w:rPr>
        <w:t xml:space="preserve"> في الإقليم </w:t>
      </w:r>
      <w:r w:rsidRPr="008C40EC">
        <w:t>2</w:t>
      </w:r>
      <w:r w:rsidRPr="008C40EC">
        <w:rPr>
          <w:sz w:val="16"/>
          <w:szCs w:val="16"/>
          <w:rtl/>
        </w:rPr>
        <w:t> </w:t>
      </w:r>
      <w:r w:rsidRPr="008C40EC">
        <w:rPr>
          <w:b w:val="0"/>
          <w:bCs w:val="0"/>
          <w:sz w:val="16"/>
          <w:szCs w:val="24"/>
        </w:rPr>
        <w:t>(WRC-03)</w:t>
      </w:r>
      <w:r w:rsidRPr="008C40EC">
        <w:rPr>
          <w:sz w:val="16"/>
          <w:szCs w:val="24"/>
        </w:rPr>
        <w:t>    </w:t>
      </w:r>
    </w:p>
    <w:p w14:paraId="255D2DA5" w14:textId="77777777" w:rsidR="00BC06A5" w:rsidRDefault="00BC06A5">
      <w:pPr>
        <w:pStyle w:val="Reasons"/>
      </w:pPr>
    </w:p>
    <w:p w14:paraId="02ACE78A" w14:textId="77777777" w:rsidR="00BC06A5" w:rsidRDefault="00D26CD2">
      <w:pPr>
        <w:pStyle w:val="Proposal"/>
      </w:pPr>
      <w:r>
        <w:rPr>
          <w:u w:val="single"/>
        </w:rPr>
        <w:t>NOC</w:t>
      </w:r>
      <w:r>
        <w:tab/>
        <w:t>EUR/65A22A10/3</w:t>
      </w:r>
      <w:r>
        <w:rPr>
          <w:vanish/>
          <w:color w:val="7F7F7F" w:themeColor="text1" w:themeTint="80"/>
          <w:vertAlign w:val="superscript"/>
        </w:rPr>
        <w:t>#2075</w:t>
      </w:r>
    </w:p>
    <w:p w14:paraId="3E3B4F62" w14:textId="77777777" w:rsidR="00D26CD2" w:rsidRPr="008C40EC" w:rsidRDefault="00D26CD2" w:rsidP="00B80D00">
      <w:pPr>
        <w:pStyle w:val="AppendixNo"/>
        <w:spacing w:before="240"/>
        <w:rPr>
          <w:rtl/>
        </w:rPr>
      </w:pPr>
      <w:r w:rsidRPr="008C40EC">
        <w:rPr>
          <w:rtl/>
        </w:rPr>
        <w:t xml:space="preserve">التذييـل </w:t>
      </w:r>
      <w:r w:rsidRPr="008C40EC">
        <w:rPr>
          <w:rStyle w:val="href"/>
        </w:rPr>
        <w:t>30B</w:t>
      </w:r>
      <w:r w:rsidRPr="008C40EC">
        <w:t xml:space="preserve"> (REV.WRC-19)</w:t>
      </w:r>
    </w:p>
    <w:p w14:paraId="04612991" w14:textId="77777777" w:rsidR="00D26CD2" w:rsidRPr="008C40EC" w:rsidRDefault="00D26CD2" w:rsidP="00C03B2D">
      <w:pPr>
        <w:pStyle w:val="Annextitle"/>
        <w:rPr>
          <w:rtl/>
        </w:rPr>
      </w:pPr>
      <w:r w:rsidRPr="008C40EC">
        <w:rPr>
          <w:rtl/>
        </w:rPr>
        <w:t xml:space="preserve">الأحكام والخطة المصاحبة بشأن الخدمة الثابتة الساتلية في نطاقات الترددات </w:t>
      </w:r>
      <w:r w:rsidRPr="008C40EC">
        <w:rPr>
          <w:rtl/>
        </w:rPr>
        <w:br/>
      </w:r>
      <w:r w:rsidRPr="008C40EC">
        <w:t>MHz 4 800-4 500</w:t>
      </w:r>
      <w:r w:rsidRPr="008C40EC">
        <w:rPr>
          <w:rtl/>
        </w:rPr>
        <w:t xml:space="preserve"> و</w:t>
      </w:r>
      <w:r w:rsidRPr="008C40EC">
        <w:t>MHz 7 025-6 725</w:t>
      </w:r>
      <w:r w:rsidRPr="008C40EC">
        <w:rPr>
          <w:rtl/>
        </w:rPr>
        <w:t xml:space="preserve"> و</w:t>
      </w:r>
      <w:r w:rsidRPr="008C40EC">
        <w:t>GHz 10,95-10,70</w:t>
      </w:r>
      <w:r w:rsidRPr="008C40EC">
        <w:rPr>
          <w:rtl/>
        </w:rPr>
        <w:t xml:space="preserve"> </w:t>
      </w:r>
      <w:r w:rsidRPr="008C40EC">
        <w:rPr>
          <w:rtl/>
        </w:rPr>
        <w:br/>
        <w:t>و</w:t>
      </w:r>
      <w:r w:rsidRPr="008C40EC">
        <w:t>GHz 11,45-11,20</w:t>
      </w:r>
      <w:r w:rsidRPr="008C40EC">
        <w:rPr>
          <w:rtl/>
        </w:rPr>
        <w:t xml:space="preserve"> و</w:t>
      </w:r>
      <w:r w:rsidRPr="008C40EC">
        <w:t>GHz 13,25-12,75</w:t>
      </w:r>
    </w:p>
    <w:p w14:paraId="1E844451" w14:textId="77777777" w:rsidR="00BC06A5" w:rsidRDefault="00BC06A5">
      <w:pPr>
        <w:pStyle w:val="Reasons"/>
      </w:pPr>
    </w:p>
    <w:p w14:paraId="7A725BD3" w14:textId="66015141" w:rsidR="00D26CD2" w:rsidRPr="00E323D1" w:rsidRDefault="00E323D1" w:rsidP="00B80D00">
      <w:pPr>
        <w:spacing w:before="24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w:t>
      </w:r>
    </w:p>
    <w:sectPr w:rsidR="00D26CD2" w:rsidRPr="00E323D1">
      <w:headerReference w:type="even" r:id="rId15"/>
      <w:footerReference w:type="even" r:id="rId16"/>
      <w:footerReference w:type="first" r:id="rId17"/>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192F3" w14:textId="77777777" w:rsidR="001A6F04" w:rsidRDefault="001A6F04" w:rsidP="002919E1">
      <w:r>
        <w:separator/>
      </w:r>
    </w:p>
    <w:p w14:paraId="1EDF364B" w14:textId="77777777" w:rsidR="001A6F04" w:rsidRDefault="001A6F04" w:rsidP="002919E1"/>
    <w:p w14:paraId="74328FB1" w14:textId="77777777" w:rsidR="001A6F04" w:rsidRDefault="001A6F04" w:rsidP="002919E1"/>
    <w:p w14:paraId="52BF7F32" w14:textId="77777777" w:rsidR="001A6F04" w:rsidRDefault="001A6F04"/>
    <w:p w14:paraId="177F91C9" w14:textId="77777777" w:rsidR="001A6F04" w:rsidRDefault="001A6F04"/>
  </w:endnote>
  <w:endnote w:type="continuationSeparator" w:id="0">
    <w:p w14:paraId="25189C6C" w14:textId="77777777" w:rsidR="001A6F04" w:rsidRDefault="001A6F04" w:rsidP="002919E1">
      <w:r>
        <w:continuationSeparator/>
      </w:r>
    </w:p>
    <w:p w14:paraId="3C35A843" w14:textId="77777777" w:rsidR="001A6F04" w:rsidRDefault="001A6F04" w:rsidP="002919E1"/>
    <w:p w14:paraId="7184E1B0" w14:textId="77777777" w:rsidR="001A6F04" w:rsidRDefault="001A6F04" w:rsidP="002919E1"/>
    <w:p w14:paraId="11D3047E" w14:textId="77777777" w:rsidR="001A6F04" w:rsidRDefault="001A6F04"/>
    <w:p w14:paraId="67600A72"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B3C2" w14:textId="15CE79F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FB5660">
      <w:rPr>
        <w:sz w:val="16"/>
        <w:szCs w:val="16"/>
        <w:lang w:val="en-GB"/>
      </w:rPr>
      <w:instrText xml:space="preserve"> FILENAME \p \* MERGEFORMAT </w:instrText>
    </w:r>
    <w:r w:rsidRPr="0026373E">
      <w:rPr>
        <w:sz w:val="16"/>
        <w:szCs w:val="16"/>
        <w:lang w:val="fr-FR"/>
      </w:rPr>
      <w:fldChar w:fldCharType="separate"/>
    </w:r>
    <w:r w:rsidR="005A38D8">
      <w:rPr>
        <w:noProof/>
        <w:sz w:val="16"/>
        <w:szCs w:val="16"/>
        <w:lang w:val="en-GB"/>
      </w:rPr>
      <w:t>P:\ARA\ITU-R\CONF-R\CMR23\000\065ADD22ADD10A.docx</w:t>
    </w:r>
    <w:r w:rsidRPr="0026373E">
      <w:rPr>
        <w:sz w:val="16"/>
        <w:szCs w:val="16"/>
      </w:rPr>
      <w:fldChar w:fldCharType="end"/>
    </w:r>
    <w:r w:rsidRPr="0026373E">
      <w:rPr>
        <w:sz w:val="16"/>
        <w:szCs w:val="16"/>
      </w:rPr>
      <w:t xml:space="preserve">  </w:t>
    </w:r>
    <w:r w:rsidRPr="00FB5660">
      <w:rPr>
        <w:sz w:val="16"/>
        <w:szCs w:val="16"/>
        <w:lang w:val="en-GB"/>
      </w:rPr>
      <w:t xml:space="preserve"> (</w:t>
    </w:r>
    <w:r w:rsidR="009744FD" w:rsidRPr="00FB5660">
      <w:rPr>
        <w:sz w:val="16"/>
        <w:szCs w:val="16"/>
        <w:lang w:val="en-GB"/>
      </w:rPr>
      <w:t>528841</w:t>
    </w:r>
    <w:r w:rsidRPr="00FB5660">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9DD" w14:textId="01DF48B0" w:rsidR="009744FD" w:rsidRPr="009744FD" w:rsidRDefault="009744FD" w:rsidP="009744FD">
    <w:pPr>
      <w:pStyle w:val="Footer"/>
      <w:tabs>
        <w:tab w:val="center" w:pos="5103"/>
        <w:tab w:val="right" w:pos="9639"/>
      </w:tabs>
      <w:bidi w:val="0"/>
      <w:spacing w:before="120"/>
      <w:rPr>
        <w:sz w:val="16"/>
        <w:szCs w:val="16"/>
      </w:rPr>
    </w:pPr>
    <w:r w:rsidRPr="0026373E">
      <w:rPr>
        <w:sz w:val="16"/>
        <w:szCs w:val="16"/>
        <w:lang w:val="fr-FR"/>
      </w:rPr>
      <w:fldChar w:fldCharType="begin"/>
    </w:r>
    <w:r w:rsidRPr="00FB5660">
      <w:rPr>
        <w:sz w:val="16"/>
        <w:szCs w:val="16"/>
        <w:lang w:val="en-GB"/>
      </w:rPr>
      <w:instrText xml:space="preserve"> FILENAME \p \* MERGEFORMAT </w:instrText>
    </w:r>
    <w:r w:rsidRPr="0026373E">
      <w:rPr>
        <w:sz w:val="16"/>
        <w:szCs w:val="16"/>
        <w:lang w:val="fr-FR"/>
      </w:rPr>
      <w:fldChar w:fldCharType="separate"/>
    </w:r>
    <w:r w:rsidR="005A38D8">
      <w:rPr>
        <w:noProof/>
        <w:sz w:val="16"/>
        <w:szCs w:val="16"/>
        <w:lang w:val="en-GB"/>
      </w:rPr>
      <w:t>P:\ARA\ITU-R\CONF-R\CMR23\000\065ADD22ADD10A.docx</w:t>
    </w:r>
    <w:r w:rsidRPr="0026373E">
      <w:rPr>
        <w:sz w:val="16"/>
        <w:szCs w:val="16"/>
      </w:rPr>
      <w:fldChar w:fldCharType="end"/>
    </w:r>
    <w:r w:rsidRPr="0026373E">
      <w:rPr>
        <w:sz w:val="16"/>
        <w:szCs w:val="16"/>
      </w:rPr>
      <w:t xml:space="preserve">  </w:t>
    </w:r>
    <w:r w:rsidRPr="00FB5660">
      <w:rPr>
        <w:sz w:val="16"/>
        <w:szCs w:val="16"/>
        <w:lang w:val="en-GB"/>
      </w:rPr>
      <w:t xml:space="preserve"> (528841)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9461" w14:textId="77777777" w:rsidR="001A6F04" w:rsidRDefault="001A6F04" w:rsidP="00C45930">
      <w:r>
        <w:separator/>
      </w:r>
    </w:p>
  </w:footnote>
  <w:footnote w:type="continuationSeparator" w:id="0">
    <w:p w14:paraId="7B6CEA3C" w14:textId="77777777" w:rsidR="001A6F04" w:rsidRDefault="001A6F04" w:rsidP="002919E1">
      <w:r>
        <w:continuationSeparator/>
      </w:r>
    </w:p>
    <w:p w14:paraId="1C62EAB9" w14:textId="77777777" w:rsidR="001A6F04" w:rsidRDefault="001A6F04" w:rsidP="002919E1"/>
    <w:p w14:paraId="19D3767A" w14:textId="77777777" w:rsidR="001A6F04" w:rsidRDefault="001A6F04" w:rsidP="002919E1"/>
    <w:p w14:paraId="6074F3CB" w14:textId="77777777" w:rsidR="001A6F04" w:rsidRDefault="001A6F04"/>
    <w:p w14:paraId="01B9ABE9"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AE5F" w14:textId="77777777" w:rsidR="005E5F16" w:rsidRPr="009744FD" w:rsidRDefault="005E5F16" w:rsidP="005E5F16">
    <w:pPr>
      <w:bidi w:val="0"/>
      <w:spacing w:after="360" w:line="240" w:lineRule="auto"/>
      <w:jc w:val="center"/>
      <w:rPr>
        <w:sz w:val="20"/>
        <w:szCs w:val="20"/>
      </w:rPr>
    </w:pPr>
    <w:r w:rsidRPr="009744FD">
      <w:rPr>
        <w:rStyle w:val="PageNumber"/>
        <w:rFonts w:ascii="Dubai" w:hAnsi="Dubai" w:cs="Dubai"/>
      </w:rPr>
      <w:fldChar w:fldCharType="begin"/>
    </w:r>
    <w:r w:rsidRPr="009744FD">
      <w:rPr>
        <w:rStyle w:val="PageNumber"/>
        <w:rFonts w:ascii="Dubai" w:hAnsi="Dubai" w:cs="Dubai"/>
      </w:rPr>
      <w:instrText xml:space="preserve"> PAGE </w:instrText>
    </w:r>
    <w:r w:rsidRPr="009744FD">
      <w:rPr>
        <w:rStyle w:val="PageNumber"/>
        <w:rFonts w:ascii="Dubai" w:hAnsi="Dubai" w:cs="Dubai"/>
      </w:rPr>
      <w:fldChar w:fldCharType="separate"/>
    </w:r>
    <w:r w:rsidRPr="009744FD">
      <w:rPr>
        <w:rStyle w:val="PageNumber"/>
        <w:rFonts w:ascii="Dubai" w:hAnsi="Dubai" w:cs="Dubai"/>
      </w:rPr>
      <w:t>2</w:t>
    </w:r>
    <w:r w:rsidRPr="009744FD">
      <w:rPr>
        <w:rStyle w:val="PageNumber"/>
        <w:rFonts w:ascii="Dubai" w:hAnsi="Dubai" w:cs="Dubai"/>
      </w:rPr>
      <w:fldChar w:fldCharType="end"/>
    </w:r>
    <w:r w:rsidRPr="009744FD">
      <w:rPr>
        <w:rStyle w:val="PageNumber"/>
        <w:rFonts w:ascii="Dubai" w:hAnsi="Dubai" w:cs="Dubai"/>
        <w:rtl/>
      </w:rPr>
      <w:br/>
    </w:r>
    <w:r w:rsidR="004F5F29" w:rsidRPr="009744FD">
      <w:rPr>
        <w:rStyle w:val="PageNumber"/>
        <w:rFonts w:ascii="Dubai" w:hAnsi="Dubai" w:cs="Dubai"/>
      </w:rPr>
      <w:t>WRC</w:t>
    </w:r>
    <w:r w:rsidRPr="009744FD">
      <w:rPr>
        <w:rStyle w:val="PageNumber"/>
        <w:rFonts w:ascii="Dubai" w:hAnsi="Dubai" w:cs="Dubai"/>
      </w:rPr>
      <w:t>23/65(Add.22)(Add.10)-A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C678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F212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0004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9EA0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64054409">
    <w:abstractNumId w:val="9"/>
  </w:num>
  <w:num w:numId="2" w16cid:durableId="1358310776">
    <w:abstractNumId w:val="13"/>
  </w:num>
  <w:num w:numId="3" w16cid:durableId="1627465590">
    <w:abstractNumId w:val="11"/>
  </w:num>
  <w:num w:numId="4" w16cid:durableId="2129397395">
    <w:abstractNumId w:val="14"/>
  </w:num>
  <w:num w:numId="5" w16cid:durableId="631718929">
    <w:abstractNumId w:val="7"/>
  </w:num>
  <w:num w:numId="6" w16cid:durableId="794370751">
    <w:abstractNumId w:val="6"/>
  </w:num>
  <w:num w:numId="7" w16cid:durableId="556748067">
    <w:abstractNumId w:val="5"/>
  </w:num>
  <w:num w:numId="8" w16cid:durableId="1962222476">
    <w:abstractNumId w:val="4"/>
  </w:num>
  <w:num w:numId="9" w16cid:durableId="1566182835">
    <w:abstractNumId w:val="8"/>
  </w:num>
  <w:num w:numId="10" w16cid:durableId="1559241166">
    <w:abstractNumId w:val="3"/>
  </w:num>
  <w:num w:numId="11" w16cid:durableId="1025330781">
    <w:abstractNumId w:val="2"/>
  </w:num>
  <w:num w:numId="12" w16cid:durableId="1216434039">
    <w:abstractNumId w:val="1"/>
  </w:num>
  <w:num w:numId="13" w16cid:durableId="1028144629">
    <w:abstractNumId w:val="0"/>
  </w:num>
  <w:num w:numId="14" w16cid:durableId="2109154409">
    <w:abstractNumId w:val="10"/>
  </w:num>
  <w:num w:numId="15" w16cid:durableId="301931949">
    <w:abstractNumId w:val="15"/>
  </w:num>
  <w:num w:numId="16" w16cid:durableId="891694716">
    <w:abstractNumId w:val="12"/>
  </w:num>
  <w:num w:numId="17" w16cid:durableId="1572155279">
    <w:abstractNumId w:val="6"/>
  </w:num>
  <w:num w:numId="18" w16cid:durableId="776830859">
    <w:abstractNumId w:val="5"/>
  </w:num>
  <w:num w:numId="19" w16cid:durableId="843327786">
    <w:abstractNumId w:val="3"/>
  </w:num>
  <w:num w:numId="20" w16cid:durableId="781413352">
    <w:abstractNumId w:val="2"/>
  </w:num>
  <w:num w:numId="21" w16cid:durableId="1740248132">
    <w:abstractNumId w:val="6"/>
  </w:num>
  <w:num w:numId="22" w16cid:durableId="945310856">
    <w:abstractNumId w:val="5"/>
  </w:num>
  <w:num w:numId="23" w16cid:durableId="359284039">
    <w:abstractNumId w:val="3"/>
  </w:num>
  <w:num w:numId="24" w16cid:durableId="763502595">
    <w:abstractNumId w:val="2"/>
  </w:num>
  <w:num w:numId="25" w16cid:durableId="1474761300">
    <w:abstractNumId w:val="6"/>
  </w:num>
  <w:num w:numId="26" w16cid:durableId="1083339164">
    <w:abstractNumId w:val="5"/>
  </w:num>
  <w:num w:numId="27" w16cid:durableId="391853941">
    <w:abstractNumId w:val="3"/>
  </w:num>
  <w:num w:numId="28" w16cid:durableId="926574518">
    <w:abstractNumId w:val="2"/>
  </w:num>
  <w:num w:numId="29" w16cid:durableId="1212766359">
    <w:abstractNumId w:val="6"/>
  </w:num>
  <w:num w:numId="30" w16cid:durableId="604190749">
    <w:abstractNumId w:val="5"/>
  </w:num>
  <w:num w:numId="31" w16cid:durableId="1017582886">
    <w:abstractNumId w:val="3"/>
  </w:num>
  <w:num w:numId="32" w16cid:durableId="452485835">
    <w:abstractNumId w:val="2"/>
  </w:num>
  <w:num w:numId="33" w16cid:durableId="1629970293">
    <w:abstractNumId w:val="6"/>
  </w:num>
  <w:num w:numId="34" w16cid:durableId="791749644">
    <w:abstractNumId w:val="5"/>
  </w:num>
  <w:num w:numId="35" w16cid:durableId="504132777">
    <w:abstractNumId w:val="3"/>
  </w:num>
  <w:num w:numId="36" w16cid:durableId="953900215">
    <w:abstractNumId w:val="2"/>
  </w:num>
  <w:num w:numId="37" w16cid:durableId="1235359281">
    <w:abstractNumId w:val="6"/>
  </w:num>
  <w:num w:numId="38" w16cid:durableId="1173447445">
    <w:abstractNumId w:val="5"/>
  </w:num>
  <w:num w:numId="39" w16cid:durableId="1707831301">
    <w:abstractNumId w:val="3"/>
  </w:num>
  <w:num w:numId="40" w16cid:durableId="1826899127">
    <w:abstractNumId w:val="2"/>
  </w:num>
  <w:num w:numId="41" w16cid:durableId="2126390213">
    <w:abstractNumId w:val="6"/>
  </w:num>
  <w:num w:numId="42" w16cid:durableId="1314916166">
    <w:abstractNumId w:val="5"/>
  </w:num>
  <w:num w:numId="43" w16cid:durableId="1602373463">
    <w:abstractNumId w:val="3"/>
  </w:num>
  <w:num w:numId="44" w16cid:durableId="1515612686">
    <w:abstractNumId w:val="2"/>
  </w:num>
  <w:num w:numId="45" w16cid:durableId="87583072">
    <w:abstractNumId w:val="6"/>
  </w:num>
  <w:num w:numId="46" w16cid:durableId="848523326">
    <w:abstractNumId w:val="5"/>
  </w:num>
  <w:num w:numId="47" w16cid:durableId="1648706714">
    <w:abstractNumId w:val="3"/>
  </w:num>
  <w:num w:numId="48" w16cid:durableId="1924491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1BCC"/>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A6F7D"/>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018A"/>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8681A"/>
    <w:rsid w:val="004909DD"/>
    <w:rsid w:val="00492FD9"/>
    <w:rsid w:val="00493A03"/>
    <w:rsid w:val="00496110"/>
    <w:rsid w:val="004A05E6"/>
    <w:rsid w:val="004A6230"/>
    <w:rsid w:val="004A6C66"/>
    <w:rsid w:val="004A713B"/>
    <w:rsid w:val="004A715A"/>
    <w:rsid w:val="004A7AA0"/>
    <w:rsid w:val="004B403D"/>
    <w:rsid w:val="004C02F3"/>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A38D8"/>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49DB"/>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744FD"/>
    <w:rsid w:val="0097771F"/>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02B4"/>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66EB1"/>
    <w:rsid w:val="00A7588B"/>
    <w:rsid w:val="00A809E8"/>
    <w:rsid w:val="00A82CC1"/>
    <w:rsid w:val="00A86B29"/>
    <w:rsid w:val="00A870AD"/>
    <w:rsid w:val="00A90843"/>
    <w:rsid w:val="00A9645C"/>
    <w:rsid w:val="00AB2A33"/>
    <w:rsid w:val="00AB5370"/>
    <w:rsid w:val="00AC1275"/>
    <w:rsid w:val="00AC4D72"/>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0D00"/>
    <w:rsid w:val="00B815F2"/>
    <w:rsid w:val="00B81CB5"/>
    <w:rsid w:val="00B8351F"/>
    <w:rsid w:val="00B86C44"/>
    <w:rsid w:val="00B97131"/>
    <w:rsid w:val="00B9727C"/>
    <w:rsid w:val="00BA2033"/>
    <w:rsid w:val="00BA5669"/>
    <w:rsid w:val="00BA7D44"/>
    <w:rsid w:val="00BC06A5"/>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873C7"/>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6CD2"/>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1C11"/>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D5C60"/>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23D1"/>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2143"/>
    <w:rsid w:val="00F84613"/>
    <w:rsid w:val="00F8654D"/>
    <w:rsid w:val="00F868C4"/>
    <w:rsid w:val="00F900C9"/>
    <w:rsid w:val="00F926B9"/>
    <w:rsid w:val="00F92C96"/>
    <w:rsid w:val="00F9310C"/>
    <w:rsid w:val="00F932BC"/>
    <w:rsid w:val="00F93FDD"/>
    <w:rsid w:val="00F95E93"/>
    <w:rsid w:val="00F97D1C"/>
    <w:rsid w:val="00FA0D4E"/>
    <w:rsid w:val="00FB049A"/>
    <w:rsid w:val="00FB0753"/>
    <w:rsid w:val="00FB0F38"/>
    <w:rsid w:val="00FB15D0"/>
    <w:rsid w:val="00FB2926"/>
    <w:rsid w:val="00FB4A1C"/>
    <w:rsid w:val="00FB5660"/>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DA089"/>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5a032ee-9ad9-4e58-b8f9-bbe13e3ed6ea" targetNamespace="http://schemas.microsoft.com/office/2006/metadata/properties" ma:root="true" ma:fieldsID="d41af5c836d734370eb92e7ee5f83852" ns2:_="" ns3:_="">
    <xsd:import namespace="996b2e75-67fd-4955-a3b0-5ab9934cb50b"/>
    <xsd:import namespace="d5a032ee-9ad9-4e58-b8f9-bbe13e3ed6e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5a032ee-9ad9-4e58-b8f9-bbe13e3ed6e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PM_x0020_Author xmlns="d5a032ee-9ad9-4e58-b8f9-bbe13e3ed6ea">DPM</DPM_x0020_Author>
    <DPM_x0020_File_x0020_name xmlns="d5a032ee-9ad9-4e58-b8f9-bbe13e3ed6ea">R23-WRC23-C-0065!A22-A10!MSW-A</DPM_x0020_File_x0020_name>
    <DPM_x0020_Version xmlns="d5a032ee-9ad9-4e58-b8f9-bbe13e3ed6ea">DPM_2022.05.12.01</DPM_x0020_Version>
  </documentManagement>
</p:properties>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5a032ee-9ad9-4e58-b8f9-bbe13e3ed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032ee-9ad9-4e58-b8f9-bbe13e3ed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367</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R23-WRC23-C-0065!A22-A10!MSW-A</vt:lpstr>
    </vt:vector>
  </TitlesOfParts>
  <Manager>General Secretariat - Pool</Manager>
  <Company>International Telecommunication Union (ITU)</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R23-WRC23-C-0065!A22-A10!MSW-A</dc:title>
  <dc:creator>Documents Proposals Manager (DPM)</dc:creator>
  <cp:keywords>DPM_v2023.8.1.1_prod</cp:keywords>
  <cp:lastModifiedBy>Arabic-IR</cp:lastModifiedBy>
  <cp:revision>4</cp:revision>
  <cp:lastPrinted>2020-08-11T14:28:00Z</cp:lastPrinted>
  <dcterms:created xsi:type="dcterms:W3CDTF">2023-11-02T15:51:00Z</dcterms:created>
  <dcterms:modified xsi:type="dcterms:W3CDTF">2023-11-02T21:56:00Z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