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67C7FD9D" w14:textId="77777777" w:rsidTr="00F467B6">
        <w:trPr>
          <w:cantSplit/>
        </w:trPr>
        <w:tc>
          <w:tcPr>
            <w:tcW w:w="1560" w:type="dxa"/>
            <w:vAlign w:val="center"/>
          </w:tcPr>
          <w:p w14:paraId="1F6B081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1241763" wp14:editId="30A1FB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821002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510277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1380D05" wp14:editId="6E58530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D2A92EA" w14:textId="77777777" w:rsidTr="002E72D9">
        <w:trPr>
          <w:cantSplit/>
        </w:trPr>
        <w:tc>
          <w:tcPr>
            <w:tcW w:w="6804" w:type="dxa"/>
            <w:gridSpan w:val="2"/>
            <w:tcBorders>
              <w:bottom w:val="single" w:sz="12" w:space="0" w:color="auto"/>
            </w:tcBorders>
          </w:tcPr>
          <w:p w14:paraId="7E595F00"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59E8394" w14:textId="77777777" w:rsidR="00622560" w:rsidRPr="00622560" w:rsidRDefault="00622560" w:rsidP="00622560">
            <w:pPr>
              <w:spacing w:before="0" w:line="240" w:lineRule="atLeast"/>
              <w:rPr>
                <w:rFonts w:ascii="Verdana" w:hAnsi="Verdana"/>
                <w:sz w:val="20"/>
                <w:szCs w:val="24"/>
              </w:rPr>
            </w:pPr>
          </w:p>
        </w:tc>
      </w:tr>
      <w:tr w:rsidR="00622560" w:rsidRPr="00C324A8" w14:paraId="3F314CBD" w14:textId="77777777" w:rsidTr="002E72D9">
        <w:trPr>
          <w:cantSplit/>
        </w:trPr>
        <w:tc>
          <w:tcPr>
            <w:tcW w:w="6804" w:type="dxa"/>
            <w:gridSpan w:val="2"/>
            <w:tcBorders>
              <w:top w:val="single" w:sz="12" w:space="0" w:color="auto"/>
            </w:tcBorders>
          </w:tcPr>
          <w:p w14:paraId="15530629"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2D1FFCC8" w14:textId="77777777" w:rsidR="00622560" w:rsidRPr="00CB4E5A" w:rsidRDefault="00622560" w:rsidP="001B6360">
            <w:pPr>
              <w:spacing w:line="240" w:lineRule="atLeast"/>
              <w:rPr>
                <w:rFonts w:ascii="Verdana" w:hAnsi="Verdana"/>
                <w:b/>
                <w:bCs/>
                <w:sz w:val="20"/>
              </w:rPr>
            </w:pPr>
          </w:p>
        </w:tc>
      </w:tr>
      <w:tr w:rsidR="00622560" w:rsidRPr="00C324A8" w14:paraId="6CFE0C06" w14:textId="77777777" w:rsidTr="002E72D9">
        <w:trPr>
          <w:cantSplit/>
          <w:trHeight w:val="23"/>
        </w:trPr>
        <w:tc>
          <w:tcPr>
            <w:tcW w:w="6804" w:type="dxa"/>
            <w:gridSpan w:val="2"/>
          </w:tcPr>
          <w:p w14:paraId="6159BE75"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gridSpan w:val="2"/>
          </w:tcPr>
          <w:p w14:paraId="4AEC798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65 (Add.22)(Add.7)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E374DC8" w14:textId="77777777" w:rsidTr="002E72D9">
        <w:trPr>
          <w:cantSplit/>
          <w:trHeight w:val="23"/>
        </w:trPr>
        <w:tc>
          <w:tcPr>
            <w:tcW w:w="6804" w:type="dxa"/>
            <w:gridSpan w:val="2"/>
          </w:tcPr>
          <w:p w14:paraId="69202AED" w14:textId="77777777" w:rsidR="008221A4" w:rsidRPr="00C324A8" w:rsidRDefault="008221A4" w:rsidP="00A466E6">
            <w:pPr>
              <w:spacing w:before="0"/>
              <w:rPr>
                <w:rFonts w:ascii="Verdana" w:hAnsi="Verdana"/>
                <w:b/>
                <w:smallCaps/>
                <w:sz w:val="20"/>
              </w:rPr>
            </w:pPr>
          </w:p>
        </w:tc>
        <w:tc>
          <w:tcPr>
            <w:tcW w:w="3227" w:type="dxa"/>
            <w:gridSpan w:val="2"/>
          </w:tcPr>
          <w:p w14:paraId="121BC3E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69CF42C0" w14:textId="77777777" w:rsidTr="002E72D9">
        <w:trPr>
          <w:cantSplit/>
          <w:trHeight w:val="23"/>
        </w:trPr>
        <w:tc>
          <w:tcPr>
            <w:tcW w:w="6804" w:type="dxa"/>
            <w:gridSpan w:val="2"/>
          </w:tcPr>
          <w:p w14:paraId="3AAFDBD5" w14:textId="77777777" w:rsidR="008221A4" w:rsidRPr="00CB4E5A" w:rsidRDefault="008221A4" w:rsidP="00A466E6">
            <w:pPr>
              <w:spacing w:before="0"/>
              <w:rPr>
                <w:rFonts w:ascii="Verdana" w:hAnsi="Verdana"/>
                <w:b/>
                <w:bCs/>
                <w:sz w:val="20"/>
              </w:rPr>
            </w:pPr>
          </w:p>
        </w:tc>
        <w:tc>
          <w:tcPr>
            <w:tcW w:w="3227" w:type="dxa"/>
            <w:gridSpan w:val="2"/>
          </w:tcPr>
          <w:p w14:paraId="07913C9F"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110F0D4" w14:textId="77777777" w:rsidTr="00FE20CB">
        <w:trPr>
          <w:cantSplit/>
          <w:trHeight w:val="23"/>
        </w:trPr>
        <w:tc>
          <w:tcPr>
            <w:tcW w:w="10031" w:type="dxa"/>
            <w:gridSpan w:val="4"/>
          </w:tcPr>
          <w:p w14:paraId="4F40B948" w14:textId="77777777" w:rsidR="008221A4" w:rsidRDefault="008221A4" w:rsidP="008221A4">
            <w:pPr>
              <w:spacing w:before="0" w:line="240" w:lineRule="atLeast"/>
              <w:rPr>
                <w:rFonts w:ascii="Verdana" w:hAnsi="Verdana"/>
                <w:b/>
                <w:bCs/>
                <w:sz w:val="20"/>
              </w:rPr>
            </w:pPr>
          </w:p>
        </w:tc>
      </w:tr>
      <w:tr w:rsidR="008221A4" w14:paraId="78FBB951" w14:textId="77777777">
        <w:trPr>
          <w:cantSplit/>
        </w:trPr>
        <w:tc>
          <w:tcPr>
            <w:tcW w:w="10031" w:type="dxa"/>
            <w:gridSpan w:val="4"/>
          </w:tcPr>
          <w:p w14:paraId="01F39730" w14:textId="77777777" w:rsidR="008221A4" w:rsidRDefault="008221A4" w:rsidP="008221A4">
            <w:pPr>
              <w:pStyle w:val="Source"/>
            </w:pPr>
            <w:bookmarkStart w:id="4" w:name="dsource" w:colFirst="0" w:colLast="0"/>
            <w:r w:rsidRPr="000273B7">
              <w:t>欧洲共同提案</w:t>
            </w:r>
          </w:p>
        </w:tc>
      </w:tr>
      <w:tr w:rsidR="008221A4" w14:paraId="0B48BC7C" w14:textId="77777777">
        <w:trPr>
          <w:cantSplit/>
        </w:trPr>
        <w:tc>
          <w:tcPr>
            <w:tcW w:w="10031" w:type="dxa"/>
            <w:gridSpan w:val="4"/>
          </w:tcPr>
          <w:p w14:paraId="6C015C8F" w14:textId="7CD83F80" w:rsidR="008221A4" w:rsidRDefault="003133D9" w:rsidP="008221A4">
            <w:pPr>
              <w:pStyle w:val="Title1"/>
            </w:pPr>
            <w:bookmarkStart w:id="5" w:name="dtitle1" w:colFirst="0" w:colLast="0"/>
            <w:bookmarkEnd w:id="4"/>
            <w:r>
              <w:rPr>
                <w:rFonts w:hint="eastAsia"/>
                <w:lang w:eastAsia="zh-CN"/>
              </w:rPr>
              <w:t>有关大会工作的提案</w:t>
            </w:r>
          </w:p>
        </w:tc>
      </w:tr>
      <w:tr w:rsidR="008221A4" w14:paraId="6C46B3A9" w14:textId="77777777">
        <w:trPr>
          <w:cantSplit/>
        </w:trPr>
        <w:tc>
          <w:tcPr>
            <w:tcW w:w="10031" w:type="dxa"/>
            <w:gridSpan w:val="4"/>
          </w:tcPr>
          <w:p w14:paraId="00738F22" w14:textId="77777777" w:rsidR="008221A4" w:rsidRDefault="008221A4" w:rsidP="008221A4">
            <w:pPr>
              <w:pStyle w:val="Title2"/>
            </w:pPr>
            <w:bookmarkStart w:id="6" w:name="dtitle2" w:colFirst="0" w:colLast="0"/>
            <w:bookmarkEnd w:id="5"/>
          </w:p>
        </w:tc>
      </w:tr>
      <w:tr w:rsidR="008221A4" w14:paraId="69734F3B" w14:textId="77777777">
        <w:trPr>
          <w:cantSplit/>
        </w:trPr>
        <w:tc>
          <w:tcPr>
            <w:tcW w:w="10031" w:type="dxa"/>
            <w:gridSpan w:val="4"/>
          </w:tcPr>
          <w:p w14:paraId="6F674FF5" w14:textId="77777777" w:rsidR="008221A4" w:rsidRDefault="008221A4" w:rsidP="008221A4">
            <w:pPr>
              <w:pStyle w:val="Agendaitem"/>
            </w:pPr>
            <w:bookmarkStart w:id="7" w:name="dtitle3" w:colFirst="0" w:colLast="0"/>
            <w:bookmarkEnd w:id="6"/>
            <w:r w:rsidRPr="000273B7">
              <w:t>议项</w:t>
            </w:r>
            <w:r w:rsidRPr="000273B7">
              <w:t>7(E)</w:t>
            </w:r>
          </w:p>
        </w:tc>
      </w:tr>
    </w:tbl>
    <w:bookmarkEnd w:id="7"/>
    <w:p w14:paraId="07B37390" w14:textId="77777777" w:rsidR="0000501D" w:rsidRPr="001D4EC0" w:rsidRDefault="005175B2"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0A6508B9" w14:textId="53A1B390" w:rsidR="0000501D" w:rsidRPr="00CF6B8E" w:rsidRDefault="005175B2" w:rsidP="00CF6B8E">
      <w:pPr>
        <w:rPr>
          <w:lang w:eastAsia="zh-CN"/>
        </w:rPr>
      </w:pPr>
      <w:r>
        <w:rPr>
          <w:lang w:eastAsia="zh-CN"/>
        </w:rPr>
        <w:t>7(E)</w:t>
      </w:r>
      <w:r>
        <w:rPr>
          <w:lang w:eastAsia="zh-CN"/>
        </w:rPr>
        <w:tab/>
      </w:r>
      <w:r w:rsidRPr="00B13E74">
        <w:rPr>
          <w:lang w:eastAsia="zh-CN"/>
        </w:rPr>
        <w:t>议题</w:t>
      </w:r>
      <w:r w:rsidRPr="00B13E74">
        <w:rPr>
          <w:lang w:eastAsia="zh-CN"/>
        </w:rPr>
        <w:t>E</w:t>
      </w:r>
      <w:r w:rsidR="003341C1">
        <w:rPr>
          <w:lang w:eastAsia="zh-CN"/>
        </w:rPr>
        <w:t xml:space="preserve"> – </w:t>
      </w:r>
      <w:r w:rsidRPr="00B13E74">
        <w:rPr>
          <w:rFonts w:hint="eastAsia"/>
          <w:lang w:eastAsia="zh-CN"/>
        </w:rPr>
        <w:t>为国际电联新成员国而改进的</w:t>
      </w:r>
      <w:r w:rsidR="00721675">
        <w:rPr>
          <w:rFonts w:hint="eastAsia"/>
          <w:lang w:eastAsia="zh-CN"/>
        </w:rPr>
        <w:t>《无线电规则》</w:t>
      </w:r>
      <w:r w:rsidRPr="00B13E74">
        <w:rPr>
          <w:rFonts w:hint="eastAsia"/>
          <w:lang w:eastAsia="zh-CN"/>
        </w:rPr>
        <w:t>附录</w:t>
      </w:r>
      <w:r w:rsidRPr="00721675">
        <w:rPr>
          <w:rFonts w:hint="eastAsia"/>
          <w:b/>
          <w:bCs/>
          <w:lang w:eastAsia="zh-CN"/>
        </w:rPr>
        <w:t>30B</w:t>
      </w:r>
      <w:r w:rsidRPr="00B13E74">
        <w:rPr>
          <w:rFonts w:hint="eastAsia"/>
          <w:lang w:eastAsia="zh-CN"/>
        </w:rPr>
        <w:t>程序</w:t>
      </w:r>
    </w:p>
    <w:p w14:paraId="332379D0" w14:textId="183D33B0" w:rsidR="002120D4" w:rsidRPr="00597BE5" w:rsidRDefault="009C0676" w:rsidP="002120D4">
      <w:pPr>
        <w:pStyle w:val="Headingb"/>
        <w:rPr>
          <w:lang w:eastAsia="zh-CN"/>
        </w:rPr>
      </w:pPr>
      <w:r>
        <w:rPr>
          <w:rFonts w:hint="eastAsia"/>
          <w:lang w:eastAsia="zh-CN"/>
        </w:rPr>
        <w:t>引言</w:t>
      </w:r>
    </w:p>
    <w:p w14:paraId="7304E62B" w14:textId="04E04C43" w:rsidR="002120D4" w:rsidRPr="00597BE5" w:rsidRDefault="009C5D39" w:rsidP="003341C1">
      <w:pPr>
        <w:ind w:firstLineChars="200" w:firstLine="480"/>
        <w:rPr>
          <w:rFonts w:eastAsia="MS Mincho"/>
          <w:lang w:eastAsia="zh-CN"/>
        </w:rPr>
      </w:pPr>
      <w:r w:rsidRPr="00445F12">
        <w:rPr>
          <w:rFonts w:hint="eastAsia"/>
          <w:lang w:eastAsia="zh-CN"/>
        </w:rPr>
        <w:t>WRC-19</w:t>
      </w:r>
      <w:r w:rsidRPr="00445F12">
        <w:rPr>
          <w:rFonts w:hint="eastAsia"/>
          <w:lang w:eastAsia="zh-CN"/>
        </w:rPr>
        <w:t>引入了第</w:t>
      </w:r>
      <w:r w:rsidRPr="00CB4EF3">
        <w:rPr>
          <w:rFonts w:hint="eastAsia"/>
          <w:b/>
          <w:bCs/>
          <w:lang w:eastAsia="zh-CN"/>
        </w:rPr>
        <w:t>170</w:t>
      </w:r>
      <w:r w:rsidRPr="00445F12">
        <w:rPr>
          <w:rFonts w:hint="eastAsia"/>
          <w:lang w:eastAsia="zh-CN"/>
        </w:rPr>
        <w:t>号决议</w:t>
      </w:r>
      <w:r w:rsidRPr="005D5E0A">
        <w:rPr>
          <w:rFonts w:hint="eastAsia"/>
          <w:b/>
          <w:bCs/>
          <w:lang w:eastAsia="zh-CN"/>
        </w:rPr>
        <w:t>（</w:t>
      </w:r>
      <w:r w:rsidRPr="005D5E0A">
        <w:rPr>
          <w:rFonts w:hint="eastAsia"/>
          <w:b/>
          <w:bCs/>
          <w:lang w:eastAsia="zh-CN"/>
        </w:rPr>
        <w:t>WRC-19</w:t>
      </w:r>
      <w:r w:rsidRPr="005D5E0A">
        <w:rPr>
          <w:rFonts w:hint="eastAsia"/>
          <w:b/>
          <w:bCs/>
          <w:lang w:eastAsia="zh-CN"/>
        </w:rPr>
        <w:t>）</w:t>
      </w:r>
      <w:r w:rsidRPr="00445F12">
        <w:rPr>
          <w:rFonts w:hint="eastAsia"/>
          <w:lang w:eastAsia="zh-CN"/>
        </w:rPr>
        <w:t>，该决议为在</w:t>
      </w:r>
      <w:r>
        <w:rPr>
          <w:rFonts w:hint="eastAsia"/>
          <w:lang w:eastAsia="zh-CN"/>
        </w:rPr>
        <w:t>《无线电规则》</w:t>
      </w:r>
      <w:r w:rsidRPr="00445F12">
        <w:rPr>
          <w:rFonts w:hint="eastAsia"/>
          <w:lang w:eastAsia="zh-CN"/>
        </w:rPr>
        <w:t>附录</w:t>
      </w:r>
      <w:r w:rsidRPr="00506FD7">
        <w:rPr>
          <w:rFonts w:hint="eastAsia"/>
          <w:b/>
          <w:bCs/>
          <w:lang w:eastAsia="zh-CN"/>
        </w:rPr>
        <w:t>30B</w:t>
      </w:r>
      <w:r w:rsidRPr="00445F12">
        <w:rPr>
          <w:rFonts w:hint="eastAsia"/>
          <w:lang w:eastAsia="zh-CN"/>
        </w:rPr>
        <w:t>列表中没有网络并且希望将其在规划中的分配转换为</w:t>
      </w:r>
      <w:r>
        <w:rPr>
          <w:rFonts w:hint="eastAsia"/>
          <w:lang w:eastAsia="zh-CN"/>
        </w:rPr>
        <w:t>修改幅度超出其</w:t>
      </w:r>
      <w:r w:rsidRPr="00445F12">
        <w:rPr>
          <w:rFonts w:hint="eastAsia"/>
          <w:lang w:eastAsia="zh-CN"/>
        </w:rPr>
        <w:t>初始分配包络范围的指配</w:t>
      </w:r>
      <w:r>
        <w:rPr>
          <w:rFonts w:hint="eastAsia"/>
          <w:lang w:eastAsia="zh-CN"/>
        </w:rPr>
        <w:t>、</w:t>
      </w:r>
      <w:r w:rsidRPr="00445F12">
        <w:rPr>
          <w:rFonts w:hint="eastAsia"/>
          <w:lang w:eastAsia="zh-CN"/>
        </w:rPr>
        <w:t>同时</w:t>
      </w:r>
      <w:r>
        <w:rPr>
          <w:rFonts w:hint="eastAsia"/>
          <w:lang w:eastAsia="zh-CN"/>
        </w:rPr>
        <w:t>仅限于为本国</w:t>
      </w:r>
      <w:r w:rsidRPr="00445F12">
        <w:rPr>
          <w:rFonts w:hint="eastAsia"/>
          <w:lang w:eastAsia="zh-CN"/>
        </w:rPr>
        <w:t>领土提供</w:t>
      </w:r>
      <w:r>
        <w:rPr>
          <w:rFonts w:hint="eastAsia"/>
          <w:lang w:eastAsia="zh-CN"/>
        </w:rPr>
        <w:t>业务</w:t>
      </w:r>
      <w:r w:rsidRPr="00445F12">
        <w:rPr>
          <w:rFonts w:hint="eastAsia"/>
          <w:lang w:eastAsia="zh-CN"/>
        </w:rPr>
        <w:t>的主管部门提供了</w:t>
      </w:r>
      <w:r>
        <w:rPr>
          <w:rFonts w:hint="eastAsia"/>
          <w:lang w:eastAsia="zh-CN"/>
        </w:rPr>
        <w:t>更有利</w:t>
      </w:r>
      <w:r w:rsidRPr="00445F12">
        <w:rPr>
          <w:rFonts w:hint="eastAsia"/>
          <w:lang w:eastAsia="zh-CN"/>
        </w:rPr>
        <w:t>条件。然而，在</w:t>
      </w:r>
      <w:r w:rsidRPr="00CB4EF3">
        <w:rPr>
          <w:rFonts w:hint="eastAsia"/>
          <w:lang w:eastAsia="zh-CN"/>
        </w:rPr>
        <w:t>WRC-19</w:t>
      </w:r>
      <w:r w:rsidRPr="00445F12">
        <w:rPr>
          <w:rFonts w:hint="eastAsia"/>
          <w:lang w:eastAsia="zh-CN"/>
        </w:rPr>
        <w:t>之后，主管部门发现难以通过</w:t>
      </w:r>
      <w:r>
        <w:rPr>
          <w:rFonts w:hint="eastAsia"/>
          <w:lang w:eastAsia="zh-CN"/>
        </w:rPr>
        <w:t>《无线电规则》</w:t>
      </w:r>
      <w:r w:rsidRPr="00445F12">
        <w:rPr>
          <w:rFonts w:hint="eastAsia"/>
          <w:lang w:eastAsia="zh-CN"/>
        </w:rPr>
        <w:t>附录</w:t>
      </w:r>
      <w:r w:rsidRPr="00506FD7">
        <w:rPr>
          <w:rFonts w:hint="eastAsia"/>
          <w:b/>
          <w:bCs/>
          <w:lang w:eastAsia="zh-CN"/>
        </w:rPr>
        <w:t>30B</w:t>
      </w:r>
      <w:r w:rsidRPr="00445F12">
        <w:rPr>
          <w:rFonts w:hint="eastAsia"/>
          <w:lang w:eastAsia="zh-CN"/>
        </w:rPr>
        <w:t>第</w:t>
      </w:r>
      <w:r w:rsidRPr="00445F12">
        <w:rPr>
          <w:rFonts w:hint="eastAsia"/>
          <w:lang w:eastAsia="zh-CN"/>
        </w:rPr>
        <w:t>6</w:t>
      </w:r>
      <w:r w:rsidRPr="00445F12">
        <w:rPr>
          <w:rFonts w:hint="eastAsia"/>
          <w:lang w:eastAsia="zh-CN"/>
        </w:rPr>
        <w:t>条和第</w:t>
      </w:r>
      <w:r w:rsidRPr="00445F12">
        <w:rPr>
          <w:rFonts w:hint="eastAsia"/>
          <w:lang w:eastAsia="zh-CN"/>
        </w:rPr>
        <w:t>7</w:t>
      </w:r>
      <w:r w:rsidRPr="00445F12">
        <w:rPr>
          <w:rFonts w:hint="eastAsia"/>
          <w:lang w:eastAsia="zh-CN"/>
        </w:rPr>
        <w:t>条的现行程序以及第</w:t>
      </w:r>
      <w:r w:rsidRPr="00CB4EF3">
        <w:rPr>
          <w:rFonts w:hint="eastAsia"/>
          <w:b/>
          <w:bCs/>
          <w:lang w:eastAsia="zh-CN"/>
        </w:rPr>
        <w:t>170</w:t>
      </w:r>
      <w:r w:rsidRPr="00445F12">
        <w:rPr>
          <w:rFonts w:hint="eastAsia"/>
          <w:lang w:eastAsia="zh-CN"/>
        </w:rPr>
        <w:t>号决议</w:t>
      </w:r>
      <w:r w:rsidRPr="005D5E0A">
        <w:rPr>
          <w:rFonts w:hint="eastAsia"/>
          <w:b/>
          <w:bCs/>
          <w:lang w:eastAsia="zh-CN"/>
        </w:rPr>
        <w:t>（</w:t>
      </w:r>
      <w:r w:rsidRPr="005D5E0A">
        <w:rPr>
          <w:rFonts w:hint="eastAsia"/>
          <w:b/>
          <w:bCs/>
          <w:lang w:eastAsia="zh-CN"/>
        </w:rPr>
        <w:t>WRC-19</w:t>
      </w:r>
      <w:r w:rsidRPr="005D5E0A">
        <w:rPr>
          <w:rFonts w:hint="eastAsia"/>
          <w:b/>
          <w:bCs/>
          <w:lang w:eastAsia="zh-CN"/>
        </w:rPr>
        <w:t>）</w:t>
      </w:r>
      <w:r w:rsidRPr="00445F12">
        <w:rPr>
          <w:rFonts w:hint="eastAsia"/>
          <w:lang w:eastAsia="zh-CN"/>
        </w:rPr>
        <w:t>中的程序将其新分配添加到规划中</w:t>
      </w:r>
      <w:r w:rsidR="00E50E9A">
        <w:rPr>
          <w:rFonts w:hint="eastAsia"/>
          <w:lang w:eastAsia="zh-CN"/>
        </w:rPr>
        <w:t>。</w:t>
      </w:r>
      <w:r w:rsidR="009C0676" w:rsidRPr="009C0676">
        <w:rPr>
          <w:rFonts w:hint="eastAsia"/>
          <w:lang w:eastAsia="zh-CN"/>
        </w:rPr>
        <w:t>第</w:t>
      </w:r>
      <w:r w:rsidR="009C0676" w:rsidRPr="009C0676">
        <w:rPr>
          <w:rFonts w:hint="eastAsia"/>
          <w:b/>
          <w:bCs/>
          <w:lang w:eastAsia="zh-CN"/>
        </w:rPr>
        <w:t>170</w:t>
      </w:r>
      <w:r w:rsidR="009C0676" w:rsidRPr="009C0676">
        <w:rPr>
          <w:rFonts w:hint="eastAsia"/>
          <w:lang w:eastAsia="zh-CN"/>
        </w:rPr>
        <w:t>号决议</w:t>
      </w:r>
      <w:r w:rsidR="009C0676" w:rsidRPr="009C0676">
        <w:rPr>
          <w:rFonts w:hint="eastAsia"/>
          <w:b/>
          <w:bCs/>
          <w:lang w:eastAsia="zh-CN"/>
        </w:rPr>
        <w:t>（</w:t>
      </w:r>
      <w:r w:rsidR="009C0676" w:rsidRPr="009C0676">
        <w:rPr>
          <w:rFonts w:hint="eastAsia"/>
          <w:b/>
          <w:bCs/>
          <w:lang w:eastAsia="zh-CN"/>
        </w:rPr>
        <w:t>WRC-19</w:t>
      </w:r>
      <w:r w:rsidR="009C0676" w:rsidRPr="009C0676">
        <w:rPr>
          <w:rFonts w:hint="eastAsia"/>
          <w:b/>
          <w:bCs/>
          <w:lang w:eastAsia="zh-CN"/>
        </w:rPr>
        <w:t>）</w:t>
      </w:r>
      <w:r w:rsidR="009C0676" w:rsidRPr="009C0676">
        <w:rPr>
          <w:rFonts w:hint="eastAsia"/>
          <w:lang w:eastAsia="zh-CN"/>
        </w:rPr>
        <w:t>并未涉及以下情况，即优先级高于拟议新分配的待处理第</w:t>
      </w:r>
      <w:r w:rsidR="009C0676" w:rsidRPr="009C0676">
        <w:rPr>
          <w:rFonts w:hint="eastAsia"/>
          <w:lang w:eastAsia="zh-CN"/>
        </w:rPr>
        <w:t>6</w:t>
      </w:r>
      <w:r w:rsidR="009C0676" w:rsidRPr="009C0676">
        <w:rPr>
          <w:rFonts w:hint="eastAsia"/>
          <w:lang w:eastAsia="zh-CN"/>
        </w:rPr>
        <w:t>条网络可能在晚些时候</w:t>
      </w:r>
      <w:r w:rsidR="00E50E9A">
        <w:rPr>
          <w:rFonts w:hint="eastAsia"/>
          <w:lang w:eastAsia="zh-CN"/>
        </w:rPr>
        <w:t>登入</w:t>
      </w:r>
      <w:r w:rsidR="00531897">
        <w:rPr>
          <w:rFonts w:hint="eastAsia"/>
          <w:lang w:eastAsia="zh-CN"/>
        </w:rPr>
        <w:t>列表</w:t>
      </w:r>
      <w:r w:rsidR="009C0676" w:rsidRPr="009C0676">
        <w:rPr>
          <w:rFonts w:hint="eastAsia"/>
          <w:lang w:eastAsia="zh-CN"/>
        </w:rPr>
        <w:t>，从而劣化该拟议新分配的参考形势。</w:t>
      </w:r>
    </w:p>
    <w:p w14:paraId="271964F6" w14:textId="77777777" w:rsidR="00513CB9" w:rsidRDefault="009C5D39" w:rsidP="003341C1">
      <w:pPr>
        <w:ind w:firstLineChars="200" w:firstLine="480"/>
        <w:rPr>
          <w:rFonts w:eastAsiaTheme="minorEastAsia"/>
          <w:lang w:eastAsia="zh-CN"/>
        </w:rPr>
      </w:pPr>
      <w:r>
        <w:rPr>
          <w:rFonts w:hint="eastAsia"/>
          <w:lang w:eastAsia="zh-CN"/>
        </w:rPr>
        <w:t>《无线电规则》</w:t>
      </w:r>
      <w:r w:rsidRPr="00445F12">
        <w:rPr>
          <w:rFonts w:hint="eastAsia"/>
          <w:lang w:eastAsia="zh-CN"/>
        </w:rPr>
        <w:t>附录</w:t>
      </w:r>
      <w:r w:rsidRPr="00506FD7">
        <w:rPr>
          <w:rFonts w:hint="eastAsia"/>
          <w:b/>
          <w:bCs/>
          <w:lang w:eastAsia="zh-CN"/>
        </w:rPr>
        <w:t>30B</w:t>
      </w:r>
      <w:r w:rsidRPr="00445F12">
        <w:rPr>
          <w:rFonts w:hint="eastAsia"/>
          <w:lang w:eastAsia="zh-CN"/>
        </w:rPr>
        <w:t>第</w:t>
      </w:r>
      <w:r w:rsidRPr="00445F12">
        <w:rPr>
          <w:rFonts w:hint="eastAsia"/>
          <w:lang w:eastAsia="zh-CN"/>
        </w:rPr>
        <w:t>7</w:t>
      </w:r>
      <w:r w:rsidRPr="00445F12">
        <w:rPr>
          <w:rFonts w:hint="eastAsia"/>
          <w:lang w:eastAsia="zh-CN"/>
        </w:rPr>
        <w:t>条包含为国际电联新成员国</w:t>
      </w:r>
      <w:r>
        <w:rPr>
          <w:rFonts w:hint="eastAsia"/>
          <w:lang w:eastAsia="zh-CN"/>
        </w:rPr>
        <w:t>在规划中</w:t>
      </w:r>
      <w:r w:rsidRPr="00445F12">
        <w:rPr>
          <w:rFonts w:hint="eastAsia"/>
          <w:lang w:eastAsia="zh-CN"/>
        </w:rPr>
        <w:t>添加新分配的程序。</w:t>
      </w:r>
    </w:p>
    <w:p w14:paraId="16D2D434" w14:textId="77777777" w:rsidR="00513CB9" w:rsidRDefault="00194C1C" w:rsidP="003341C1">
      <w:pPr>
        <w:ind w:firstLineChars="200" w:firstLine="480"/>
        <w:rPr>
          <w:rFonts w:eastAsiaTheme="minorEastAsia"/>
          <w:lang w:eastAsia="zh-CN"/>
        </w:rPr>
      </w:pPr>
      <w:r w:rsidRPr="00194C1C">
        <w:rPr>
          <w:rFonts w:hint="eastAsia"/>
          <w:lang w:eastAsia="zh-CN"/>
        </w:rPr>
        <w:t>虽然希望将其在规划中的分配转换为指配的主管部门的上述申报资料中的地球站直径和功率密度可能与普通附加系统大致相同，</w:t>
      </w:r>
      <w:r>
        <w:rPr>
          <w:rFonts w:hint="eastAsia"/>
          <w:lang w:eastAsia="zh-CN"/>
        </w:rPr>
        <w:t>即</w:t>
      </w:r>
      <w:r w:rsidRPr="00194C1C">
        <w:rPr>
          <w:rFonts w:hint="eastAsia"/>
          <w:lang w:eastAsia="zh-CN"/>
        </w:rPr>
        <w:t>C</w:t>
      </w:r>
      <w:r w:rsidRPr="00194C1C">
        <w:rPr>
          <w:rFonts w:hint="eastAsia"/>
          <w:lang w:eastAsia="zh-CN"/>
        </w:rPr>
        <w:t>频段通常为</w:t>
      </w:r>
      <w:r w:rsidRPr="00194C1C">
        <w:rPr>
          <w:rFonts w:hint="eastAsia"/>
          <w:lang w:eastAsia="zh-CN"/>
        </w:rPr>
        <w:t>1.8</w:t>
      </w:r>
      <w:r w:rsidRPr="00194C1C">
        <w:rPr>
          <w:rFonts w:hint="eastAsia"/>
          <w:lang w:eastAsia="zh-CN"/>
        </w:rPr>
        <w:t>米、</w:t>
      </w:r>
      <w:r w:rsidRPr="00194C1C">
        <w:rPr>
          <w:rFonts w:hint="eastAsia"/>
          <w:lang w:eastAsia="zh-CN"/>
        </w:rPr>
        <w:t>Ku</w:t>
      </w:r>
      <w:r w:rsidRPr="00194C1C">
        <w:rPr>
          <w:rFonts w:hint="eastAsia"/>
          <w:lang w:eastAsia="zh-CN"/>
        </w:rPr>
        <w:t>频段通常为</w:t>
      </w:r>
      <w:r w:rsidRPr="00194C1C">
        <w:rPr>
          <w:rFonts w:hint="eastAsia"/>
          <w:lang w:eastAsia="zh-CN"/>
        </w:rPr>
        <w:t>0.6</w:t>
      </w:r>
      <w:r w:rsidRPr="00194C1C">
        <w:rPr>
          <w:rFonts w:hint="eastAsia"/>
          <w:lang w:eastAsia="zh-CN"/>
        </w:rPr>
        <w:t>米，提交给无线电通信局（</w:t>
      </w:r>
      <w:r w:rsidRPr="00194C1C">
        <w:rPr>
          <w:rFonts w:hint="eastAsia"/>
          <w:lang w:eastAsia="zh-CN"/>
        </w:rPr>
        <w:t>BR</w:t>
      </w:r>
      <w:r w:rsidRPr="00194C1C">
        <w:rPr>
          <w:rFonts w:hint="eastAsia"/>
          <w:lang w:eastAsia="zh-CN"/>
        </w:rPr>
        <w:t>）的天线直径最小值为</w:t>
      </w:r>
      <w:r w:rsidRPr="00194C1C">
        <w:rPr>
          <w:rFonts w:hint="eastAsia"/>
          <w:lang w:eastAsia="zh-CN"/>
        </w:rPr>
        <w:t>C</w:t>
      </w:r>
      <w:r w:rsidRPr="00194C1C">
        <w:rPr>
          <w:rFonts w:hint="eastAsia"/>
          <w:lang w:eastAsia="zh-CN"/>
        </w:rPr>
        <w:t>频段</w:t>
      </w:r>
      <w:r w:rsidRPr="00194C1C">
        <w:rPr>
          <w:rFonts w:hint="eastAsia"/>
          <w:lang w:eastAsia="zh-CN"/>
        </w:rPr>
        <w:t>0.6</w:t>
      </w:r>
      <w:r w:rsidRPr="00194C1C">
        <w:rPr>
          <w:rFonts w:hint="eastAsia"/>
          <w:lang w:eastAsia="zh-CN"/>
        </w:rPr>
        <w:t>米、</w:t>
      </w:r>
      <w:r w:rsidRPr="00194C1C">
        <w:rPr>
          <w:rFonts w:hint="eastAsia"/>
          <w:lang w:eastAsia="zh-CN"/>
        </w:rPr>
        <w:t>Ku</w:t>
      </w:r>
      <w:r w:rsidRPr="00194C1C">
        <w:rPr>
          <w:rFonts w:hint="eastAsia"/>
          <w:lang w:eastAsia="zh-CN"/>
        </w:rPr>
        <w:t>频段</w:t>
      </w:r>
      <w:r w:rsidRPr="00194C1C">
        <w:rPr>
          <w:rFonts w:hint="eastAsia"/>
          <w:lang w:eastAsia="zh-CN"/>
        </w:rPr>
        <w:t>0.2</w:t>
      </w:r>
      <w:r w:rsidRPr="00194C1C">
        <w:rPr>
          <w:rFonts w:hint="eastAsia"/>
          <w:lang w:eastAsia="zh-CN"/>
        </w:rPr>
        <w:t>米</w:t>
      </w:r>
      <w:r>
        <w:rPr>
          <w:rFonts w:hint="eastAsia"/>
          <w:lang w:eastAsia="zh-CN"/>
        </w:rPr>
        <w:t>，但</w:t>
      </w:r>
      <w:r w:rsidRPr="00194C1C">
        <w:rPr>
          <w:rFonts w:hint="eastAsia"/>
          <w:lang w:eastAsia="zh-CN"/>
        </w:rPr>
        <w:t>为国际电联新成员国提出的在规划中获得新分配的地球站直径，</w:t>
      </w:r>
      <w:r w:rsidRPr="00194C1C">
        <w:rPr>
          <w:rFonts w:hint="eastAsia"/>
          <w:lang w:eastAsia="zh-CN"/>
        </w:rPr>
        <w:t>C</w:t>
      </w:r>
      <w:r w:rsidRPr="00194C1C">
        <w:rPr>
          <w:rFonts w:hint="eastAsia"/>
          <w:lang w:eastAsia="zh-CN"/>
        </w:rPr>
        <w:t>频段和</w:t>
      </w:r>
      <w:r w:rsidRPr="00194C1C">
        <w:rPr>
          <w:rFonts w:hint="eastAsia"/>
          <w:lang w:eastAsia="zh-CN"/>
        </w:rPr>
        <w:t>Ku</w:t>
      </w:r>
      <w:r w:rsidRPr="00194C1C">
        <w:rPr>
          <w:rFonts w:hint="eastAsia"/>
          <w:lang w:eastAsia="zh-CN"/>
        </w:rPr>
        <w:t>频段</w:t>
      </w:r>
      <w:r w:rsidR="00513CB9">
        <w:rPr>
          <w:rFonts w:hint="eastAsia"/>
          <w:lang w:eastAsia="zh-CN"/>
        </w:rPr>
        <w:t>则</w:t>
      </w:r>
      <w:r w:rsidRPr="00194C1C">
        <w:rPr>
          <w:rFonts w:hint="eastAsia"/>
          <w:lang w:eastAsia="zh-CN"/>
        </w:rPr>
        <w:t>分别为</w:t>
      </w:r>
      <w:r w:rsidRPr="00194C1C">
        <w:rPr>
          <w:rFonts w:hint="eastAsia"/>
          <w:lang w:eastAsia="zh-CN"/>
        </w:rPr>
        <w:t>5.5</w:t>
      </w:r>
      <w:r w:rsidRPr="00194C1C">
        <w:rPr>
          <w:rFonts w:hint="eastAsia"/>
          <w:lang w:eastAsia="zh-CN"/>
        </w:rPr>
        <w:t>米和</w:t>
      </w:r>
      <w:r w:rsidRPr="00194C1C">
        <w:rPr>
          <w:rFonts w:hint="eastAsia"/>
          <w:lang w:eastAsia="zh-CN"/>
        </w:rPr>
        <w:t>2.7</w:t>
      </w:r>
      <w:r w:rsidRPr="00194C1C">
        <w:rPr>
          <w:rFonts w:hint="eastAsia"/>
          <w:lang w:eastAsia="zh-CN"/>
        </w:rPr>
        <w:t>米。</w:t>
      </w:r>
    </w:p>
    <w:p w14:paraId="451441B5" w14:textId="77777777" w:rsidR="00513CB9" w:rsidRDefault="006F745D" w:rsidP="003341C1">
      <w:pPr>
        <w:ind w:firstLineChars="200" w:firstLine="480"/>
        <w:rPr>
          <w:rFonts w:eastAsia="MS Mincho"/>
          <w:lang w:eastAsia="zh-CN"/>
        </w:rPr>
      </w:pPr>
      <w:r w:rsidRPr="00445F12">
        <w:rPr>
          <w:rFonts w:hint="eastAsia"/>
          <w:lang w:eastAsia="zh-CN"/>
        </w:rPr>
        <w:t>在</w:t>
      </w:r>
      <w:r w:rsidR="00513CB9">
        <w:rPr>
          <w:color w:val="333333"/>
          <w:sz w:val="26"/>
          <w:szCs w:val="26"/>
          <w:shd w:val="clear" w:color="auto" w:fill="FFFFFF"/>
          <w:lang w:eastAsia="zh-CN"/>
        </w:rPr>
        <w:t>WRC-23</w:t>
      </w:r>
      <w:r w:rsidR="00513CB9">
        <w:rPr>
          <w:color w:val="333333"/>
          <w:sz w:val="26"/>
          <w:szCs w:val="26"/>
          <w:shd w:val="clear" w:color="auto" w:fill="FFFFFF"/>
          <w:lang w:eastAsia="zh-CN"/>
        </w:rPr>
        <w:t>议项</w:t>
      </w:r>
      <w:r w:rsidR="00513CB9">
        <w:rPr>
          <w:color w:val="333333"/>
          <w:sz w:val="26"/>
          <w:szCs w:val="26"/>
          <w:shd w:val="clear" w:color="auto" w:fill="FFFFFF"/>
          <w:lang w:eastAsia="zh-CN"/>
        </w:rPr>
        <w:t>7</w:t>
      </w:r>
      <w:r w:rsidR="00513CB9">
        <w:rPr>
          <w:rFonts w:hint="eastAsia"/>
          <w:color w:val="333333"/>
          <w:sz w:val="26"/>
          <w:szCs w:val="26"/>
          <w:shd w:val="clear" w:color="auto" w:fill="FFFFFF"/>
          <w:lang w:eastAsia="zh-CN"/>
        </w:rPr>
        <w:t>的</w:t>
      </w:r>
      <w:r w:rsidRPr="00445F12">
        <w:rPr>
          <w:rFonts w:hint="eastAsia"/>
          <w:lang w:eastAsia="zh-CN"/>
        </w:rPr>
        <w:t>此</w:t>
      </w:r>
      <w:r>
        <w:rPr>
          <w:rFonts w:hint="eastAsia"/>
          <w:lang w:eastAsia="zh-CN"/>
        </w:rPr>
        <w:t>议题</w:t>
      </w:r>
      <w:r w:rsidRPr="00445F12">
        <w:rPr>
          <w:rFonts w:hint="eastAsia"/>
          <w:lang w:eastAsia="zh-CN"/>
        </w:rPr>
        <w:t>下，考虑改进</w:t>
      </w:r>
      <w:r>
        <w:rPr>
          <w:rFonts w:hint="eastAsia"/>
          <w:lang w:eastAsia="zh-CN"/>
        </w:rPr>
        <w:t>《无线电规则》</w:t>
      </w:r>
      <w:r w:rsidRPr="00445F12">
        <w:rPr>
          <w:rFonts w:hint="eastAsia"/>
          <w:lang w:eastAsia="zh-CN"/>
        </w:rPr>
        <w:t>附录</w:t>
      </w:r>
      <w:r w:rsidRPr="00506FD7">
        <w:rPr>
          <w:rFonts w:hint="eastAsia"/>
          <w:b/>
          <w:bCs/>
          <w:lang w:eastAsia="zh-CN"/>
        </w:rPr>
        <w:t>30B</w:t>
      </w:r>
      <w:r w:rsidRPr="00907EB3">
        <w:rPr>
          <w:rFonts w:hint="eastAsia"/>
          <w:lang w:eastAsia="zh-CN"/>
        </w:rPr>
        <w:t>（</w:t>
      </w:r>
      <w:r w:rsidRPr="00907EB3">
        <w:rPr>
          <w:rFonts w:hint="eastAsia"/>
          <w:lang w:eastAsia="zh-CN"/>
        </w:rPr>
        <w:t>WRC-19</w:t>
      </w:r>
      <w:r w:rsidRPr="00907EB3">
        <w:rPr>
          <w:rFonts w:hint="eastAsia"/>
          <w:lang w:eastAsia="zh-CN"/>
        </w:rPr>
        <w:t>，修订版）</w:t>
      </w:r>
      <w:r w:rsidRPr="00445F12">
        <w:rPr>
          <w:rFonts w:hint="eastAsia"/>
          <w:lang w:eastAsia="zh-CN"/>
        </w:rPr>
        <w:t>的第</w:t>
      </w:r>
      <w:r w:rsidRPr="00445F12">
        <w:rPr>
          <w:rFonts w:hint="eastAsia"/>
          <w:lang w:eastAsia="zh-CN"/>
        </w:rPr>
        <w:t>7</w:t>
      </w:r>
      <w:r w:rsidRPr="00445F12">
        <w:rPr>
          <w:rFonts w:hint="eastAsia"/>
          <w:lang w:eastAsia="zh-CN"/>
        </w:rPr>
        <w:t>条程序，以便国际电联新成员国像其他已经</w:t>
      </w:r>
      <w:r>
        <w:rPr>
          <w:rFonts w:hint="eastAsia"/>
          <w:lang w:eastAsia="zh-CN"/>
        </w:rPr>
        <w:t>在</w:t>
      </w:r>
      <w:r w:rsidRPr="00445F12">
        <w:rPr>
          <w:rFonts w:hint="eastAsia"/>
          <w:lang w:eastAsia="zh-CN"/>
        </w:rPr>
        <w:t>卫星固定业务</w:t>
      </w:r>
      <w:r>
        <w:rPr>
          <w:rFonts w:hint="eastAsia"/>
          <w:lang w:eastAsia="zh-CN"/>
        </w:rPr>
        <w:t>（</w:t>
      </w:r>
      <w:r>
        <w:rPr>
          <w:rFonts w:hint="eastAsia"/>
          <w:lang w:eastAsia="zh-CN"/>
        </w:rPr>
        <w:t>F</w:t>
      </w:r>
      <w:r>
        <w:rPr>
          <w:lang w:eastAsia="zh-CN"/>
        </w:rPr>
        <w:t>SS</w:t>
      </w:r>
      <w:r>
        <w:rPr>
          <w:rFonts w:hint="eastAsia"/>
          <w:lang w:eastAsia="zh-CN"/>
        </w:rPr>
        <w:t>）</w:t>
      </w:r>
      <w:r w:rsidRPr="00CB4EF3">
        <w:rPr>
          <w:rFonts w:hint="eastAsia"/>
          <w:lang w:eastAsia="zh-CN"/>
        </w:rPr>
        <w:t>规划</w:t>
      </w:r>
      <w:r>
        <w:rPr>
          <w:rFonts w:hint="eastAsia"/>
          <w:lang w:eastAsia="zh-CN"/>
        </w:rPr>
        <w:t>中</w:t>
      </w:r>
      <w:r w:rsidRPr="00445F12">
        <w:rPr>
          <w:rFonts w:hint="eastAsia"/>
          <w:lang w:eastAsia="zh-CN"/>
        </w:rPr>
        <w:t>拥有国家分配的国际电联成员国一样获得</w:t>
      </w:r>
      <w:r>
        <w:rPr>
          <w:rFonts w:hint="eastAsia"/>
          <w:lang w:eastAsia="zh-CN"/>
        </w:rPr>
        <w:t>一个</w:t>
      </w:r>
      <w:r w:rsidRPr="00445F12">
        <w:rPr>
          <w:rFonts w:hint="eastAsia"/>
          <w:lang w:eastAsia="zh-CN"/>
        </w:rPr>
        <w:t>国家分配。</w:t>
      </w:r>
    </w:p>
    <w:p w14:paraId="32E10829" w14:textId="07A7A291" w:rsidR="002120D4" w:rsidRPr="00513CB9" w:rsidRDefault="00513CB9" w:rsidP="003341C1">
      <w:pPr>
        <w:ind w:firstLineChars="200" w:firstLine="480"/>
        <w:rPr>
          <w:rFonts w:eastAsia="MS Mincho"/>
          <w:lang w:eastAsia="zh-CN"/>
        </w:rPr>
      </w:pPr>
      <w:r>
        <w:rPr>
          <w:rFonts w:hint="eastAsia"/>
          <w:lang w:eastAsia="zh-CN"/>
        </w:rPr>
        <w:lastRenderedPageBreak/>
        <w:t>CEPT</w:t>
      </w:r>
      <w:r>
        <w:rPr>
          <w:rFonts w:hint="eastAsia"/>
          <w:lang w:eastAsia="zh-CN"/>
        </w:rPr>
        <w:t>建议</w:t>
      </w:r>
      <w:r w:rsidR="006F745D">
        <w:rPr>
          <w:rFonts w:hint="eastAsia"/>
          <w:lang w:eastAsia="zh-CN"/>
        </w:rPr>
        <w:t>给予</w:t>
      </w:r>
      <w:r w:rsidR="006F745D" w:rsidRPr="00445F12">
        <w:rPr>
          <w:rFonts w:hint="eastAsia"/>
          <w:lang w:eastAsia="zh-CN"/>
        </w:rPr>
        <w:t>国际电联新成员国与</w:t>
      </w:r>
      <w:r w:rsidR="006F745D" w:rsidRPr="00445F12">
        <w:rPr>
          <w:rFonts w:hint="eastAsia"/>
          <w:lang w:eastAsia="zh-CN"/>
        </w:rPr>
        <w:t>WRC</w:t>
      </w:r>
      <w:r w:rsidR="006F745D">
        <w:rPr>
          <w:lang w:eastAsia="zh-CN"/>
        </w:rPr>
        <w:t>-</w:t>
      </w:r>
      <w:r w:rsidR="006F745D">
        <w:rPr>
          <w:rFonts w:hint="eastAsia"/>
          <w:lang w:eastAsia="zh-CN"/>
        </w:rPr>
        <w:t>19</w:t>
      </w:r>
      <w:r w:rsidR="006F745D" w:rsidRPr="00445F12">
        <w:rPr>
          <w:rFonts w:hint="eastAsia"/>
          <w:lang w:eastAsia="zh-CN"/>
        </w:rPr>
        <w:t>授予在《无线电规则》附录</w:t>
      </w:r>
      <w:r w:rsidR="006F745D" w:rsidRPr="00506FD7">
        <w:rPr>
          <w:rFonts w:hint="eastAsia"/>
          <w:b/>
          <w:bCs/>
          <w:lang w:eastAsia="zh-CN"/>
        </w:rPr>
        <w:t>30B</w:t>
      </w:r>
      <w:r w:rsidR="006F745D" w:rsidRPr="00445F12">
        <w:rPr>
          <w:rFonts w:hint="eastAsia"/>
          <w:lang w:eastAsia="zh-CN"/>
        </w:rPr>
        <w:t>列表中没有指配或正</w:t>
      </w:r>
      <w:r w:rsidR="006F745D">
        <w:rPr>
          <w:rFonts w:hint="eastAsia"/>
          <w:lang w:eastAsia="zh-CN"/>
        </w:rPr>
        <w:t>处于</w:t>
      </w:r>
      <w:r w:rsidR="006F745D" w:rsidRPr="00445F12">
        <w:rPr>
          <w:rFonts w:hint="eastAsia"/>
          <w:lang w:eastAsia="zh-CN"/>
        </w:rPr>
        <w:t>协调</w:t>
      </w:r>
      <w:r w:rsidR="006F745D">
        <w:rPr>
          <w:rFonts w:hint="eastAsia"/>
          <w:lang w:eastAsia="zh-CN"/>
        </w:rPr>
        <w:t>过程</w:t>
      </w:r>
      <w:r w:rsidR="006F745D" w:rsidRPr="00445F12">
        <w:rPr>
          <w:rFonts w:hint="eastAsia"/>
          <w:lang w:eastAsia="zh-CN"/>
        </w:rPr>
        <w:t>的主管部门相同的特权。</w:t>
      </w:r>
    </w:p>
    <w:p w14:paraId="7E02D99E" w14:textId="380F447B" w:rsidR="002120D4" w:rsidRPr="00597BE5" w:rsidRDefault="00513CB9" w:rsidP="003341C1">
      <w:pPr>
        <w:ind w:firstLineChars="200" w:firstLine="480"/>
        <w:rPr>
          <w:rFonts w:eastAsia="MS Mincho"/>
          <w:bCs/>
          <w:lang w:eastAsia="zh-CN"/>
        </w:rPr>
      </w:pPr>
      <w:r w:rsidRPr="00513CB9">
        <w:rPr>
          <w:rFonts w:hint="eastAsia"/>
          <w:lang w:eastAsia="zh-CN"/>
        </w:rPr>
        <w:t>为此，</w:t>
      </w:r>
      <w:r w:rsidRPr="00513CB9">
        <w:rPr>
          <w:rFonts w:hint="eastAsia"/>
          <w:lang w:eastAsia="zh-CN"/>
        </w:rPr>
        <w:t>CEPT</w:t>
      </w:r>
      <w:r w:rsidRPr="00513CB9">
        <w:rPr>
          <w:rFonts w:hint="eastAsia"/>
          <w:lang w:eastAsia="zh-CN"/>
        </w:rPr>
        <w:t>提出了一系列规则措施，以便</w:t>
      </w:r>
      <w:r w:rsidR="009B2037">
        <w:rPr>
          <w:rFonts w:hint="eastAsia"/>
          <w:lang w:eastAsia="zh-CN"/>
        </w:rPr>
        <w:t>根据</w:t>
      </w:r>
      <w:r w:rsidRPr="00513CB9">
        <w:rPr>
          <w:rFonts w:hint="eastAsia"/>
          <w:lang w:eastAsia="zh-CN"/>
        </w:rPr>
        <w:t>协调原则</w:t>
      </w:r>
      <w:r w:rsidR="00B81DD2">
        <w:rPr>
          <w:rFonts w:hint="eastAsia"/>
          <w:lang w:eastAsia="zh-CN"/>
        </w:rPr>
        <w:t>考虑到</w:t>
      </w:r>
      <w:r w:rsidRPr="00513CB9">
        <w:rPr>
          <w:rFonts w:hint="eastAsia"/>
          <w:lang w:eastAsia="zh-CN"/>
        </w:rPr>
        <w:t>新提议的分配。</w:t>
      </w:r>
    </w:p>
    <w:p w14:paraId="4E63829A" w14:textId="3CC2F8B4" w:rsidR="002120D4" w:rsidRPr="00597BE5" w:rsidRDefault="00513CB9" w:rsidP="003341C1">
      <w:pPr>
        <w:ind w:firstLineChars="200" w:firstLine="480"/>
        <w:rPr>
          <w:rFonts w:eastAsia="MS Mincho"/>
          <w:bCs/>
          <w:lang w:eastAsia="zh-CN"/>
        </w:rPr>
      </w:pPr>
      <w:r w:rsidRPr="00513CB9">
        <w:rPr>
          <w:rFonts w:hint="eastAsia"/>
          <w:lang w:eastAsia="zh-CN"/>
        </w:rPr>
        <w:t>建议将这些措施纳入《无线电规则》附录</w:t>
      </w:r>
      <w:r w:rsidRPr="00513CB9">
        <w:rPr>
          <w:rFonts w:hint="eastAsia"/>
          <w:b/>
          <w:bCs/>
          <w:lang w:eastAsia="zh-CN"/>
        </w:rPr>
        <w:t>30B</w:t>
      </w:r>
      <w:r w:rsidRPr="00513CB9">
        <w:rPr>
          <w:rFonts w:hint="eastAsia"/>
          <w:lang w:eastAsia="zh-CN"/>
        </w:rPr>
        <w:t>第</w:t>
      </w:r>
      <w:r w:rsidRPr="00513CB9">
        <w:rPr>
          <w:rFonts w:hint="eastAsia"/>
          <w:lang w:eastAsia="zh-CN"/>
        </w:rPr>
        <w:t>7</w:t>
      </w:r>
      <w:r w:rsidRPr="00513CB9">
        <w:rPr>
          <w:rFonts w:hint="eastAsia"/>
          <w:lang w:eastAsia="zh-CN"/>
        </w:rPr>
        <w:t>条，同时在《无线电规则》附录</w:t>
      </w:r>
      <w:r w:rsidRPr="00513CB9">
        <w:rPr>
          <w:rFonts w:hint="eastAsia"/>
          <w:b/>
          <w:bCs/>
          <w:lang w:eastAsia="zh-CN"/>
        </w:rPr>
        <w:t>30B</w:t>
      </w:r>
      <w:r w:rsidRPr="00513CB9">
        <w:rPr>
          <w:rFonts w:hint="eastAsia"/>
          <w:lang w:eastAsia="zh-CN"/>
        </w:rPr>
        <w:t>中新增一个附件。</w:t>
      </w:r>
    </w:p>
    <w:p w14:paraId="5A961FB1" w14:textId="77F13FBE" w:rsidR="002120D4" w:rsidRPr="00B5440C" w:rsidRDefault="00513CB9" w:rsidP="003341C1">
      <w:pPr>
        <w:ind w:firstLineChars="200" w:firstLine="480"/>
        <w:rPr>
          <w:lang w:eastAsia="zh-CN"/>
        </w:rPr>
      </w:pPr>
      <w:r w:rsidRPr="00513CB9">
        <w:rPr>
          <w:rFonts w:hint="eastAsia"/>
          <w:lang w:eastAsia="zh-CN"/>
        </w:rPr>
        <w:t>应特别指出的是，建议无线电通信局在对拟议的新分配进行技术和规则审查时，仅考虑测试点。</w:t>
      </w:r>
      <w:r w:rsidR="00B5440C" w:rsidRPr="00B5440C">
        <w:rPr>
          <w:rFonts w:hint="eastAsia"/>
          <w:lang w:eastAsia="zh-CN"/>
        </w:rPr>
        <w:t>理由是新分配的卫星天线波束是无线电通信局确定的最小椭圆，其天线方向图见《无线电规则》附录</w:t>
      </w:r>
      <w:r w:rsidR="00B5440C" w:rsidRPr="00B5440C">
        <w:rPr>
          <w:rFonts w:hint="eastAsia"/>
          <w:b/>
          <w:bCs/>
          <w:lang w:eastAsia="zh-CN"/>
        </w:rPr>
        <w:t>30B</w:t>
      </w:r>
      <w:r w:rsidR="00B5440C" w:rsidRPr="00B5440C">
        <w:rPr>
          <w:rFonts w:hint="eastAsia"/>
          <w:lang w:eastAsia="zh-CN"/>
        </w:rPr>
        <w:t>附件</w:t>
      </w:r>
      <w:r w:rsidR="00B5440C" w:rsidRPr="00B5440C">
        <w:rPr>
          <w:rFonts w:hint="eastAsia"/>
          <w:lang w:eastAsia="zh-CN"/>
        </w:rPr>
        <w:t>1</w:t>
      </w:r>
      <w:r w:rsidR="00B5440C" w:rsidRPr="00B5440C">
        <w:rPr>
          <w:rFonts w:hint="eastAsia"/>
          <w:lang w:eastAsia="zh-CN"/>
        </w:rPr>
        <w:t>第</w:t>
      </w:r>
      <w:r w:rsidR="00B5440C" w:rsidRPr="00B5440C">
        <w:rPr>
          <w:rFonts w:hint="eastAsia"/>
          <w:lang w:eastAsia="zh-CN"/>
        </w:rPr>
        <w:t>1.7</w:t>
      </w:r>
      <w:r w:rsidR="00B5440C" w:rsidRPr="00B5440C">
        <w:rPr>
          <w:rFonts w:hint="eastAsia"/>
          <w:lang w:eastAsia="zh-CN"/>
        </w:rPr>
        <w:t>节。</w:t>
      </w:r>
      <w:r w:rsidR="00B81DD2" w:rsidRPr="00B81DD2">
        <w:rPr>
          <w:rFonts w:hint="eastAsia"/>
          <w:lang w:eastAsia="zh-CN"/>
        </w:rPr>
        <w:t>因此，在审查新分配时，不应将网格点考虑在内。</w:t>
      </w:r>
    </w:p>
    <w:p w14:paraId="4C4AA9A8" w14:textId="3E552870" w:rsidR="002120D4" w:rsidRPr="00597BE5" w:rsidRDefault="00B5440C" w:rsidP="002120D4">
      <w:pPr>
        <w:pStyle w:val="Headingb"/>
        <w:rPr>
          <w:lang w:eastAsia="zh-CN"/>
        </w:rPr>
      </w:pPr>
      <w:r>
        <w:rPr>
          <w:rFonts w:hint="eastAsia"/>
          <w:lang w:eastAsia="zh-CN"/>
        </w:rPr>
        <w:t>提案</w:t>
      </w:r>
    </w:p>
    <w:p w14:paraId="3186CA5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B0CF520" w14:textId="77777777" w:rsidR="002E1E41" w:rsidRDefault="005175B2" w:rsidP="00F2427D">
      <w:pPr>
        <w:pStyle w:val="AppendixNo"/>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5B2482B9" w14:textId="77777777" w:rsidR="002E1E41" w:rsidRPr="00302D51" w:rsidRDefault="005175B2"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22B7D298" w14:textId="77777777" w:rsidR="00D70403" w:rsidRDefault="005175B2">
      <w:pPr>
        <w:pStyle w:val="Proposal"/>
      </w:pPr>
      <w:r>
        <w:t>MOD</w:t>
      </w:r>
      <w:r>
        <w:tab/>
        <w:t>EUR/65A22A7/1</w:t>
      </w:r>
      <w:r>
        <w:rPr>
          <w:vanish/>
          <w:color w:val="7F7F7F" w:themeColor="text1" w:themeTint="80"/>
          <w:vertAlign w:val="superscript"/>
        </w:rPr>
        <w:t>#2024</w:t>
      </w:r>
    </w:p>
    <w:p w14:paraId="0116CD77" w14:textId="77777777" w:rsidR="001E1A76" w:rsidRPr="00CC7CAF" w:rsidRDefault="005175B2" w:rsidP="005D69BC">
      <w:pPr>
        <w:pStyle w:val="AppArtNo"/>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7B0021">
        <w:rPr>
          <w:rFonts w:hint="eastAsia"/>
          <w:sz w:val="16"/>
          <w:szCs w:val="16"/>
          <w:lang w:eastAsia="zh-CN"/>
        </w:rPr>
        <w:t>（</w:t>
      </w:r>
      <w:r w:rsidRPr="007B0021">
        <w:rPr>
          <w:bCs/>
          <w:caps w:val="0"/>
          <w:sz w:val="16"/>
          <w:szCs w:val="16"/>
          <w:lang w:val="en-US" w:eastAsia="zh-CN"/>
        </w:rPr>
        <w:t>WRC-</w:t>
      </w:r>
      <w:del w:id="13" w:author="LI, Ziqian" w:date="2022-11-18T14:32:00Z">
        <w:r w:rsidRPr="007B0021" w:rsidDel="00EC357F">
          <w:rPr>
            <w:bCs/>
            <w:caps w:val="0"/>
            <w:sz w:val="16"/>
            <w:szCs w:val="16"/>
            <w:lang w:val="en-US" w:eastAsia="zh-CN"/>
          </w:rPr>
          <w:delText>19</w:delText>
        </w:r>
      </w:del>
      <w:ins w:id="14" w:author="LI, Ziqian" w:date="2022-10-19T15:09:00Z">
        <w:r w:rsidRPr="007B0021">
          <w:rPr>
            <w:sz w:val="16"/>
            <w:szCs w:val="16"/>
            <w:lang w:eastAsia="zh-CN"/>
          </w:rPr>
          <w:t>23</w:t>
        </w:r>
      </w:ins>
      <w:r w:rsidRPr="007B0021">
        <w:rPr>
          <w:rFonts w:hint="eastAsia"/>
          <w:sz w:val="16"/>
          <w:szCs w:val="16"/>
          <w:lang w:eastAsia="zh-CN"/>
        </w:rPr>
        <w:t>，修订版）</w:t>
      </w:r>
    </w:p>
    <w:p w14:paraId="62D50334" w14:textId="07F34341" w:rsidR="001E1A76" w:rsidRPr="00CC7CAF" w:rsidRDefault="005175B2" w:rsidP="0075208F">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4435BE" w:rsidRPr="00597BE5">
        <w:rPr>
          <w:rStyle w:val="FootnoteReference"/>
          <w:b w:val="0"/>
          <w:bCs/>
          <w:lang w:eastAsia="zh-CN"/>
        </w:rPr>
        <w:footnoteReference w:customMarkFollows="1" w:id="1"/>
        <w:t xml:space="preserve">1, </w:t>
      </w:r>
      <w:r w:rsidR="004435BE" w:rsidRPr="00597BE5">
        <w:rPr>
          <w:rStyle w:val="FootnoteReference"/>
          <w:b w:val="0"/>
          <w:bCs/>
          <w:lang w:eastAsia="zh-CN"/>
        </w:rPr>
        <w:footnoteReference w:customMarkFollows="1" w:id="2"/>
        <w:t>2</w:t>
      </w:r>
      <w:r w:rsidR="004435BE" w:rsidRPr="00597BE5">
        <w:rPr>
          <w:rStyle w:val="FootnoteReference"/>
          <w:b w:val="0"/>
          <w:lang w:eastAsia="zh-CN"/>
        </w:rPr>
        <w:t xml:space="preserve">, </w:t>
      </w:r>
      <w:r w:rsidR="004435BE" w:rsidRPr="00597BE5">
        <w:rPr>
          <w:rStyle w:val="FootnoteReference"/>
          <w:b w:val="0"/>
          <w:lang w:eastAsia="zh-CN"/>
        </w:rPr>
        <w:footnoteReference w:customMarkFollows="1" w:id="3"/>
        <w:t>2</w:t>
      </w:r>
      <w:r w:rsidR="004435BE" w:rsidRPr="003677BF">
        <w:rPr>
          <w:rStyle w:val="FootnoteReference"/>
          <w:rFonts w:ascii="STKaiti" w:eastAsia="STKaiti" w:hAnsi="STKaiti"/>
          <w:b w:val="0"/>
          <w:lang w:eastAsia="zh-CN"/>
        </w:rPr>
        <w:t>之二</w:t>
      </w:r>
      <w:ins w:id="15" w:author="LI, Ziqian" w:date="2022-11-18T15:13:00Z">
        <w:r w:rsidR="004435BE" w:rsidRPr="003677BF">
          <w:rPr>
            <w:rStyle w:val="FootnoteReference"/>
            <w:b w:val="0"/>
            <w:lang w:eastAsia="zh-CN"/>
          </w:rPr>
          <w:t xml:space="preserve">, </w:t>
        </w:r>
      </w:ins>
      <w:ins w:id="16" w:author="Tao, Yingsheng" w:date="2022-11-17T15:15:00Z">
        <w:r w:rsidR="004435BE" w:rsidRPr="003677BF">
          <w:rPr>
            <w:rStyle w:val="FootnoteReference"/>
            <w:b w:val="0"/>
            <w:lang w:eastAsia="zh-CN"/>
            <w:rPrChange w:id="17" w:author="Tao, Yingsheng" w:date="2022-11-17T15:18:00Z">
              <w:rPr>
                <w:rStyle w:val="FootnoteReference"/>
                <w:b w:val="0"/>
                <w:highlight w:val="green"/>
                <w:lang w:eastAsia="zh-CN"/>
              </w:rPr>
            </w:rPrChange>
          </w:rPr>
          <w:footnoteReference w:customMarkFollows="1" w:id="4"/>
          <w:t>2</w:t>
        </w:r>
      </w:ins>
      <w:ins w:id="25" w:author="Tao, Yingsheng" w:date="2022-11-17T15:16:00Z">
        <w:r w:rsidR="004435BE" w:rsidRPr="00237AD4">
          <w:rPr>
            <w:rStyle w:val="FootnoteReference"/>
            <w:rFonts w:ascii="STKaiti" w:eastAsia="STKaiti" w:hAnsi="STKaiti" w:hint="eastAsia"/>
            <w:rPrChange w:id="26" w:author="Tao, Yingsheng" w:date="2022-11-17T15:17:00Z">
              <w:rPr>
                <w:rFonts w:ascii="STKaiti" w:eastAsia="STKaiti" w:hAnsi="STKaiti" w:hint="eastAsia"/>
                <w:b w:val="0"/>
                <w:iCs/>
                <w:highlight w:val="green"/>
                <w:lang w:eastAsia="zh-CN"/>
              </w:rPr>
            </w:rPrChange>
          </w:rPr>
          <w:t>之三</w:t>
        </w:r>
      </w:ins>
      <w:r w:rsidRPr="00CC7CAF">
        <w:rPr>
          <w:rFonts w:hint="eastAsia"/>
          <w:lang w:eastAsia="zh-CN"/>
        </w:rPr>
        <w:t>中的一项指配的程序</w:t>
      </w:r>
      <w:r w:rsidRPr="00CC7CAF">
        <w:rPr>
          <w:b w:val="0"/>
          <w:bCs/>
          <w:noProof/>
          <w:color w:val="000000"/>
          <w:sz w:val="16"/>
          <w:lang w:eastAsia="zh-CN"/>
        </w:rPr>
        <w:t>（</w:t>
      </w:r>
      <w:r w:rsidRPr="00902C3C">
        <w:rPr>
          <w:b w:val="0"/>
          <w:bCs/>
          <w:sz w:val="16"/>
          <w:szCs w:val="16"/>
          <w:lang w:eastAsia="zh-CN"/>
        </w:rPr>
        <w:t>WRC-</w:t>
      </w:r>
      <w:del w:id="27" w:author="LI, Ziqian" w:date="2022-11-18T14:50:00Z">
        <w:r w:rsidRPr="00902C3C" w:rsidDel="00A919D2">
          <w:rPr>
            <w:b w:val="0"/>
            <w:bCs/>
            <w:sz w:val="16"/>
            <w:szCs w:val="16"/>
            <w:lang w:eastAsia="zh-CN"/>
          </w:rPr>
          <w:delText>19</w:delText>
        </w:r>
      </w:del>
      <w:ins w:id="28" w:author="LI, Ziqian" w:date="2022-10-19T15:11:00Z">
        <w:r w:rsidRPr="00902C3C">
          <w:rPr>
            <w:rFonts w:hint="eastAsia"/>
            <w:b w:val="0"/>
            <w:sz w:val="16"/>
            <w:szCs w:val="16"/>
            <w:lang w:eastAsia="zh-CN"/>
          </w:rPr>
          <w:t>23</w:t>
        </w:r>
      </w:ins>
      <w:r w:rsidRPr="00CC7CAF">
        <w:rPr>
          <w:b w:val="0"/>
          <w:bCs/>
          <w:noProof/>
          <w:color w:val="000000"/>
          <w:sz w:val="16"/>
          <w:lang w:eastAsia="zh-CN"/>
        </w:rPr>
        <w:t>）</w:t>
      </w:r>
    </w:p>
    <w:p w14:paraId="0DAF13E0" w14:textId="368C031A" w:rsidR="002120D4" w:rsidRDefault="002120D4" w:rsidP="00334282">
      <w:pPr>
        <w:pStyle w:val="Reasons"/>
        <w:rPr>
          <w:lang w:eastAsia="zh-CN"/>
        </w:rPr>
      </w:pPr>
    </w:p>
    <w:p w14:paraId="1DE0D644" w14:textId="77777777" w:rsidR="002E1E41" w:rsidRDefault="005175B2" w:rsidP="002E1E41">
      <w:pPr>
        <w:pStyle w:val="AppArtNo"/>
        <w:rPr>
          <w:lang w:eastAsia="zh-CN"/>
        </w:rPr>
      </w:pPr>
      <w:r>
        <w:rPr>
          <w:rFonts w:hint="eastAsia"/>
          <w:lang w:eastAsia="zh-CN"/>
        </w:rPr>
        <w:t>第</w:t>
      </w:r>
      <w:r>
        <w:rPr>
          <w:rFonts w:hint="eastAsia"/>
          <w:lang w:eastAsia="zh-CN"/>
        </w:rPr>
        <w:t>7</w:t>
      </w:r>
      <w:r>
        <w:rPr>
          <w:rFonts w:hint="eastAsia"/>
          <w:lang w:eastAsia="zh-CN"/>
        </w:rPr>
        <w:t>条</w:t>
      </w:r>
      <w:r w:rsidRPr="000C4625">
        <w:rPr>
          <w:rFonts w:hint="eastAsia"/>
          <w:color w:val="000000"/>
          <w:sz w:val="16"/>
          <w:szCs w:val="16"/>
          <w:lang w:eastAsia="zh-CN"/>
        </w:rPr>
        <w:t>（</w:t>
      </w:r>
      <w:r w:rsidRPr="000C4625">
        <w:rPr>
          <w:sz w:val="16"/>
          <w:szCs w:val="16"/>
          <w:lang w:eastAsia="zh-CN"/>
        </w:rPr>
        <w:t>WRC-</w:t>
      </w:r>
      <w:r>
        <w:rPr>
          <w:sz w:val="16"/>
          <w:szCs w:val="16"/>
          <w:lang w:eastAsia="zh-CN"/>
        </w:rPr>
        <w:t>15</w:t>
      </w:r>
      <w:r w:rsidRPr="000C4625">
        <w:rPr>
          <w:rFonts w:hint="eastAsia"/>
          <w:sz w:val="16"/>
          <w:szCs w:val="16"/>
          <w:lang w:eastAsia="zh-CN"/>
        </w:rPr>
        <w:t>，修订版）</w:t>
      </w:r>
    </w:p>
    <w:p w14:paraId="5588BC67" w14:textId="77777777" w:rsidR="002E1E41" w:rsidRDefault="005175B2" w:rsidP="002E1E41">
      <w:pPr>
        <w:pStyle w:val="AppArttitle"/>
        <w:rPr>
          <w:lang w:eastAsia="zh-CN"/>
        </w:rPr>
      </w:pPr>
      <w:r w:rsidRPr="001B3DC3">
        <w:rPr>
          <w:rFonts w:hint="eastAsia"/>
          <w:lang w:eastAsia="zh-CN"/>
        </w:rPr>
        <w:t>为国际电联新成员国在规划中增加一个新分配的程序</w:t>
      </w:r>
    </w:p>
    <w:p w14:paraId="79B0A31E" w14:textId="77777777" w:rsidR="00D70403" w:rsidRDefault="005175B2">
      <w:pPr>
        <w:pStyle w:val="Proposal"/>
        <w:rPr>
          <w:lang w:eastAsia="zh-CN"/>
        </w:rPr>
      </w:pPr>
      <w:r>
        <w:rPr>
          <w:u w:val="single"/>
          <w:lang w:eastAsia="zh-CN"/>
        </w:rPr>
        <w:t>NOC</w:t>
      </w:r>
      <w:r>
        <w:rPr>
          <w:lang w:eastAsia="zh-CN"/>
        </w:rPr>
        <w:tab/>
        <w:t>EUR/65A22A7/2</w:t>
      </w:r>
      <w:r>
        <w:rPr>
          <w:vanish/>
          <w:color w:val="7F7F7F" w:themeColor="text1" w:themeTint="80"/>
          <w:vertAlign w:val="superscript"/>
          <w:lang w:eastAsia="zh-CN"/>
        </w:rPr>
        <w:t>#2025</w:t>
      </w:r>
    </w:p>
    <w:p w14:paraId="086E9EBA" w14:textId="2876C1AB" w:rsidR="001E1A76" w:rsidRDefault="005175B2" w:rsidP="00B9497C">
      <w:pPr>
        <w:pStyle w:val="Normalaftertitle"/>
        <w:rPr>
          <w:lang w:eastAsia="zh-CN"/>
        </w:rPr>
      </w:pPr>
      <w:r w:rsidRPr="009F73AD">
        <w:rPr>
          <w:rStyle w:val="Provsplit"/>
          <w:rFonts w:hint="eastAsia"/>
        </w:rPr>
        <w:t>7.1</w:t>
      </w:r>
      <w:r w:rsidRPr="00FB2F40">
        <w:rPr>
          <w:lang w:eastAsia="zh-CN"/>
        </w:rPr>
        <w:tab/>
      </w:r>
      <w:r w:rsidRPr="004C4CC1">
        <w:rPr>
          <w:rFonts w:hint="eastAsia"/>
          <w:lang w:eastAsia="zh-CN"/>
        </w:rPr>
        <w:t>一国</w:t>
      </w:r>
      <w:r w:rsidR="004435BE" w:rsidRPr="00395A36">
        <w:rPr>
          <w:rStyle w:val="FootnoteReference"/>
          <w:lang w:eastAsia="zh-CN"/>
        </w:rPr>
        <w:footnoteReference w:customMarkFollows="1" w:id="5"/>
        <w:t>**</w:t>
      </w:r>
      <w:r w:rsidRPr="004C4CC1">
        <w:rPr>
          <w:rFonts w:hint="eastAsia"/>
          <w:lang w:eastAsia="zh-CN"/>
        </w:rPr>
        <w:t>的主管部门已加入国际电联成为成员国，但在规划中还没有本国分配</w:t>
      </w:r>
      <w:r w:rsidRPr="00FC4F91">
        <w:rPr>
          <w:rStyle w:val="FootnoteReference"/>
          <w:color w:val="FFFFFF" w:themeColor="background1"/>
          <w:sz w:val="4"/>
          <w:szCs w:val="4"/>
          <w:lang w:eastAsia="zh-CN"/>
        </w:rPr>
        <w:footnoteReference w:customMarkFollows="1" w:id="6"/>
        <w:t>9</w:t>
      </w:r>
      <w:r>
        <w:rPr>
          <w:rStyle w:val="FootnoteReference"/>
          <w:color w:val="FFFFFF" w:themeColor="background1"/>
          <w:sz w:val="4"/>
          <w:szCs w:val="4"/>
          <w:lang w:eastAsia="zh-CN"/>
        </w:rPr>
        <w:t xml:space="preserve"> </w:t>
      </w:r>
      <w:r w:rsidRPr="004C4CC1">
        <w:rPr>
          <w:rFonts w:hint="eastAsia"/>
          <w:lang w:eastAsia="zh-CN"/>
        </w:rPr>
        <w:t>或在列表中没有由分配转变而来的指配时，须按照下列程序得到一个国家分配。</w:t>
      </w:r>
      <w:r w:rsidRPr="009C168A">
        <w:rPr>
          <w:rFonts w:hint="eastAsia"/>
          <w:sz w:val="16"/>
          <w:szCs w:val="16"/>
          <w:lang w:eastAsia="zh-CN"/>
        </w:rPr>
        <w:t>（</w:t>
      </w:r>
      <w:r w:rsidRPr="009C168A">
        <w:rPr>
          <w:rFonts w:hint="eastAsia"/>
          <w:sz w:val="16"/>
          <w:szCs w:val="16"/>
          <w:lang w:eastAsia="zh-CN"/>
        </w:rPr>
        <w:t>WRC-15</w:t>
      </w:r>
      <w:r w:rsidRPr="009C168A">
        <w:rPr>
          <w:sz w:val="16"/>
          <w:szCs w:val="16"/>
          <w:lang w:eastAsia="zh-CN"/>
        </w:rPr>
        <w:t>）</w:t>
      </w:r>
    </w:p>
    <w:p w14:paraId="16CBFD8B" w14:textId="77777777" w:rsidR="00D70403" w:rsidRDefault="00D70403">
      <w:pPr>
        <w:pStyle w:val="Reasons"/>
        <w:rPr>
          <w:lang w:eastAsia="zh-CN"/>
        </w:rPr>
      </w:pPr>
    </w:p>
    <w:p w14:paraId="2ACA8B46" w14:textId="77777777" w:rsidR="00D70403" w:rsidRDefault="005175B2">
      <w:pPr>
        <w:pStyle w:val="Proposal"/>
        <w:rPr>
          <w:lang w:eastAsia="zh-CN"/>
        </w:rPr>
      </w:pPr>
      <w:r>
        <w:rPr>
          <w:u w:val="single"/>
          <w:lang w:eastAsia="zh-CN"/>
        </w:rPr>
        <w:lastRenderedPageBreak/>
        <w:t>NOC</w:t>
      </w:r>
      <w:r>
        <w:rPr>
          <w:lang w:eastAsia="zh-CN"/>
        </w:rPr>
        <w:tab/>
        <w:t>EUR/65A22A7/3</w:t>
      </w:r>
      <w:r>
        <w:rPr>
          <w:vanish/>
          <w:color w:val="7F7F7F" w:themeColor="text1" w:themeTint="80"/>
          <w:vertAlign w:val="superscript"/>
          <w:lang w:eastAsia="zh-CN"/>
        </w:rPr>
        <w:t>#2026</w:t>
      </w:r>
    </w:p>
    <w:p w14:paraId="374DC4BD" w14:textId="77777777" w:rsidR="001E1A76" w:rsidRDefault="005175B2" w:rsidP="00B9497C">
      <w:pPr>
        <w:rPr>
          <w:lang w:eastAsia="zh-CN"/>
        </w:rPr>
      </w:pPr>
      <w:r w:rsidRPr="009F73AD">
        <w:rPr>
          <w:rStyle w:val="Provsplit"/>
          <w:rFonts w:hint="eastAsia"/>
        </w:rPr>
        <w:t>7.2</w:t>
      </w:r>
      <w:r>
        <w:rPr>
          <w:lang w:eastAsia="zh-CN"/>
        </w:rPr>
        <w:tab/>
      </w:r>
      <w:r>
        <w:rPr>
          <w:rFonts w:hint="eastAsia"/>
          <w:lang w:eastAsia="zh-CN"/>
        </w:rPr>
        <w:t>主管部门须向无线电通信局提交其分配要求，并提供下列信息：</w:t>
      </w:r>
    </w:p>
    <w:p w14:paraId="3D814500" w14:textId="77777777" w:rsidR="001E1A76" w:rsidRDefault="005175B2" w:rsidP="00B9497C">
      <w:pPr>
        <w:pStyle w:val="enumlev1"/>
        <w:rPr>
          <w:lang w:eastAsia="zh-CN"/>
        </w:rPr>
      </w:pPr>
      <w:r w:rsidRPr="00DA3D36">
        <w:rPr>
          <w:rFonts w:eastAsia="Times New Roman" w:hint="eastAsia"/>
          <w:i/>
          <w:iCs/>
          <w:lang w:eastAsia="zh-CN"/>
        </w:rPr>
        <w:t>a)</w:t>
      </w:r>
      <w:r>
        <w:rPr>
          <w:lang w:eastAsia="zh-CN"/>
        </w:rPr>
        <w:tab/>
      </w:r>
      <w:r>
        <w:rPr>
          <w:rFonts w:hint="eastAsia"/>
          <w:lang w:eastAsia="zh-CN"/>
        </w:rPr>
        <w:t>不多于</w:t>
      </w:r>
      <w:r w:rsidRPr="00A56E2F">
        <w:rPr>
          <w:rFonts w:hint="eastAsia"/>
          <w:color w:val="000000"/>
          <w:lang w:eastAsia="zh-CN"/>
        </w:rPr>
        <w:t>20</w:t>
      </w:r>
      <w:r>
        <w:rPr>
          <w:rFonts w:hint="eastAsia"/>
          <w:lang w:eastAsia="zh-CN"/>
        </w:rPr>
        <w:t>个测试点的地理坐标以确定覆盖其国土的最小椭圆；</w:t>
      </w:r>
    </w:p>
    <w:p w14:paraId="2340EFA3" w14:textId="77777777" w:rsidR="001E1A76" w:rsidRDefault="005175B2" w:rsidP="00B9497C">
      <w:pPr>
        <w:pStyle w:val="enumlev1"/>
        <w:rPr>
          <w:lang w:eastAsia="zh-CN"/>
        </w:rPr>
      </w:pPr>
      <w:r w:rsidRPr="00DA3D36">
        <w:rPr>
          <w:rFonts w:eastAsia="Times New Roman" w:hint="eastAsia"/>
          <w:i/>
          <w:iCs/>
          <w:lang w:eastAsia="zh-CN"/>
        </w:rPr>
        <w:t>b)</w:t>
      </w:r>
      <w:r>
        <w:rPr>
          <w:lang w:eastAsia="zh-CN"/>
        </w:rPr>
        <w:tab/>
      </w:r>
      <w:r>
        <w:rPr>
          <w:rFonts w:hint="eastAsia"/>
          <w:lang w:eastAsia="zh-CN"/>
        </w:rPr>
        <w:t>每个测试点的海拔高度；</w:t>
      </w:r>
    </w:p>
    <w:p w14:paraId="0D360381" w14:textId="77777777" w:rsidR="001E1A76" w:rsidRDefault="005175B2" w:rsidP="00B9497C">
      <w:pPr>
        <w:pStyle w:val="enumlev1"/>
        <w:rPr>
          <w:lang w:eastAsia="zh-CN"/>
        </w:rPr>
      </w:pPr>
      <w:r w:rsidRPr="00DA3D36">
        <w:rPr>
          <w:rFonts w:eastAsia="Times New Roman" w:hint="eastAsia"/>
          <w:i/>
          <w:iCs/>
          <w:lang w:eastAsia="zh-CN"/>
        </w:rPr>
        <w:t>c)</w:t>
      </w:r>
      <w:r>
        <w:rPr>
          <w:lang w:eastAsia="zh-CN"/>
        </w:rPr>
        <w:tab/>
      </w:r>
      <w:r>
        <w:rPr>
          <w:rFonts w:hint="eastAsia"/>
          <w:lang w:eastAsia="zh-CN"/>
        </w:rPr>
        <w:t>将在可行范围内予以考虑的任何特殊要求。</w:t>
      </w:r>
    </w:p>
    <w:p w14:paraId="6C3123AF" w14:textId="77777777" w:rsidR="00D70403" w:rsidRDefault="00D70403">
      <w:pPr>
        <w:pStyle w:val="Reasons"/>
        <w:rPr>
          <w:lang w:eastAsia="zh-CN"/>
        </w:rPr>
      </w:pPr>
    </w:p>
    <w:p w14:paraId="3432D6C7" w14:textId="77777777" w:rsidR="00D70403" w:rsidRDefault="005175B2">
      <w:pPr>
        <w:pStyle w:val="Proposal"/>
        <w:rPr>
          <w:lang w:eastAsia="zh-CN"/>
        </w:rPr>
      </w:pPr>
      <w:r>
        <w:rPr>
          <w:u w:val="single"/>
          <w:lang w:eastAsia="zh-CN"/>
        </w:rPr>
        <w:t>NOC</w:t>
      </w:r>
      <w:r>
        <w:rPr>
          <w:lang w:eastAsia="zh-CN"/>
        </w:rPr>
        <w:tab/>
        <w:t>EUR/65A22A7/4</w:t>
      </w:r>
      <w:r>
        <w:rPr>
          <w:vanish/>
          <w:color w:val="7F7F7F" w:themeColor="text1" w:themeTint="80"/>
          <w:vertAlign w:val="superscript"/>
          <w:lang w:eastAsia="zh-CN"/>
        </w:rPr>
        <w:t>#2027</w:t>
      </w:r>
    </w:p>
    <w:p w14:paraId="1D6660D8" w14:textId="77777777" w:rsidR="001E1A76" w:rsidRDefault="005175B2" w:rsidP="00B9497C">
      <w:pPr>
        <w:rPr>
          <w:lang w:eastAsia="zh-CN"/>
        </w:rPr>
      </w:pPr>
      <w:r w:rsidRPr="009F73AD">
        <w:rPr>
          <w:rStyle w:val="Provsplit"/>
          <w:rFonts w:hint="eastAsia"/>
        </w:rPr>
        <w:t>7.3</w:t>
      </w:r>
      <w:r>
        <w:rPr>
          <w:lang w:eastAsia="zh-CN"/>
        </w:rPr>
        <w:tab/>
      </w:r>
      <w:r>
        <w:rPr>
          <w:lang w:eastAsia="zh-CN"/>
        </w:rPr>
        <w:t>收到（上述第</w:t>
      </w:r>
      <w:r>
        <w:rPr>
          <w:lang w:eastAsia="zh-CN"/>
        </w:rPr>
        <w:t>7.2</w:t>
      </w:r>
      <w:r>
        <w:rPr>
          <w:rFonts w:hint="eastAsia"/>
          <w:lang w:eastAsia="zh-CN"/>
        </w:rPr>
        <w:t>段</w:t>
      </w:r>
      <w:r>
        <w:rPr>
          <w:lang w:eastAsia="zh-CN"/>
        </w:rPr>
        <w:t>所述的）完整资料后，无线电通信局</w:t>
      </w:r>
      <w:r>
        <w:rPr>
          <w:rFonts w:hint="eastAsia"/>
          <w:lang w:eastAsia="zh-CN"/>
        </w:rPr>
        <w:t>须</w:t>
      </w:r>
      <w:r w:rsidRPr="00B551A3">
        <w:rPr>
          <w:rFonts w:hint="eastAsia"/>
          <w:lang w:eastAsia="zh-CN"/>
        </w:rPr>
        <w:t>立即</w:t>
      </w:r>
      <w:r>
        <w:rPr>
          <w:rFonts w:hint="eastAsia"/>
          <w:lang w:eastAsia="zh-CN"/>
        </w:rPr>
        <w:t>并在开始处理尚未进行第</w:t>
      </w:r>
      <w:r w:rsidRPr="00B551A3">
        <w:rPr>
          <w:lang w:eastAsia="zh-CN"/>
        </w:rPr>
        <w:t>6.5</w:t>
      </w:r>
      <w:r w:rsidRPr="00B551A3">
        <w:rPr>
          <w:rFonts w:hint="eastAsia"/>
          <w:lang w:eastAsia="zh-CN"/>
        </w:rPr>
        <w:t>段</w:t>
      </w:r>
      <w:r>
        <w:rPr>
          <w:rFonts w:hint="eastAsia"/>
          <w:lang w:eastAsia="zh-CN"/>
        </w:rPr>
        <w:t>所述审查的其它申报</w:t>
      </w:r>
      <w:r w:rsidRPr="00B551A3">
        <w:rPr>
          <w:rFonts w:hint="eastAsia"/>
          <w:lang w:eastAsia="zh-CN"/>
        </w:rPr>
        <w:t>资料前为一项可能的国家分配确定</w:t>
      </w:r>
      <w:r>
        <w:rPr>
          <w:rFonts w:hint="eastAsia"/>
          <w:lang w:eastAsia="zh-CN"/>
        </w:rPr>
        <w:t>适当的技术特性和相关的轨道位置。无线电通信局须将这些信息</w:t>
      </w:r>
      <w:r w:rsidRPr="00B551A3">
        <w:rPr>
          <w:rFonts w:hint="eastAsia"/>
          <w:lang w:eastAsia="zh-CN"/>
        </w:rPr>
        <w:t>寄送提出请求的主管部门。</w:t>
      </w:r>
    </w:p>
    <w:p w14:paraId="7B9DFC0E" w14:textId="77777777" w:rsidR="00D70403" w:rsidRDefault="00D70403">
      <w:pPr>
        <w:pStyle w:val="Reasons"/>
        <w:rPr>
          <w:lang w:eastAsia="zh-CN"/>
        </w:rPr>
      </w:pPr>
    </w:p>
    <w:p w14:paraId="76DBB120" w14:textId="77777777" w:rsidR="00D70403" w:rsidRDefault="005175B2">
      <w:pPr>
        <w:pStyle w:val="Proposal"/>
        <w:rPr>
          <w:lang w:eastAsia="zh-CN"/>
        </w:rPr>
      </w:pPr>
      <w:r>
        <w:rPr>
          <w:u w:val="single"/>
          <w:lang w:eastAsia="zh-CN"/>
        </w:rPr>
        <w:t>NOC</w:t>
      </w:r>
      <w:r>
        <w:rPr>
          <w:lang w:eastAsia="zh-CN"/>
        </w:rPr>
        <w:tab/>
        <w:t>EUR/65A22A7/5</w:t>
      </w:r>
      <w:r>
        <w:rPr>
          <w:vanish/>
          <w:color w:val="7F7F7F" w:themeColor="text1" w:themeTint="80"/>
          <w:vertAlign w:val="superscript"/>
          <w:lang w:eastAsia="zh-CN"/>
        </w:rPr>
        <w:t>#2028</w:t>
      </w:r>
    </w:p>
    <w:p w14:paraId="65270532" w14:textId="77777777" w:rsidR="001E1A76" w:rsidRDefault="005175B2" w:rsidP="00B9497C">
      <w:pPr>
        <w:rPr>
          <w:lang w:eastAsia="zh-CN"/>
        </w:rPr>
      </w:pPr>
      <w:r w:rsidRPr="009F73AD">
        <w:rPr>
          <w:rStyle w:val="Provsplit"/>
          <w:rFonts w:hint="eastAsia"/>
        </w:rPr>
        <w:t>7.4</w:t>
      </w:r>
      <w:r>
        <w:rPr>
          <w:lang w:eastAsia="zh-CN"/>
        </w:rPr>
        <w:tab/>
      </w:r>
      <w:r>
        <w:rPr>
          <w:rFonts w:hint="eastAsia"/>
          <w:lang w:eastAsia="zh-CN"/>
        </w:rPr>
        <w:t>在收到无线电通信局按照第</w:t>
      </w:r>
      <w:r w:rsidRPr="00C4426E">
        <w:rPr>
          <w:lang w:eastAsia="zh-CN"/>
        </w:rPr>
        <w:t>7.3</w:t>
      </w:r>
      <w:r>
        <w:rPr>
          <w:rFonts w:hint="eastAsia"/>
          <w:lang w:eastAsia="zh-CN"/>
        </w:rPr>
        <w:t>段做出的答复后，提出请求的主管部门须在三十天内指出其在无线电通信局所确定的建议轨道位置及相关技术参数中所作的选择。其间提出请求的主管部门可随时寻求无线电通信局的帮助。</w:t>
      </w:r>
    </w:p>
    <w:p w14:paraId="24FF30A6" w14:textId="77777777" w:rsidR="00D70403" w:rsidRDefault="00D70403">
      <w:pPr>
        <w:pStyle w:val="Reasons"/>
        <w:rPr>
          <w:lang w:eastAsia="zh-CN"/>
        </w:rPr>
      </w:pPr>
    </w:p>
    <w:p w14:paraId="6CFA0FD7" w14:textId="77777777" w:rsidR="00D70403" w:rsidRDefault="005175B2">
      <w:pPr>
        <w:pStyle w:val="Proposal"/>
        <w:rPr>
          <w:lang w:eastAsia="zh-CN"/>
        </w:rPr>
      </w:pPr>
      <w:r>
        <w:rPr>
          <w:lang w:eastAsia="zh-CN"/>
        </w:rPr>
        <w:t>MOD</w:t>
      </w:r>
      <w:r>
        <w:rPr>
          <w:lang w:eastAsia="zh-CN"/>
        </w:rPr>
        <w:tab/>
        <w:t>EUR/65A22A7/6</w:t>
      </w:r>
      <w:r>
        <w:rPr>
          <w:vanish/>
          <w:color w:val="7F7F7F" w:themeColor="text1" w:themeTint="80"/>
          <w:vertAlign w:val="superscript"/>
          <w:lang w:eastAsia="zh-CN"/>
        </w:rPr>
        <w:t>#2029</w:t>
      </w:r>
    </w:p>
    <w:p w14:paraId="503EAC82" w14:textId="77777777" w:rsidR="001E1A76" w:rsidRDefault="005175B2" w:rsidP="00B9497C">
      <w:pPr>
        <w:rPr>
          <w:lang w:eastAsia="zh-CN"/>
        </w:rPr>
      </w:pPr>
      <w:r w:rsidRPr="009F73AD">
        <w:rPr>
          <w:rStyle w:val="Provsplit"/>
        </w:rPr>
        <w:t>7.4</w:t>
      </w:r>
      <w:r w:rsidRPr="009665B4">
        <w:rPr>
          <w:rStyle w:val="Provsplit"/>
          <w:rFonts w:ascii="STKaiti" w:eastAsia="STKaiti" w:hAnsi="STKaiti" w:hint="eastAsia"/>
          <w:szCs w:val="16"/>
        </w:rPr>
        <w:t>之二</w:t>
      </w:r>
      <w:r>
        <w:rPr>
          <w:lang w:eastAsia="zh-CN"/>
        </w:rPr>
        <w:tab/>
      </w:r>
      <w:r>
        <w:rPr>
          <w:rFonts w:hint="eastAsia"/>
          <w:lang w:eastAsia="zh-CN"/>
        </w:rPr>
        <w:t>如无线电通信局在</w:t>
      </w:r>
      <w:ins w:id="29" w:author="Tao, Yingsheng" w:date="2022-11-17T15:19:00Z">
        <w:r>
          <w:rPr>
            <w:rFonts w:hint="eastAsia"/>
            <w:lang w:eastAsia="zh-CN"/>
          </w:rPr>
          <w:t>以上第</w:t>
        </w:r>
        <w:r>
          <w:rPr>
            <w:rFonts w:hint="eastAsia"/>
            <w:lang w:eastAsia="zh-CN"/>
          </w:rPr>
          <w:t>7</w:t>
        </w:r>
        <w:r>
          <w:rPr>
            <w:lang w:eastAsia="zh-CN"/>
          </w:rPr>
          <w:t>.4</w:t>
        </w:r>
        <w:r>
          <w:rPr>
            <w:rFonts w:hint="eastAsia"/>
            <w:lang w:eastAsia="zh-CN"/>
          </w:rPr>
          <w:t>段所述</w:t>
        </w:r>
      </w:ins>
      <w:r>
        <w:rPr>
          <w:rFonts w:hint="eastAsia"/>
          <w:lang w:eastAsia="zh-CN"/>
        </w:rPr>
        <w:t>规定的时限内未收到第</w:t>
      </w:r>
      <w:r>
        <w:rPr>
          <w:lang w:eastAsia="zh-CN"/>
        </w:rPr>
        <w:t>7.4</w:t>
      </w:r>
      <w:r>
        <w:rPr>
          <w:rFonts w:hint="eastAsia"/>
          <w:lang w:eastAsia="zh-CN"/>
        </w:rPr>
        <w:t>段所述的分配选择，无线电通信局</w:t>
      </w:r>
      <w:ins w:id="30" w:author="Tao, Yingsheng" w:date="2022-11-17T15:20:00Z">
        <w:r>
          <w:rPr>
            <w:rFonts w:hint="eastAsia"/>
            <w:lang w:eastAsia="zh-CN"/>
          </w:rPr>
          <w:t>须</w:t>
        </w:r>
      </w:ins>
      <w:del w:id="31" w:author="Tao, Yingsheng" w:date="2022-11-17T15:20:00Z">
        <w:r w:rsidDel="00200F46">
          <w:rPr>
            <w:rFonts w:hint="eastAsia"/>
            <w:lang w:eastAsia="zh-CN"/>
          </w:rPr>
          <w:delText>将</w:delText>
        </w:r>
      </w:del>
      <w:r>
        <w:rPr>
          <w:rFonts w:hint="eastAsia"/>
          <w:lang w:eastAsia="zh-CN"/>
        </w:rPr>
        <w:t>酌情恢复对按照第</w:t>
      </w:r>
      <w:r>
        <w:rPr>
          <w:lang w:eastAsia="zh-CN"/>
        </w:rPr>
        <w:t>6.5</w:t>
      </w:r>
      <w:r>
        <w:rPr>
          <w:rFonts w:hint="eastAsia"/>
          <w:lang w:eastAsia="zh-CN"/>
        </w:rPr>
        <w:t>段提交的资料或按照第</w:t>
      </w:r>
      <w:r>
        <w:rPr>
          <w:rFonts w:hint="eastAsia"/>
          <w:lang w:eastAsia="zh-CN"/>
        </w:rPr>
        <w:t>7</w:t>
      </w:r>
      <w:r>
        <w:rPr>
          <w:rFonts w:hint="eastAsia"/>
          <w:lang w:eastAsia="zh-CN"/>
        </w:rPr>
        <w:t>条提交的后续资料进行审查，并通知提出请求的主管部门无线电通信局将在得知所选择的轨道位置后根据第</w:t>
      </w:r>
      <w:r>
        <w:rPr>
          <w:lang w:eastAsia="zh-CN"/>
        </w:rPr>
        <w:t>7.5</w:t>
      </w:r>
      <w:r>
        <w:rPr>
          <w:rFonts w:hint="eastAsia"/>
          <w:lang w:eastAsia="zh-CN"/>
        </w:rPr>
        <w:t>段对其请求进行处理。</w:t>
      </w:r>
    </w:p>
    <w:p w14:paraId="0F6CC561" w14:textId="77777777" w:rsidR="00D70403" w:rsidRDefault="00D70403">
      <w:pPr>
        <w:pStyle w:val="Reasons"/>
        <w:rPr>
          <w:lang w:eastAsia="zh-CN"/>
        </w:rPr>
      </w:pPr>
    </w:p>
    <w:p w14:paraId="5ADCDF05" w14:textId="77777777" w:rsidR="00D70403" w:rsidRDefault="005175B2">
      <w:pPr>
        <w:pStyle w:val="Proposal"/>
        <w:rPr>
          <w:lang w:eastAsia="zh-CN"/>
        </w:rPr>
      </w:pPr>
      <w:r>
        <w:rPr>
          <w:lang w:eastAsia="zh-CN"/>
        </w:rPr>
        <w:t>MOD</w:t>
      </w:r>
      <w:r>
        <w:rPr>
          <w:lang w:eastAsia="zh-CN"/>
        </w:rPr>
        <w:tab/>
        <w:t>EUR/65A22A7/7</w:t>
      </w:r>
    </w:p>
    <w:p w14:paraId="6664B947" w14:textId="462EA13C" w:rsidR="002E1E41" w:rsidRPr="00344C66" w:rsidRDefault="005175B2" w:rsidP="00DB2000">
      <w:pPr>
        <w:jc w:val="both"/>
        <w:rPr>
          <w:lang w:eastAsia="zh-CN"/>
        </w:rPr>
      </w:pPr>
      <w:r w:rsidRPr="009F73AD">
        <w:rPr>
          <w:rStyle w:val="Provsplit"/>
        </w:rPr>
        <w:t>7.5</w:t>
      </w:r>
      <w:r>
        <w:rPr>
          <w:lang w:eastAsia="zh-CN"/>
        </w:rPr>
        <w:tab/>
      </w:r>
      <w:r>
        <w:rPr>
          <w:rFonts w:hint="eastAsia"/>
          <w:lang w:eastAsia="zh-CN"/>
        </w:rPr>
        <w:t>在收到第</w:t>
      </w:r>
      <w:r>
        <w:rPr>
          <w:lang w:eastAsia="zh-CN"/>
        </w:rPr>
        <w:t>7.4</w:t>
      </w:r>
      <w:r>
        <w:rPr>
          <w:rFonts w:hint="eastAsia"/>
          <w:lang w:eastAsia="zh-CN"/>
        </w:rPr>
        <w:t>段规定的请求后，无线电通信局须在开始处理尚未进行第</w:t>
      </w:r>
      <w:r w:rsidRPr="006B1AC3">
        <w:rPr>
          <w:lang w:eastAsia="zh-CN"/>
        </w:rPr>
        <w:t>6.5</w:t>
      </w:r>
      <w:r w:rsidRPr="006B1AC3">
        <w:rPr>
          <w:rFonts w:hint="eastAsia"/>
          <w:lang w:eastAsia="zh-CN"/>
        </w:rPr>
        <w:t>段</w:t>
      </w:r>
      <w:r>
        <w:rPr>
          <w:rFonts w:hint="eastAsia"/>
          <w:lang w:eastAsia="zh-CN"/>
        </w:rPr>
        <w:t>所述</w:t>
      </w:r>
      <w:r w:rsidRPr="006B1AC3">
        <w:rPr>
          <w:rFonts w:hint="eastAsia"/>
          <w:lang w:eastAsia="zh-CN"/>
        </w:rPr>
        <w:t>审查的</w:t>
      </w:r>
      <w:r>
        <w:rPr>
          <w:rFonts w:hint="eastAsia"/>
          <w:lang w:eastAsia="zh-CN"/>
        </w:rPr>
        <w:t>其它</w:t>
      </w:r>
      <w:r w:rsidRPr="006B1AC3">
        <w:rPr>
          <w:rFonts w:hint="eastAsia"/>
          <w:lang w:eastAsia="zh-CN"/>
        </w:rPr>
        <w:t>资料前处理此项请求，并应用附件</w:t>
      </w:r>
      <w:r w:rsidRPr="006B1AC3">
        <w:rPr>
          <w:rFonts w:hint="eastAsia"/>
          <w:lang w:eastAsia="zh-CN"/>
        </w:rPr>
        <w:t>3</w:t>
      </w:r>
      <w:r w:rsidRPr="006B1AC3">
        <w:rPr>
          <w:rFonts w:hint="eastAsia"/>
          <w:lang w:eastAsia="zh-CN"/>
        </w:rPr>
        <w:t>和</w:t>
      </w:r>
      <w:del w:id="32" w:author="ITU-R" w:date="2023-11-05T14:30:00Z">
        <w:r w:rsidR="004435BE" w:rsidRPr="00597BE5" w:rsidDel="000E1015">
          <w:rPr>
            <w:lang w:eastAsia="zh-CN"/>
          </w:rPr>
          <w:delText>4</w:delText>
        </w:r>
      </w:del>
      <w:ins w:id="33" w:author="ITU-R" w:date="2023-11-05T14:30:00Z">
        <w:r w:rsidR="004435BE" w:rsidRPr="00597BE5">
          <w:rPr>
            <w:lang w:eastAsia="zh-CN"/>
          </w:rPr>
          <w:t>7</w:t>
        </w:r>
      </w:ins>
      <w:r w:rsidRPr="006B1AC3">
        <w:rPr>
          <w:rFonts w:hint="eastAsia"/>
          <w:lang w:eastAsia="zh-CN"/>
        </w:rPr>
        <w:t>，审查是否符合：</w:t>
      </w:r>
    </w:p>
    <w:p w14:paraId="4124B94D" w14:textId="77777777" w:rsidR="002E1E41" w:rsidRDefault="005175B2" w:rsidP="00DB2000">
      <w:pPr>
        <w:pStyle w:val="enumlev1"/>
        <w:jc w:val="both"/>
        <w:rPr>
          <w:lang w:eastAsia="zh-CN"/>
        </w:rPr>
      </w:pPr>
      <w:r w:rsidRPr="00777103">
        <w:rPr>
          <w:i/>
          <w:lang w:eastAsia="zh-CN"/>
        </w:rPr>
        <w:t>a)</w:t>
      </w:r>
      <w:r>
        <w:rPr>
          <w:lang w:eastAsia="zh-CN"/>
        </w:rPr>
        <w:tab/>
      </w:r>
      <w:r>
        <w:rPr>
          <w:rFonts w:hint="eastAsia"/>
          <w:lang w:eastAsia="zh-CN"/>
        </w:rPr>
        <w:t>《频率划分表》和《无线电规则》中的其它条款</w:t>
      </w:r>
      <w:r w:rsidRPr="00B47F72">
        <w:rPr>
          <w:rStyle w:val="FootnoteReference"/>
          <w:lang w:eastAsia="zh-CN"/>
        </w:rPr>
        <w:footnoteReference w:customMarkFollows="1" w:id="7"/>
        <w:t>10</w:t>
      </w:r>
      <w:r>
        <w:rPr>
          <w:rFonts w:hint="eastAsia"/>
          <w:lang w:eastAsia="zh-CN"/>
        </w:rPr>
        <w:t>，将在下一分段中探讨的有关卫星固定业务规划的条款除外；</w:t>
      </w:r>
    </w:p>
    <w:p w14:paraId="38E59704" w14:textId="77777777" w:rsidR="002E1E41" w:rsidRDefault="005175B2" w:rsidP="00DB2000">
      <w:pPr>
        <w:pStyle w:val="enumlev1"/>
        <w:jc w:val="both"/>
        <w:rPr>
          <w:lang w:eastAsia="zh-CN"/>
        </w:rPr>
      </w:pPr>
      <w:r w:rsidRPr="00777103">
        <w:rPr>
          <w:i/>
          <w:lang w:eastAsia="zh-CN"/>
        </w:rPr>
        <w:t>b)</w:t>
      </w:r>
      <w:r>
        <w:rPr>
          <w:lang w:eastAsia="zh-CN"/>
        </w:rPr>
        <w:tab/>
      </w:r>
      <w:r>
        <w:rPr>
          <w:rFonts w:hint="eastAsia"/>
          <w:lang w:eastAsia="zh-CN"/>
        </w:rPr>
        <w:t>规划中的分配；</w:t>
      </w:r>
    </w:p>
    <w:p w14:paraId="5ADF3856" w14:textId="77777777" w:rsidR="002E1E41" w:rsidRPr="000A20C6" w:rsidRDefault="005175B2" w:rsidP="00DB2000">
      <w:pPr>
        <w:pStyle w:val="enumlev1"/>
        <w:jc w:val="both"/>
        <w:rPr>
          <w:lang w:eastAsia="zh-CN"/>
        </w:rPr>
      </w:pPr>
      <w:r w:rsidRPr="00777103">
        <w:rPr>
          <w:i/>
          <w:lang w:eastAsia="zh-CN"/>
        </w:rPr>
        <w:t>c)</w:t>
      </w:r>
      <w:r w:rsidRPr="004B4BDE">
        <w:rPr>
          <w:lang w:eastAsia="zh-CN"/>
        </w:rPr>
        <w:tab/>
      </w:r>
      <w:r>
        <w:rPr>
          <w:rFonts w:hint="eastAsia"/>
          <w:lang w:eastAsia="zh-CN"/>
        </w:rPr>
        <w:t>列表中的指配；</w:t>
      </w:r>
    </w:p>
    <w:p w14:paraId="40812AD0" w14:textId="77777777" w:rsidR="002E1E41" w:rsidRDefault="005175B2" w:rsidP="00DB2000">
      <w:pPr>
        <w:pStyle w:val="enumlev1"/>
        <w:jc w:val="both"/>
        <w:rPr>
          <w:lang w:eastAsia="zh-CN"/>
        </w:rPr>
      </w:pPr>
      <w:r w:rsidRPr="00777103">
        <w:rPr>
          <w:i/>
          <w:lang w:eastAsia="zh-CN"/>
        </w:rPr>
        <w:t>d)</w:t>
      </w:r>
      <w:r w:rsidRPr="000A20C6">
        <w:rPr>
          <w:lang w:eastAsia="zh-CN"/>
        </w:rPr>
        <w:tab/>
      </w:r>
      <w:r>
        <w:rPr>
          <w:rFonts w:hint="eastAsia"/>
          <w:lang w:eastAsia="zh-CN"/>
        </w:rPr>
        <w:t>无线电通信局先前已收到完整资料并已审查，或根据第</w:t>
      </w:r>
      <w:r>
        <w:rPr>
          <w:lang w:eastAsia="zh-CN"/>
        </w:rPr>
        <w:t>6.5</w:t>
      </w:r>
      <w:r>
        <w:rPr>
          <w:rFonts w:hint="eastAsia"/>
          <w:lang w:eastAsia="zh-CN"/>
        </w:rPr>
        <w:t>段正处于审查的指配。</w:t>
      </w:r>
    </w:p>
    <w:p w14:paraId="365432CC" w14:textId="77777777" w:rsidR="00D70403" w:rsidRDefault="00D70403">
      <w:pPr>
        <w:pStyle w:val="Reasons"/>
        <w:rPr>
          <w:lang w:eastAsia="zh-CN"/>
        </w:rPr>
      </w:pPr>
    </w:p>
    <w:p w14:paraId="572D8FA7" w14:textId="77777777" w:rsidR="00D70403" w:rsidRDefault="005175B2">
      <w:pPr>
        <w:pStyle w:val="Proposal"/>
        <w:rPr>
          <w:lang w:eastAsia="zh-CN"/>
        </w:rPr>
      </w:pPr>
      <w:r>
        <w:rPr>
          <w:u w:val="single"/>
          <w:lang w:eastAsia="zh-CN"/>
        </w:rPr>
        <w:lastRenderedPageBreak/>
        <w:t>NOC</w:t>
      </w:r>
      <w:r>
        <w:rPr>
          <w:lang w:eastAsia="zh-CN"/>
        </w:rPr>
        <w:tab/>
        <w:t>EUR/65A22A7/8</w:t>
      </w:r>
      <w:r>
        <w:rPr>
          <w:vanish/>
          <w:color w:val="7F7F7F" w:themeColor="text1" w:themeTint="80"/>
          <w:vertAlign w:val="superscript"/>
          <w:lang w:eastAsia="zh-CN"/>
        </w:rPr>
        <w:t>#2031</w:t>
      </w:r>
    </w:p>
    <w:p w14:paraId="09ECE7D1" w14:textId="77777777" w:rsidR="001E1A76" w:rsidRDefault="005175B2" w:rsidP="00B9497C">
      <w:pPr>
        <w:rPr>
          <w:lang w:eastAsia="zh-CN"/>
        </w:rPr>
      </w:pPr>
      <w:r w:rsidRPr="009F73AD">
        <w:rPr>
          <w:rStyle w:val="Provsplit"/>
        </w:rPr>
        <w:t>7.6</w:t>
      </w:r>
      <w:r w:rsidRPr="0051500B">
        <w:rPr>
          <w:lang w:eastAsia="zh-CN"/>
        </w:rPr>
        <w:tab/>
      </w:r>
      <w:r>
        <w:rPr>
          <w:rFonts w:hint="eastAsia"/>
          <w:lang w:eastAsia="zh-CN"/>
        </w:rPr>
        <w:t>如根据第</w:t>
      </w:r>
      <w:r w:rsidRPr="0051500B">
        <w:rPr>
          <w:lang w:eastAsia="zh-CN"/>
        </w:rPr>
        <w:t>7.5</w:t>
      </w:r>
      <w:r>
        <w:rPr>
          <w:rFonts w:hint="eastAsia"/>
          <w:lang w:eastAsia="zh-CN"/>
        </w:rPr>
        <w:t>段进行的审查结果合格，则无线电通信局须将国际电联新成员国的国家分配登入规划，并在</w:t>
      </w:r>
      <w:r w:rsidRPr="0051500B">
        <w:rPr>
          <w:lang w:eastAsia="zh-CN"/>
        </w:rPr>
        <w:t>BR IFIC</w:t>
      </w:r>
      <w:r>
        <w:rPr>
          <w:rFonts w:hint="eastAsia"/>
          <w:lang w:eastAsia="zh-CN"/>
        </w:rPr>
        <w:t>的特节中公布相关分配的特性、审查结果及更新后的参考形势。</w:t>
      </w:r>
    </w:p>
    <w:p w14:paraId="6085F0D9" w14:textId="77777777" w:rsidR="00D70403" w:rsidRDefault="00D70403">
      <w:pPr>
        <w:pStyle w:val="Reasons"/>
        <w:rPr>
          <w:lang w:eastAsia="zh-CN"/>
        </w:rPr>
      </w:pPr>
    </w:p>
    <w:p w14:paraId="0D75B051" w14:textId="77777777" w:rsidR="00D70403" w:rsidRDefault="005175B2">
      <w:pPr>
        <w:pStyle w:val="Proposal"/>
        <w:rPr>
          <w:lang w:eastAsia="zh-CN"/>
        </w:rPr>
      </w:pPr>
      <w:r>
        <w:rPr>
          <w:lang w:eastAsia="zh-CN"/>
        </w:rPr>
        <w:t>MOD</w:t>
      </w:r>
      <w:r>
        <w:rPr>
          <w:lang w:eastAsia="zh-CN"/>
        </w:rPr>
        <w:tab/>
        <w:t>EUR/65A22A7/9</w:t>
      </w:r>
      <w:r>
        <w:rPr>
          <w:vanish/>
          <w:color w:val="7F7F7F" w:themeColor="text1" w:themeTint="80"/>
          <w:vertAlign w:val="superscript"/>
          <w:lang w:eastAsia="zh-CN"/>
        </w:rPr>
        <w:t>#2032</w:t>
      </w:r>
    </w:p>
    <w:p w14:paraId="76F9D416" w14:textId="798E0E70" w:rsidR="001E1A76" w:rsidRPr="009F73AD" w:rsidRDefault="005175B2" w:rsidP="00B9497C">
      <w:pPr>
        <w:rPr>
          <w:spacing w:val="-2"/>
          <w:lang w:eastAsia="zh-CN"/>
        </w:rPr>
      </w:pPr>
      <w:r w:rsidRPr="009F73AD">
        <w:rPr>
          <w:rStyle w:val="Provsplit"/>
        </w:rPr>
        <w:t>7.7</w:t>
      </w:r>
      <w:r w:rsidRPr="00A66C7F">
        <w:rPr>
          <w:lang w:eastAsia="zh-CN"/>
        </w:rPr>
        <w:tab/>
      </w:r>
      <w:r w:rsidRPr="000E5CF7">
        <w:rPr>
          <w:rFonts w:hint="eastAsia"/>
          <w:spacing w:val="-2"/>
          <w:lang w:eastAsia="zh-CN"/>
        </w:rPr>
        <w:t>当无线电通信局根据第</w:t>
      </w:r>
      <w:r w:rsidRPr="000E5CF7">
        <w:rPr>
          <w:rFonts w:hint="eastAsia"/>
          <w:spacing w:val="-2"/>
          <w:lang w:eastAsia="zh-CN"/>
        </w:rPr>
        <w:t>7.</w:t>
      </w:r>
      <w:r w:rsidRPr="000E5CF7">
        <w:rPr>
          <w:spacing w:val="-2"/>
          <w:lang w:eastAsia="zh-CN"/>
        </w:rPr>
        <w:t>5</w:t>
      </w:r>
      <w:r w:rsidRPr="000E5CF7">
        <w:rPr>
          <w:rFonts w:hint="eastAsia"/>
          <w:spacing w:val="-2"/>
          <w:lang w:eastAsia="zh-CN"/>
        </w:rPr>
        <w:t>段审查的结果为不合格时，建议的成员国分配须被视为根据第</w:t>
      </w:r>
      <w:r w:rsidRPr="000E5CF7">
        <w:rPr>
          <w:spacing w:val="-2"/>
          <w:lang w:eastAsia="zh-CN"/>
        </w:rPr>
        <w:t>6.1</w:t>
      </w:r>
      <w:r w:rsidRPr="000E5CF7">
        <w:rPr>
          <w:rFonts w:hint="eastAsia"/>
          <w:spacing w:val="-2"/>
          <w:lang w:eastAsia="zh-CN"/>
        </w:rPr>
        <w:t>段提交的资料，并须由无线电通信局先于根据第</w:t>
      </w:r>
      <w:r w:rsidRPr="000E5CF7">
        <w:rPr>
          <w:rFonts w:hint="eastAsia"/>
          <w:spacing w:val="-2"/>
          <w:lang w:eastAsia="zh-CN"/>
        </w:rPr>
        <w:t>6</w:t>
      </w:r>
      <w:r w:rsidRPr="000E5CF7">
        <w:rPr>
          <w:rFonts w:hint="eastAsia"/>
          <w:spacing w:val="-2"/>
          <w:lang w:eastAsia="zh-CN"/>
        </w:rPr>
        <w:t>条收到的任何其它资料（无线电通信局按照第</w:t>
      </w:r>
      <w:r w:rsidRPr="000E5CF7">
        <w:rPr>
          <w:spacing w:val="-2"/>
          <w:lang w:eastAsia="zh-CN"/>
        </w:rPr>
        <w:t>7.5</w:t>
      </w:r>
      <w:r w:rsidRPr="000E5CF7">
        <w:rPr>
          <w:rFonts w:hint="eastAsia"/>
          <w:spacing w:val="-2"/>
          <w:lang w:eastAsia="zh-CN"/>
        </w:rPr>
        <w:t>段完成对新成员国要求的审查后，已根据第</w:t>
      </w:r>
      <w:r w:rsidRPr="000E5CF7">
        <w:rPr>
          <w:spacing w:val="-2"/>
          <w:lang w:eastAsia="zh-CN"/>
        </w:rPr>
        <w:t>6.5</w:t>
      </w:r>
      <w:r w:rsidRPr="000E5CF7">
        <w:rPr>
          <w:rFonts w:hint="eastAsia"/>
          <w:spacing w:val="-2"/>
          <w:lang w:eastAsia="zh-CN"/>
        </w:rPr>
        <w:t>段进行审查的申报资料除外）进行处理。</w:t>
      </w:r>
      <w:ins w:id="34" w:author="Tao, Yingsheng" w:date="2022-11-16T12:44:00Z">
        <w:r w:rsidRPr="000A4E20">
          <w:rPr>
            <w:rFonts w:hint="eastAsia"/>
            <w:spacing w:val="-2"/>
            <w:lang w:eastAsia="zh-CN"/>
          </w:rPr>
          <w:t>在</w:t>
        </w:r>
      </w:ins>
      <w:ins w:id="35" w:author="Tao, Yingsheng" w:date="2022-11-17T15:22:00Z">
        <w:r>
          <w:rPr>
            <w:rFonts w:hint="eastAsia"/>
            <w:spacing w:val="-2"/>
            <w:lang w:eastAsia="zh-CN"/>
          </w:rPr>
          <w:t>针对</w:t>
        </w:r>
      </w:ins>
      <w:ins w:id="36" w:author="Tao, Yingsheng" w:date="2022-11-16T12:44:00Z">
        <w:r w:rsidRPr="000A4E20">
          <w:rPr>
            <w:rFonts w:hint="eastAsia"/>
            <w:spacing w:val="-2"/>
            <w:lang w:eastAsia="zh-CN"/>
          </w:rPr>
          <w:t>国际电联</w:t>
        </w:r>
      </w:ins>
      <w:ins w:id="37" w:author="Tao, Yingsheng" w:date="2022-11-17T15:22:00Z">
        <w:r w:rsidRPr="000A4E20">
          <w:rPr>
            <w:rFonts w:hint="eastAsia"/>
            <w:spacing w:val="-2"/>
            <w:lang w:eastAsia="zh-CN"/>
          </w:rPr>
          <w:t>新</w:t>
        </w:r>
      </w:ins>
      <w:ins w:id="38" w:author="Tao, Yingsheng" w:date="2022-11-16T12:44:00Z">
        <w:r w:rsidRPr="000A4E20">
          <w:rPr>
            <w:rFonts w:hint="eastAsia"/>
            <w:spacing w:val="-2"/>
            <w:lang w:eastAsia="zh-CN"/>
          </w:rPr>
          <w:t>成员国</w:t>
        </w:r>
      </w:ins>
      <w:ins w:id="39" w:author="Tao, Yingsheng" w:date="2022-11-17T15:23:00Z">
        <w:r>
          <w:rPr>
            <w:rFonts w:hint="eastAsia"/>
            <w:spacing w:val="-2"/>
            <w:lang w:eastAsia="zh-CN"/>
          </w:rPr>
          <w:t>拟议</w:t>
        </w:r>
      </w:ins>
      <w:ins w:id="40" w:author="Tao, Yingsheng" w:date="2022-11-16T12:44:00Z">
        <w:r w:rsidRPr="000A4E20">
          <w:rPr>
            <w:rFonts w:hint="eastAsia"/>
            <w:spacing w:val="-2"/>
            <w:lang w:eastAsia="zh-CN"/>
          </w:rPr>
          <w:t>分配</w:t>
        </w:r>
      </w:ins>
      <w:ins w:id="41" w:author="Tao, Yingsheng" w:date="2022-11-17T15:23:00Z">
        <w:r>
          <w:rPr>
            <w:rFonts w:hint="eastAsia"/>
            <w:spacing w:val="-2"/>
            <w:lang w:eastAsia="zh-CN"/>
          </w:rPr>
          <w:t>的</w:t>
        </w:r>
        <w:r w:rsidRPr="000A4E20">
          <w:rPr>
            <w:rFonts w:hint="eastAsia"/>
            <w:spacing w:val="-2"/>
            <w:lang w:eastAsia="zh-CN"/>
          </w:rPr>
          <w:t>第</w:t>
        </w:r>
        <w:r w:rsidRPr="000A4E20">
          <w:rPr>
            <w:rFonts w:hint="eastAsia"/>
            <w:spacing w:val="-2"/>
            <w:lang w:eastAsia="zh-CN"/>
          </w:rPr>
          <w:t>6</w:t>
        </w:r>
        <w:r w:rsidRPr="000A4E20">
          <w:rPr>
            <w:rFonts w:hint="eastAsia"/>
            <w:spacing w:val="-2"/>
            <w:lang w:eastAsia="zh-CN"/>
          </w:rPr>
          <w:t>条程序中</w:t>
        </w:r>
      </w:ins>
      <w:ins w:id="42" w:author="Tao, Yingsheng" w:date="2022-11-16T12:44:00Z">
        <w:r w:rsidRPr="000A4E20">
          <w:rPr>
            <w:rFonts w:hint="eastAsia"/>
            <w:spacing w:val="-2"/>
            <w:lang w:eastAsia="zh-CN"/>
          </w:rPr>
          <w:t>，</w:t>
        </w:r>
      </w:ins>
      <w:ins w:id="43" w:author="Tao, Yingsheng" w:date="2022-11-17T15:23:00Z">
        <w:r>
          <w:rPr>
            <w:rFonts w:hint="eastAsia"/>
            <w:spacing w:val="-2"/>
            <w:lang w:eastAsia="zh-CN"/>
          </w:rPr>
          <w:t>须</w:t>
        </w:r>
      </w:ins>
      <w:ins w:id="44" w:author="Tao, Yingsheng" w:date="2022-11-16T12:44:00Z">
        <w:r w:rsidRPr="000A4E20">
          <w:rPr>
            <w:rFonts w:hint="eastAsia"/>
            <w:spacing w:val="-2"/>
            <w:lang w:eastAsia="zh-CN"/>
          </w:rPr>
          <w:t>适用</w:t>
        </w:r>
      </w:ins>
      <w:ins w:id="45" w:author="Tao, Yingsheng" w:date="2022-11-17T15:23:00Z">
        <w:r w:rsidRPr="000A4E20">
          <w:rPr>
            <w:rFonts w:hint="eastAsia"/>
            <w:lang w:eastAsia="zh-CN"/>
          </w:rPr>
          <w:t>第</w:t>
        </w:r>
        <w:r w:rsidRPr="00CB4EF3">
          <w:rPr>
            <w:rFonts w:hint="eastAsia"/>
            <w:b/>
            <w:bCs/>
            <w:lang w:eastAsia="zh-CN"/>
          </w:rPr>
          <w:t>170</w:t>
        </w:r>
        <w:r w:rsidRPr="000A4E20">
          <w:rPr>
            <w:rFonts w:hint="eastAsia"/>
            <w:lang w:eastAsia="zh-CN"/>
          </w:rPr>
          <w:t>号决议</w:t>
        </w:r>
        <w:r w:rsidRPr="005D5E0A">
          <w:rPr>
            <w:rFonts w:hint="eastAsia"/>
            <w:b/>
            <w:bCs/>
            <w:lang w:eastAsia="zh-CN"/>
          </w:rPr>
          <w:t>（</w:t>
        </w:r>
        <w:r w:rsidRPr="005D5E0A">
          <w:rPr>
            <w:rFonts w:hint="eastAsia"/>
            <w:b/>
            <w:bCs/>
            <w:lang w:eastAsia="zh-CN"/>
          </w:rPr>
          <w:t>WRC</w:t>
        </w:r>
      </w:ins>
      <w:ins w:id="46" w:author="LI, Ziqian" w:date="2022-11-18T14:44:00Z">
        <w:r>
          <w:rPr>
            <w:b/>
            <w:bCs/>
            <w:lang w:eastAsia="zh-CN"/>
          </w:rPr>
          <w:noBreakHyphen/>
        </w:r>
      </w:ins>
      <w:ins w:id="47" w:author="Cai, Yunyi" w:date="2023-11-11T16:46:00Z">
        <w:r w:rsidR="0049762E" w:rsidRPr="00597BE5">
          <w:rPr>
            <w:b/>
            <w:bCs/>
            <w:lang w:eastAsia="ko-KR"/>
          </w:rPr>
          <w:t>23</w:t>
        </w:r>
      </w:ins>
      <w:ins w:id="48" w:author="Han, Jie" w:date="2023-11-09T20:45:00Z">
        <w:r w:rsidR="000F1B60" w:rsidRPr="000F1B60">
          <w:rPr>
            <w:rFonts w:hint="eastAsia"/>
            <w:b/>
            <w:bCs/>
            <w:lang w:eastAsia="zh-CN"/>
          </w:rPr>
          <w:t>，修订版</w:t>
        </w:r>
      </w:ins>
      <w:ins w:id="49" w:author="Tao, Yingsheng" w:date="2022-11-17T15:23:00Z">
        <w:r w:rsidRPr="005D5E0A">
          <w:rPr>
            <w:rFonts w:hint="eastAsia"/>
            <w:b/>
            <w:bCs/>
            <w:lang w:eastAsia="zh-CN"/>
          </w:rPr>
          <w:t>）</w:t>
        </w:r>
        <w:r w:rsidRPr="009E3FDB">
          <w:rPr>
            <w:rFonts w:hint="eastAsia"/>
            <w:lang w:eastAsia="zh-CN"/>
          </w:rPr>
          <w:t>后附资料</w:t>
        </w:r>
        <w:r>
          <w:rPr>
            <w:rFonts w:hint="eastAsia"/>
            <w:lang w:eastAsia="zh-CN"/>
          </w:rPr>
          <w:t>1</w:t>
        </w:r>
      </w:ins>
      <w:ins w:id="50" w:author="Tao, Yingsheng" w:date="2022-11-18T10:29:00Z">
        <w:r>
          <w:rPr>
            <w:rFonts w:hint="eastAsia"/>
            <w:lang w:eastAsia="zh-CN"/>
          </w:rPr>
          <w:t>的</w:t>
        </w:r>
      </w:ins>
      <w:ins w:id="51" w:author="Tao, Yingsheng" w:date="2022-11-16T12:44:00Z">
        <w:r w:rsidRPr="000A4E20">
          <w:rPr>
            <w:rFonts w:hint="eastAsia"/>
            <w:spacing w:val="-2"/>
            <w:lang w:eastAsia="zh-CN"/>
          </w:rPr>
          <w:t>第</w:t>
        </w:r>
        <w:r w:rsidRPr="000A4E20">
          <w:rPr>
            <w:rFonts w:hint="eastAsia"/>
            <w:spacing w:val="-2"/>
            <w:lang w:eastAsia="zh-CN"/>
          </w:rPr>
          <w:t>8</w:t>
        </w:r>
        <w:r w:rsidRPr="000A4E20">
          <w:rPr>
            <w:rFonts w:hint="eastAsia"/>
            <w:spacing w:val="-2"/>
            <w:lang w:eastAsia="zh-CN"/>
          </w:rPr>
          <w:t>和第</w:t>
        </w:r>
        <w:r w:rsidRPr="000A4E20">
          <w:rPr>
            <w:rFonts w:hint="eastAsia"/>
            <w:spacing w:val="-2"/>
            <w:lang w:eastAsia="zh-CN"/>
          </w:rPr>
          <w:t>9</w:t>
        </w:r>
      </w:ins>
      <w:ins w:id="52" w:author="Tao, Yingsheng" w:date="2022-11-17T15:24:00Z">
        <w:r>
          <w:rPr>
            <w:rFonts w:hint="eastAsia"/>
            <w:spacing w:val="-2"/>
            <w:lang w:eastAsia="zh-CN"/>
          </w:rPr>
          <w:t>段</w:t>
        </w:r>
      </w:ins>
      <w:ins w:id="53" w:author="Tao, Yingsheng" w:date="2022-11-16T12:44:00Z">
        <w:r w:rsidRPr="000A4E20">
          <w:rPr>
            <w:rFonts w:hint="eastAsia"/>
            <w:spacing w:val="-2"/>
            <w:lang w:eastAsia="zh-CN"/>
          </w:rPr>
          <w:t>中包含的附加条款</w:t>
        </w:r>
      </w:ins>
      <w:ins w:id="54" w:author="Tao, Yingsheng" w:date="2022-11-17T15:25:00Z">
        <w:r>
          <w:rPr>
            <w:rFonts w:hint="eastAsia"/>
            <w:spacing w:val="-2"/>
            <w:lang w:eastAsia="zh-CN"/>
          </w:rPr>
          <w:t>，</w:t>
        </w:r>
      </w:ins>
      <w:ins w:id="55" w:author="Han, Jie" w:date="2023-11-09T20:45:00Z">
        <w:r w:rsidR="00AE0D56">
          <w:rPr>
            <w:rFonts w:hint="eastAsia"/>
            <w:spacing w:val="-2"/>
            <w:lang w:eastAsia="zh-CN"/>
          </w:rPr>
          <w:t>且附件</w:t>
        </w:r>
        <w:r w:rsidR="00AE0D56">
          <w:rPr>
            <w:rFonts w:hint="eastAsia"/>
            <w:spacing w:val="-2"/>
            <w:lang w:eastAsia="zh-CN"/>
          </w:rPr>
          <w:t>7</w:t>
        </w:r>
        <w:r w:rsidR="00AE0D56" w:rsidRPr="000A4E20">
          <w:rPr>
            <w:rFonts w:hint="eastAsia"/>
            <w:spacing w:val="-2"/>
            <w:lang w:eastAsia="zh-CN"/>
          </w:rPr>
          <w:t>中规定的</w:t>
        </w:r>
        <w:r w:rsidR="00AE0D56">
          <w:rPr>
            <w:rFonts w:hint="eastAsia"/>
            <w:spacing w:val="-2"/>
            <w:lang w:eastAsia="zh-CN"/>
          </w:rPr>
          <w:t>措施和</w:t>
        </w:r>
      </w:ins>
      <w:ins w:id="56" w:author="Tao, Yingsheng" w:date="2022-11-16T12:44:00Z">
        <w:r w:rsidRPr="000A4E20">
          <w:rPr>
            <w:rFonts w:hint="eastAsia"/>
            <w:spacing w:val="-2"/>
            <w:lang w:eastAsia="zh-CN"/>
          </w:rPr>
          <w:t>相关技术标准</w:t>
        </w:r>
      </w:ins>
      <w:ins w:id="57" w:author="Tao, Yingsheng" w:date="2022-11-17T15:25:00Z">
        <w:r>
          <w:rPr>
            <w:rFonts w:hint="eastAsia"/>
            <w:spacing w:val="-2"/>
            <w:lang w:eastAsia="zh-CN"/>
          </w:rPr>
          <w:t>须用于</w:t>
        </w:r>
      </w:ins>
      <w:ins w:id="58" w:author="Tao, Yingsheng" w:date="2022-11-16T12:44:00Z">
        <w:r w:rsidRPr="000A4E20">
          <w:rPr>
            <w:rFonts w:hint="eastAsia"/>
            <w:spacing w:val="-2"/>
            <w:lang w:eastAsia="zh-CN"/>
          </w:rPr>
          <w:t>第</w:t>
        </w:r>
        <w:r w:rsidRPr="000A4E20">
          <w:rPr>
            <w:rFonts w:hint="eastAsia"/>
            <w:spacing w:val="-2"/>
            <w:lang w:eastAsia="zh-CN"/>
          </w:rPr>
          <w:t>6</w:t>
        </w:r>
        <w:r w:rsidRPr="000A4E20">
          <w:rPr>
            <w:rFonts w:hint="eastAsia"/>
            <w:spacing w:val="-2"/>
            <w:lang w:eastAsia="zh-CN"/>
          </w:rPr>
          <w:t>条各个阶段的技术审查。</w:t>
        </w:r>
      </w:ins>
    </w:p>
    <w:p w14:paraId="694A46D4" w14:textId="77777777" w:rsidR="00D70403" w:rsidRDefault="00D70403">
      <w:pPr>
        <w:pStyle w:val="Reasons"/>
        <w:rPr>
          <w:lang w:eastAsia="zh-CN"/>
        </w:rPr>
      </w:pPr>
    </w:p>
    <w:p w14:paraId="618C1026" w14:textId="77777777" w:rsidR="00D70403" w:rsidRDefault="005175B2">
      <w:pPr>
        <w:pStyle w:val="Proposal"/>
      </w:pPr>
      <w:r>
        <w:t>ADD</w:t>
      </w:r>
      <w:r>
        <w:tab/>
        <w:t>EUR/65A22A7/10</w:t>
      </w:r>
    </w:p>
    <w:p w14:paraId="59A5A5A7" w14:textId="33A2F26C" w:rsidR="004435BE" w:rsidRPr="00597BE5" w:rsidRDefault="00A27427" w:rsidP="004435BE">
      <w:pPr>
        <w:pStyle w:val="AnnexNo"/>
        <w:rPr>
          <w:caps w:val="0"/>
          <w:sz w:val="16"/>
          <w:szCs w:val="16"/>
        </w:rPr>
      </w:pPr>
      <w:bookmarkStart w:id="59" w:name="_Toc330560583"/>
      <w:bookmarkStart w:id="60" w:name="_Toc42084232"/>
      <w:r>
        <w:rPr>
          <w:rFonts w:hint="eastAsia"/>
          <w:lang w:eastAsia="zh-CN"/>
        </w:rPr>
        <w:t>附件</w:t>
      </w:r>
      <w:r w:rsidR="004435BE" w:rsidRPr="00597BE5">
        <w:t>7</w:t>
      </w:r>
      <w:r w:rsidR="00237AD4">
        <w:rPr>
          <w:rFonts w:hint="eastAsia"/>
          <w:caps w:val="0"/>
          <w:sz w:val="16"/>
          <w:szCs w:val="16"/>
          <w:lang w:eastAsia="zh-CN"/>
        </w:rPr>
        <w:t>（</w:t>
      </w:r>
      <w:r w:rsidR="004435BE" w:rsidRPr="00597BE5">
        <w:rPr>
          <w:caps w:val="0"/>
          <w:sz w:val="16"/>
          <w:szCs w:val="16"/>
        </w:rPr>
        <w:t>WRC</w:t>
      </w:r>
      <w:r w:rsidR="004435BE" w:rsidRPr="00597BE5">
        <w:rPr>
          <w:caps w:val="0"/>
          <w:sz w:val="16"/>
          <w:szCs w:val="16"/>
        </w:rPr>
        <w:noBreakHyphen/>
        <w:t>23</w:t>
      </w:r>
      <w:bookmarkEnd w:id="59"/>
      <w:bookmarkEnd w:id="60"/>
      <w:r w:rsidR="00237AD4">
        <w:rPr>
          <w:rFonts w:hint="eastAsia"/>
          <w:caps w:val="0"/>
          <w:sz w:val="16"/>
          <w:szCs w:val="16"/>
          <w:lang w:eastAsia="zh-CN"/>
        </w:rPr>
        <w:t>）</w:t>
      </w:r>
      <w:bookmarkStart w:id="61" w:name="_GoBack"/>
      <w:bookmarkEnd w:id="61"/>
    </w:p>
    <w:p w14:paraId="42D0CB23" w14:textId="26E1118D" w:rsidR="004435BE" w:rsidRPr="00597BE5" w:rsidRDefault="00A27427" w:rsidP="004435BE">
      <w:pPr>
        <w:pStyle w:val="Annextitle"/>
        <w:rPr>
          <w:lang w:eastAsia="zh-CN"/>
        </w:rPr>
      </w:pPr>
      <w:r w:rsidRPr="00A27427">
        <w:rPr>
          <w:rFonts w:hint="eastAsia"/>
          <w:lang w:eastAsia="zh-CN"/>
        </w:rPr>
        <w:t>方便</w:t>
      </w:r>
      <w:r w:rsidR="00B36DE1" w:rsidRPr="00B36DE1">
        <w:rPr>
          <w:rFonts w:hint="eastAsia"/>
          <w:lang w:eastAsia="zh-CN"/>
        </w:rPr>
        <w:t>为国际电联新成员国在规划中添加新分配</w:t>
      </w:r>
      <w:r w:rsidRPr="00A27427">
        <w:rPr>
          <w:rFonts w:hint="eastAsia"/>
          <w:lang w:eastAsia="zh-CN"/>
        </w:rPr>
        <w:t>的附加措施</w:t>
      </w:r>
    </w:p>
    <w:p w14:paraId="5F0DE4E4" w14:textId="4BEE1B85" w:rsidR="004435BE" w:rsidRPr="00597BE5" w:rsidRDefault="00B36DE1" w:rsidP="00EF26EE">
      <w:pPr>
        <w:ind w:firstLineChars="200" w:firstLine="480"/>
        <w:rPr>
          <w:lang w:eastAsia="zh-CN"/>
        </w:rPr>
      </w:pPr>
      <w:r w:rsidRPr="00B36DE1">
        <w:rPr>
          <w:rFonts w:hint="eastAsia"/>
          <w:lang w:eastAsia="zh-CN"/>
        </w:rPr>
        <w:t>对于根据第</w:t>
      </w:r>
      <w:r w:rsidRPr="00B36DE1">
        <w:rPr>
          <w:rFonts w:hint="eastAsia"/>
          <w:lang w:eastAsia="zh-CN"/>
        </w:rPr>
        <w:t>7</w:t>
      </w:r>
      <w:r w:rsidRPr="00B36DE1">
        <w:rPr>
          <w:rFonts w:hint="eastAsia"/>
          <w:lang w:eastAsia="zh-CN"/>
        </w:rPr>
        <w:t>条提出的新分配请求，无线电通信局和各主管部门须采取以下附加措施：</w:t>
      </w:r>
    </w:p>
    <w:p w14:paraId="3312DD3D" w14:textId="311FF0DB" w:rsidR="004435BE" w:rsidRPr="00597BE5" w:rsidRDefault="004435BE" w:rsidP="004435BE">
      <w:pPr>
        <w:pStyle w:val="enumlev1"/>
        <w:rPr>
          <w:rFonts w:eastAsia="MS Mincho"/>
          <w:lang w:eastAsia="zh-CN"/>
        </w:rPr>
      </w:pPr>
      <w:r w:rsidRPr="00597BE5">
        <w:rPr>
          <w:rFonts w:eastAsia="MS Mincho"/>
          <w:i/>
          <w:iCs/>
          <w:lang w:eastAsia="zh-CN"/>
        </w:rPr>
        <w:t>a)</w:t>
      </w:r>
      <w:r w:rsidRPr="00597BE5">
        <w:rPr>
          <w:rFonts w:eastAsia="MS Mincho"/>
          <w:i/>
          <w:iCs/>
          <w:lang w:eastAsia="zh-CN"/>
        </w:rPr>
        <w:tab/>
      </w:r>
      <w:r w:rsidR="00921FF8" w:rsidRPr="00921FF8">
        <w:rPr>
          <w:rFonts w:hint="eastAsia"/>
          <w:lang w:eastAsia="zh-CN"/>
        </w:rPr>
        <w:t>拟议新分配的功率密度须限制在</w:t>
      </w:r>
      <w:r w:rsidR="00F15F7B">
        <w:rPr>
          <w:rFonts w:hint="eastAsia"/>
          <w:lang w:eastAsia="zh-CN"/>
        </w:rPr>
        <w:t>符合</w:t>
      </w:r>
      <w:r w:rsidR="00921FF8" w:rsidRPr="00921FF8">
        <w:rPr>
          <w:rFonts w:hint="eastAsia"/>
          <w:lang w:eastAsia="zh-CN"/>
        </w:rPr>
        <w:t>载噪比（</w:t>
      </w:r>
      <w:r w:rsidR="00921FF8" w:rsidRPr="0049762E">
        <w:rPr>
          <w:rFonts w:hint="eastAsia"/>
          <w:i/>
          <w:iCs/>
          <w:lang w:eastAsia="zh-CN"/>
        </w:rPr>
        <w:t>C/N</w:t>
      </w:r>
      <w:r w:rsidR="00921FF8" w:rsidRPr="00921FF8">
        <w:rPr>
          <w:rFonts w:hint="eastAsia"/>
          <w:lang w:eastAsia="zh-CN"/>
        </w:rPr>
        <w:t>）目标的最小值和附录</w:t>
      </w:r>
      <w:r w:rsidR="00921FF8" w:rsidRPr="00921FF8">
        <w:rPr>
          <w:rFonts w:hint="eastAsia"/>
          <w:b/>
          <w:bCs/>
          <w:lang w:eastAsia="zh-CN"/>
        </w:rPr>
        <w:t>30B</w:t>
      </w:r>
      <w:r w:rsidR="00921FF8" w:rsidRPr="00921FF8">
        <w:rPr>
          <w:rFonts w:hint="eastAsia"/>
          <w:lang w:eastAsia="zh-CN"/>
        </w:rPr>
        <w:t>附件</w:t>
      </w:r>
      <w:r w:rsidR="00921FF8" w:rsidRPr="00921FF8">
        <w:rPr>
          <w:rFonts w:hint="eastAsia"/>
          <w:lang w:eastAsia="zh-CN"/>
        </w:rPr>
        <w:t>1</w:t>
      </w:r>
      <w:r w:rsidR="00921FF8" w:rsidRPr="00921FF8">
        <w:rPr>
          <w:rFonts w:hint="eastAsia"/>
          <w:lang w:eastAsia="zh-CN"/>
        </w:rPr>
        <w:t>所述的集总载波干扰值</w:t>
      </w:r>
      <w:r w:rsidR="00921FF8" w:rsidRPr="00921FF8">
        <w:rPr>
          <w:rFonts w:hint="eastAsia"/>
          <w:lang w:eastAsia="zh-CN"/>
        </w:rPr>
        <w:t>21dB</w:t>
      </w:r>
      <w:r w:rsidR="00921FF8" w:rsidRPr="00921FF8">
        <w:rPr>
          <w:rFonts w:hint="eastAsia"/>
          <w:lang w:eastAsia="zh-CN"/>
        </w:rPr>
        <w:t>。</w:t>
      </w:r>
    </w:p>
    <w:p w14:paraId="75BE41E7" w14:textId="113DB35D" w:rsidR="004435BE" w:rsidRPr="00531897" w:rsidRDefault="004435BE" w:rsidP="004435BE">
      <w:pPr>
        <w:pStyle w:val="enumlev1"/>
        <w:rPr>
          <w:lang w:eastAsia="zh-CN"/>
        </w:rPr>
      </w:pPr>
      <w:r w:rsidRPr="00597BE5">
        <w:rPr>
          <w:rFonts w:eastAsia="MS Mincho"/>
          <w:i/>
          <w:iCs/>
          <w:lang w:eastAsia="zh-CN"/>
        </w:rPr>
        <w:t>b)</w:t>
      </w:r>
      <w:r w:rsidRPr="00597BE5">
        <w:rPr>
          <w:rFonts w:eastAsia="MS Mincho"/>
          <w:i/>
          <w:iCs/>
          <w:lang w:eastAsia="zh-CN"/>
        </w:rPr>
        <w:tab/>
      </w:r>
      <w:r w:rsidR="0009382E" w:rsidRPr="0009382E">
        <w:rPr>
          <w:rFonts w:hint="eastAsia"/>
          <w:lang w:eastAsia="zh-CN"/>
        </w:rPr>
        <w:t>须适用第</w:t>
      </w:r>
      <w:r w:rsidR="0009382E" w:rsidRPr="00531897">
        <w:rPr>
          <w:rFonts w:hint="eastAsia"/>
          <w:b/>
          <w:bCs/>
          <w:lang w:eastAsia="zh-CN"/>
        </w:rPr>
        <w:t>170</w:t>
      </w:r>
      <w:r w:rsidR="0009382E" w:rsidRPr="0009382E">
        <w:rPr>
          <w:rFonts w:hint="eastAsia"/>
          <w:lang w:eastAsia="zh-CN"/>
        </w:rPr>
        <w:t>号决议</w:t>
      </w:r>
      <w:r w:rsidR="0009382E" w:rsidRPr="00531897">
        <w:rPr>
          <w:rFonts w:hint="eastAsia"/>
          <w:b/>
          <w:bCs/>
          <w:lang w:eastAsia="zh-CN"/>
        </w:rPr>
        <w:t>（</w:t>
      </w:r>
      <w:r w:rsidR="0009382E" w:rsidRPr="00531897">
        <w:rPr>
          <w:rFonts w:hint="eastAsia"/>
          <w:b/>
          <w:bCs/>
          <w:lang w:eastAsia="zh-CN"/>
        </w:rPr>
        <w:t>WRC-23</w:t>
      </w:r>
      <w:r w:rsidR="0009382E" w:rsidRPr="00531897">
        <w:rPr>
          <w:rFonts w:hint="eastAsia"/>
          <w:b/>
          <w:bCs/>
          <w:lang w:eastAsia="zh-CN"/>
        </w:rPr>
        <w:t>，修订版）</w:t>
      </w:r>
      <w:r w:rsidR="0009382E" w:rsidRPr="0009382E">
        <w:rPr>
          <w:rFonts w:hint="eastAsia"/>
          <w:lang w:eastAsia="zh-CN"/>
        </w:rPr>
        <w:t>后附资料</w:t>
      </w:r>
      <w:r w:rsidR="0009382E" w:rsidRPr="0009382E">
        <w:rPr>
          <w:rFonts w:hint="eastAsia"/>
          <w:lang w:eastAsia="zh-CN"/>
        </w:rPr>
        <w:t>1</w:t>
      </w:r>
      <w:r w:rsidR="0009382E" w:rsidRPr="0009382E">
        <w:rPr>
          <w:rFonts w:hint="eastAsia"/>
          <w:lang w:eastAsia="zh-CN"/>
        </w:rPr>
        <w:t>附录</w:t>
      </w:r>
      <w:r w:rsidR="0009382E" w:rsidRPr="0009382E">
        <w:rPr>
          <w:rFonts w:hint="eastAsia"/>
          <w:lang w:eastAsia="zh-CN"/>
        </w:rPr>
        <w:t>1</w:t>
      </w:r>
      <w:r w:rsidR="0009382E" w:rsidRPr="0009382E">
        <w:rPr>
          <w:rFonts w:hint="eastAsia"/>
          <w:lang w:eastAsia="zh-CN"/>
        </w:rPr>
        <w:t>和</w:t>
      </w:r>
      <w:r w:rsidR="0009382E" w:rsidRPr="0009382E">
        <w:rPr>
          <w:rFonts w:hint="eastAsia"/>
          <w:lang w:eastAsia="zh-CN"/>
        </w:rPr>
        <w:t>2</w:t>
      </w:r>
      <w:r w:rsidR="0009382E" w:rsidRPr="0009382E">
        <w:rPr>
          <w:rFonts w:hint="eastAsia"/>
          <w:lang w:eastAsia="zh-CN"/>
        </w:rPr>
        <w:t>所载标准。</w:t>
      </w:r>
      <w:r w:rsidR="00531897" w:rsidRPr="00531897">
        <w:rPr>
          <w:rFonts w:hint="eastAsia"/>
          <w:lang w:eastAsia="zh-CN"/>
        </w:rPr>
        <w:t>此外，如果满足单入载波干扰比（</w:t>
      </w:r>
      <w:r w:rsidR="00531897" w:rsidRPr="00597BE5">
        <w:rPr>
          <w:rFonts w:eastAsia="MS Mincho"/>
          <w:lang w:eastAsia="zh-CN"/>
        </w:rPr>
        <w:t>(</w:t>
      </w:r>
      <w:r w:rsidR="00531897" w:rsidRPr="00597BE5">
        <w:rPr>
          <w:rFonts w:eastAsia="MS Mincho"/>
          <w:i/>
          <w:iCs/>
          <w:lang w:eastAsia="zh-CN"/>
        </w:rPr>
        <w:t>C</w:t>
      </w:r>
      <w:r w:rsidR="00531897" w:rsidRPr="00597BE5">
        <w:rPr>
          <w:rFonts w:eastAsia="MS Mincho"/>
          <w:lang w:eastAsia="zh-CN"/>
        </w:rPr>
        <w:t>/</w:t>
      </w:r>
      <w:r w:rsidR="00531897" w:rsidRPr="00597BE5">
        <w:rPr>
          <w:rFonts w:eastAsia="MS Mincho"/>
          <w:i/>
          <w:iCs/>
          <w:lang w:eastAsia="zh-CN"/>
        </w:rPr>
        <w:t>I</w:t>
      </w:r>
      <w:r w:rsidR="00531897" w:rsidRPr="00597BE5">
        <w:rPr>
          <w:rFonts w:eastAsia="MS Mincho"/>
          <w:lang w:eastAsia="zh-CN"/>
        </w:rPr>
        <w:t>)</w:t>
      </w:r>
      <w:r w:rsidR="00531897" w:rsidRPr="00597BE5">
        <w:rPr>
          <w:rFonts w:eastAsia="MS Mincho"/>
          <w:i/>
          <w:iCs/>
          <w:vertAlign w:val="subscript"/>
          <w:lang w:eastAsia="zh-CN"/>
        </w:rPr>
        <w:t>d</w:t>
      </w:r>
      <w:r w:rsidR="00531897">
        <w:rPr>
          <w:rFonts w:asciiTheme="minorEastAsia" w:eastAsiaTheme="minorEastAsia" w:hAnsiTheme="minorEastAsia" w:hint="eastAsia"/>
          <w:lang w:eastAsia="zh-CN"/>
        </w:rPr>
        <w:t>和</w:t>
      </w:r>
      <w:r w:rsidR="00531897" w:rsidRPr="00597BE5">
        <w:rPr>
          <w:rFonts w:eastAsia="MS Mincho"/>
          <w:lang w:eastAsia="zh-CN"/>
        </w:rPr>
        <w:t>(</w:t>
      </w:r>
      <w:r w:rsidR="00531897" w:rsidRPr="00597BE5">
        <w:rPr>
          <w:rFonts w:eastAsia="MS Mincho"/>
          <w:i/>
          <w:iCs/>
          <w:lang w:eastAsia="zh-CN"/>
        </w:rPr>
        <w:t>C</w:t>
      </w:r>
      <w:r w:rsidR="00531897" w:rsidRPr="00597BE5">
        <w:rPr>
          <w:rFonts w:eastAsia="MS Mincho"/>
          <w:lang w:eastAsia="zh-CN"/>
        </w:rPr>
        <w:t>/</w:t>
      </w:r>
      <w:r w:rsidR="00531897" w:rsidRPr="00597BE5">
        <w:rPr>
          <w:rFonts w:eastAsia="MS Mincho"/>
          <w:i/>
          <w:iCs/>
          <w:lang w:eastAsia="zh-CN"/>
        </w:rPr>
        <w:t>I</w:t>
      </w:r>
      <w:r w:rsidR="00531897" w:rsidRPr="00597BE5">
        <w:rPr>
          <w:rFonts w:eastAsia="MS Mincho"/>
          <w:lang w:eastAsia="zh-CN"/>
        </w:rPr>
        <w:t>)</w:t>
      </w:r>
      <w:r w:rsidR="00531897" w:rsidRPr="00597BE5">
        <w:rPr>
          <w:rFonts w:eastAsia="MS Mincho"/>
          <w:i/>
          <w:iCs/>
          <w:vertAlign w:val="subscript"/>
          <w:lang w:eastAsia="zh-CN"/>
        </w:rPr>
        <w:t>u</w:t>
      </w:r>
      <w:r w:rsidR="00531897" w:rsidRPr="00531897">
        <w:rPr>
          <w:rFonts w:hint="eastAsia"/>
          <w:lang w:eastAsia="zh-CN"/>
        </w:rPr>
        <w:t>）或总体集总载波干扰比（</w:t>
      </w:r>
      <w:r w:rsidR="00531897" w:rsidRPr="00597BE5">
        <w:rPr>
          <w:rFonts w:eastAsia="MS Mincho"/>
          <w:lang w:eastAsia="zh-CN"/>
        </w:rPr>
        <w:t>(</w:t>
      </w:r>
      <w:r w:rsidR="00531897" w:rsidRPr="00597BE5">
        <w:rPr>
          <w:rFonts w:eastAsia="MS Mincho"/>
          <w:i/>
          <w:iCs/>
          <w:lang w:eastAsia="zh-CN"/>
        </w:rPr>
        <w:t>C</w:t>
      </w:r>
      <w:r w:rsidR="00531897" w:rsidRPr="00597BE5">
        <w:rPr>
          <w:rFonts w:eastAsia="MS Mincho"/>
          <w:lang w:eastAsia="zh-CN"/>
        </w:rPr>
        <w:t>/</w:t>
      </w:r>
      <w:r w:rsidR="00531897" w:rsidRPr="00597BE5">
        <w:rPr>
          <w:rFonts w:eastAsia="MS Mincho"/>
          <w:i/>
          <w:iCs/>
          <w:lang w:eastAsia="zh-CN"/>
        </w:rPr>
        <w:t>I</w:t>
      </w:r>
      <w:r w:rsidR="00531897" w:rsidRPr="00597BE5">
        <w:rPr>
          <w:rFonts w:eastAsia="MS Mincho"/>
          <w:lang w:eastAsia="zh-CN"/>
        </w:rPr>
        <w:t>)</w:t>
      </w:r>
      <w:r w:rsidR="00531897" w:rsidRPr="00597BE5">
        <w:rPr>
          <w:rFonts w:eastAsia="MS Mincho"/>
          <w:i/>
          <w:iCs/>
          <w:vertAlign w:val="subscript"/>
          <w:lang w:eastAsia="zh-CN"/>
        </w:rPr>
        <w:t>agg</w:t>
      </w:r>
      <w:r w:rsidR="00531897" w:rsidRPr="00531897">
        <w:rPr>
          <w:rFonts w:hint="eastAsia"/>
          <w:lang w:eastAsia="zh-CN"/>
        </w:rPr>
        <w:t>）要求，则该指配不得被视为受到影响。当拟议的新分配登入列表和</w:t>
      </w:r>
      <w:r w:rsidR="00531897" w:rsidRPr="00531897">
        <w:rPr>
          <w:rFonts w:hint="eastAsia"/>
          <w:lang w:eastAsia="zh-CN"/>
        </w:rPr>
        <w:t>/</w:t>
      </w:r>
      <w:r w:rsidR="00531897" w:rsidRPr="00531897">
        <w:rPr>
          <w:rFonts w:hint="eastAsia"/>
          <w:lang w:eastAsia="zh-CN"/>
        </w:rPr>
        <w:t>或规划时，无线电通信局不得更新根据第</w:t>
      </w:r>
      <w:r w:rsidR="00531897" w:rsidRPr="00531897">
        <w:rPr>
          <w:rFonts w:hint="eastAsia"/>
          <w:b/>
          <w:bCs/>
          <w:lang w:eastAsia="zh-CN"/>
        </w:rPr>
        <w:t>170</w:t>
      </w:r>
      <w:r w:rsidR="00531897" w:rsidRPr="00531897">
        <w:rPr>
          <w:rFonts w:hint="eastAsia"/>
          <w:lang w:eastAsia="zh-CN"/>
        </w:rPr>
        <w:t>号决议</w:t>
      </w:r>
      <w:r w:rsidR="00531897" w:rsidRPr="00531897">
        <w:rPr>
          <w:rFonts w:hint="eastAsia"/>
          <w:b/>
          <w:bCs/>
          <w:lang w:eastAsia="zh-CN"/>
        </w:rPr>
        <w:t>（</w:t>
      </w:r>
      <w:r w:rsidR="00531897" w:rsidRPr="00531897">
        <w:rPr>
          <w:rFonts w:hint="eastAsia"/>
          <w:b/>
          <w:bCs/>
          <w:lang w:eastAsia="zh-CN"/>
        </w:rPr>
        <w:t>WRC-23</w:t>
      </w:r>
      <w:r w:rsidR="00531897" w:rsidRPr="00531897">
        <w:rPr>
          <w:rFonts w:hint="eastAsia"/>
          <w:b/>
          <w:bCs/>
          <w:lang w:eastAsia="zh-CN"/>
        </w:rPr>
        <w:t>，修订版）</w:t>
      </w:r>
      <w:r w:rsidR="00531897" w:rsidRPr="00531897">
        <w:rPr>
          <w:rFonts w:hint="eastAsia"/>
          <w:lang w:eastAsia="zh-CN"/>
        </w:rPr>
        <w:t>的标准确定为受影响的第</w:t>
      </w:r>
      <w:r w:rsidR="00531897" w:rsidRPr="00531897">
        <w:rPr>
          <w:rFonts w:hint="eastAsia"/>
          <w:lang w:eastAsia="zh-CN"/>
        </w:rPr>
        <w:t>6</w:t>
      </w:r>
      <w:r w:rsidR="00531897" w:rsidRPr="00531897">
        <w:rPr>
          <w:rFonts w:hint="eastAsia"/>
          <w:lang w:eastAsia="zh-CN"/>
        </w:rPr>
        <w:t>条卫星网络的参考形势。</w:t>
      </w:r>
    </w:p>
    <w:p w14:paraId="1EF32578" w14:textId="52A00E4F" w:rsidR="004435BE" w:rsidRPr="00597BE5" w:rsidRDefault="004435BE" w:rsidP="008D6643">
      <w:pPr>
        <w:pStyle w:val="enumlev1"/>
        <w:rPr>
          <w:rFonts w:eastAsia="MS Mincho"/>
          <w:lang w:eastAsia="zh-CN"/>
        </w:rPr>
      </w:pPr>
      <w:r w:rsidRPr="00597BE5">
        <w:rPr>
          <w:rFonts w:eastAsia="MS Mincho"/>
          <w:i/>
          <w:iCs/>
          <w:lang w:eastAsia="zh-CN"/>
        </w:rPr>
        <w:t>c)</w:t>
      </w:r>
      <w:r w:rsidRPr="00597BE5">
        <w:rPr>
          <w:rFonts w:eastAsia="MS Mincho"/>
          <w:i/>
          <w:iCs/>
          <w:lang w:eastAsia="zh-CN"/>
        </w:rPr>
        <w:tab/>
      </w:r>
      <w:r w:rsidR="00531897" w:rsidRPr="00531897">
        <w:rPr>
          <w:rFonts w:hint="eastAsia"/>
          <w:lang w:eastAsia="zh-CN"/>
        </w:rPr>
        <w:t>对于</w:t>
      </w:r>
      <w:r w:rsidR="00531897" w:rsidRPr="00531897">
        <w:rPr>
          <w:rFonts w:hint="eastAsia"/>
          <w:lang w:eastAsia="zh-CN"/>
        </w:rPr>
        <w:t>2023</w:t>
      </w:r>
      <w:r w:rsidR="00531897" w:rsidRPr="00531897">
        <w:rPr>
          <w:rFonts w:hint="eastAsia"/>
          <w:lang w:eastAsia="zh-CN"/>
        </w:rPr>
        <w:t>年</w:t>
      </w:r>
      <w:r w:rsidR="00531897" w:rsidRPr="00531897">
        <w:rPr>
          <w:rFonts w:hint="eastAsia"/>
          <w:lang w:eastAsia="zh-CN"/>
        </w:rPr>
        <w:t>12</w:t>
      </w:r>
      <w:r w:rsidR="00531897" w:rsidRPr="00531897">
        <w:rPr>
          <w:rFonts w:hint="eastAsia"/>
          <w:lang w:eastAsia="zh-CN"/>
        </w:rPr>
        <w:t>月</w:t>
      </w:r>
      <w:r w:rsidR="00531897" w:rsidRPr="00531897">
        <w:rPr>
          <w:rFonts w:hint="eastAsia"/>
          <w:lang w:eastAsia="zh-CN"/>
        </w:rPr>
        <w:t>15</w:t>
      </w:r>
      <w:r w:rsidR="00531897" w:rsidRPr="00531897">
        <w:rPr>
          <w:rFonts w:hint="eastAsia"/>
          <w:lang w:eastAsia="zh-CN"/>
        </w:rPr>
        <w:t>日之后收到的拟议新分配：</w:t>
      </w:r>
    </w:p>
    <w:p w14:paraId="70F12B75" w14:textId="4BACC763" w:rsidR="004435BE" w:rsidRPr="00531897" w:rsidRDefault="004435BE" w:rsidP="004435BE">
      <w:pPr>
        <w:pStyle w:val="enumlev2"/>
        <w:rPr>
          <w:lang w:eastAsia="zh-CN"/>
        </w:rPr>
      </w:pPr>
      <w:r w:rsidRPr="00597BE5">
        <w:rPr>
          <w:rFonts w:eastAsia="MS Mincho"/>
          <w:lang w:eastAsia="zh-CN"/>
        </w:rPr>
        <w:t>–</w:t>
      </w:r>
      <w:r w:rsidRPr="00597BE5">
        <w:rPr>
          <w:rFonts w:eastAsia="MS Mincho"/>
          <w:lang w:eastAsia="zh-CN"/>
        </w:rPr>
        <w:tab/>
      </w:r>
      <w:r w:rsidR="00531897" w:rsidRPr="00531897">
        <w:rPr>
          <w:rFonts w:hint="eastAsia"/>
          <w:lang w:eastAsia="zh-CN"/>
        </w:rPr>
        <w:t>无线电通信局不得将上述</w:t>
      </w:r>
      <w:r w:rsidR="00531897" w:rsidRPr="008D6643">
        <w:rPr>
          <w:rFonts w:hint="eastAsia"/>
          <w:i/>
          <w:iCs/>
          <w:lang w:eastAsia="zh-CN"/>
        </w:rPr>
        <w:t>b)</w:t>
      </w:r>
      <w:r w:rsidR="00531897" w:rsidRPr="00531897">
        <w:rPr>
          <w:rFonts w:hint="eastAsia"/>
          <w:lang w:eastAsia="zh-CN"/>
        </w:rPr>
        <w:t>和</w:t>
      </w:r>
      <w:r w:rsidR="00F15F7B">
        <w:rPr>
          <w:rFonts w:hint="eastAsia"/>
          <w:lang w:eastAsia="zh-CN"/>
        </w:rPr>
        <w:t>下文</w:t>
      </w:r>
      <w:r w:rsidR="00531897" w:rsidRPr="008D6643">
        <w:rPr>
          <w:rFonts w:hint="eastAsia"/>
          <w:i/>
          <w:iCs/>
          <w:lang w:eastAsia="zh-CN"/>
        </w:rPr>
        <w:t>e</w:t>
      </w:r>
      <w:r w:rsidR="00531897" w:rsidRPr="008D6643">
        <w:rPr>
          <w:i/>
          <w:iCs/>
          <w:lang w:eastAsia="zh-CN"/>
        </w:rPr>
        <w:t>)</w:t>
      </w:r>
      <w:r w:rsidR="00531897" w:rsidRPr="00531897">
        <w:rPr>
          <w:rFonts w:hint="eastAsia"/>
          <w:lang w:eastAsia="zh-CN"/>
        </w:rPr>
        <w:t>段用于确定列表中的指配；</w:t>
      </w:r>
    </w:p>
    <w:p w14:paraId="6F1D108D" w14:textId="3E6A1062" w:rsidR="004435BE" w:rsidRPr="00597BE5" w:rsidRDefault="004435BE" w:rsidP="004435BE">
      <w:pPr>
        <w:pStyle w:val="enumlev2"/>
        <w:rPr>
          <w:rFonts w:eastAsia="MS Mincho"/>
          <w:lang w:eastAsia="zh-CN"/>
        </w:rPr>
      </w:pPr>
      <w:r w:rsidRPr="00597BE5">
        <w:rPr>
          <w:rFonts w:eastAsia="MS Mincho"/>
          <w:lang w:eastAsia="zh-CN"/>
        </w:rPr>
        <w:t>–</w:t>
      </w:r>
      <w:r w:rsidRPr="00597BE5">
        <w:rPr>
          <w:rFonts w:eastAsia="MS Mincho"/>
          <w:lang w:eastAsia="zh-CN"/>
        </w:rPr>
        <w:tab/>
      </w:r>
      <w:r w:rsidR="00531897" w:rsidRPr="00531897">
        <w:rPr>
          <w:rFonts w:hint="eastAsia"/>
          <w:lang w:eastAsia="zh-CN"/>
        </w:rPr>
        <w:t>对于</w:t>
      </w:r>
      <w:r w:rsidR="00531897" w:rsidRPr="00531897">
        <w:rPr>
          <w:rFonts w:hint="eastAsia"/>
          <w:lang w:eastAsia="zh-CN"/>
        </w:rPr>
        <w:t>2017</w:t>
      </w:r>
      <w:r w:rsidR="00531897" w:rsidRPr="00531897">
        <w:rPr>
          <w:rFonts w:hint="eastAsia"/>
          <w:lang w:eastAsia="zh-CN"/>
        </w:rPr>
        <w:t>年</w:t>
      </w:r>
      <w:r w:rsidR="00531897" w:rsidRPr="00531897">
        <w:rPr>
          <w:rFonts w:hint="eastAsia"/>
          <w:lang w:eastAsia="zh-CN"/>
        </w:rPr>
        <w:t>1</w:t>
      </w:r>
      <w:r w:rsidR="00531897" w:rsidRPr="00531897">
        <w:rPr>
          <w:rFonts w:hint="eastAsia"/>
          <w:lang w:eastAsia="zh-CN"/>
        </w:rPr>
        <w:t>月</w:t>
      </w:r>
      <w:r w:rsidR="00531897" w:rsidRPr="00531897">
        <w:rPr>
          <w:rFonts w:hint="eastAsia"/>
          <w:lang w:eastAsia="zh-CN"/>
        </w:rPr>
        <w:t>1</w:t>
      </w:r>
      <w:r w:rsidR="00531897" w:rsidRPr="00531897">
        <w:rPr>
          <w:rFonts w:hint="eastAsia"/>
          <w:lang w:eastAsia="zh-CN"/>
        </w:rPr>
        <w:t>日之前登入列表的指配，无线电通信局不得适用下文</w:t>
      </w:r>
      <w:r w:rsidR="00531897" w:rsidRPr="008D6643">
        <w:rPr>
          <w:rFonts w:hint="eastAsia"/>
          <w:i/>
          <w:iCs/>
          <w:lang w:eastAsia="zh-CN"/>
        </w:rPr>
        <w:t>d)</w:t>
      </w:r>
      <w:r w:rsidR="00531897" w:rsidRPr="00531897">
        <w:rPr>
          <w:rFonts w:hint="eastAsia"/>
          <w:lang w:eastAsia="zh-CN"/>
        </w:rPr>
        <w:t>段的规定。</w:t>
      </w:r>
    </w:p>
    <w:p w14:paraId="4910E489" w14:textId="6FD44C05" w:rsidR="004435BE" w:rsidRPr="00597BE5" w:rsidRDefault="004435BE" w:rsidP="004435BE">
      <w:pPr>
        <w:pStyle w:val="enumlev1"/>
        <w:rPr>
          <w:rFonts w:eastAsia="MS Mincho"/>
          <w:lang w:eastAsia="zh-CN"/>
        </w:rPr>
      </w:pPr>
      <w:r w:rsidRPr="00597BE5">
        <w:rPr>
          <w:rFonts w:eastAsia="MS Mincho"/>
          <w:i/>
          <w:iCs/>
          <w:lang w:eastAsia="zh-CN"/>
        </w:rPr>
        <w:t>d)</w:t>
      </w:r>
      <w:r w:rsidRPr="00597BE5">
        <w:rPr>
          <w:rFonts w:eastAsia="MS Mincho"/>
          <w:i/>
          <w:iCs/>
          <w:lang w:eastAsia="zh-CN"/>
        </w:rPr>
        <w:tab/>
      </w:r>
      <w:r w:rsidR="008D2450" w:rsidRPr="008D2450">
        <w:rPr>
          <w:rFonts w:hint="eastAsia"/>
          <w:lang w:eastAsia="zh-CN"/>
        </w:rPr>
        <w:t>无线电通信局在对拟议的新分配进行技术和规则审查时，只考虑上行链路和下行链路测试点。</w:t>
      </w:r>
    </w:p>
    <w:p w14:paraId="281C4A97" w14:textId="71F0460C" w:rsidR="004435BE" w:rsidRPr="00597BE5" w:rsidRDefault="004435BE" w:rsidP="004435BE">
      <w:pPr>
        <w:pStyle w:val="enumlev1"/>
        <w:rPr>
          <w:rFonts w:eastAsia="MS Mincho"/>
          <w:lang w:eastAsia="zh-CN"/>
        </w:rPr>
      </w:pPr>
      <w:r w:rsidRPr="00597BE5">
        <w:rPr>
          <w:rFonts w:eastAsia="MS Mincho"/>
          <w:i/>
          <w:iCs/>
          <w:lang w:eastAsia="zh-CN"/>
        </w:rPr>
        <w:t>e)</w:t>
      </w:r>
      <w:r w:rsidRPr="00597BE5">
        <w:rPr>
          <w:rFonts w:eastAsia="MS Mincho"/>
          <w:i/>
          <w:iCs/>
          <w:lang w:eastAsia="zh-CN"/>
        </w:rPr>
        <w:tab/>
      </w:r>
      <w:r w:rsidR="008D2450" w:rsidRPr="008D2450">
        <w:rPr>
          <w:rFonts w:hint="eastAsia"/>
          <w:lang w:eastAsia="zh-CN"/>
        </w:rPr>
        <w:t>受影响的主管部门须接受其新增系统的测试点所产生的干扰，这些测试点位于正在审查的拟议新分配的最小椭圆的</w:t>
      </w:r>
      <w:r w:rsidR="008D2450" w:rsidRPr="00597BE5">
        <w:rPr>
          <w:rFonts w:eastAsia="MS Mincho"/>
          <w:lang w:eastAsia="zh-CN"/>
        </w:rPr>
        <w:t>−3 dB</w:t>
      </w:r>
      <w:r w:rsidR="008D2450" w:rsidRPr="008D2450">
        <w:rPr>
          <w:rFonts w:hint="eastAsia"/>
          <w:lang w:eastAsia="zh-CN"/>
        </w:rPr>
        <w:t>天线增益等值线内。</w:t>
      </w:r>
      <w:r w:rsidR="00D847DF" w:rsidRPr="00D847DF">
        <w:rPr>
          <w:rFonts w:hint="eastAsia"/>
          <w:lang w:eastAsia="zh-CN"/>
        </w:rPr>
        <w:t>无线电通信局在对拟议的新分配进行技术和规则审查时，不得考虑这些测试点。</w:t>
      </w:r>
    </w:p>
    <w:p w14:paraId="60664F21" w14:textId="3208FB8D" w:rsidR="004435BE" w:rsidRPr="00597BE5" w:rsidRDefault="004435BE" w:rsidP="004435BE">
      <w:pPr>
        <w:pStyle w:val="enumlev1"/>
        <w:rPr>
          <w:rFonts w:eastAsia="MS Mincho"/>
          <w:lang w:eastAsia="zh-CN"/>
        </w:rPr>
      </w:pPr>
      <w:r w:rsidRPr="00597BE5">
        <w:rPr>
          <w:rFonts w:eastAsia="MS Mincho"/>
          <w:i/>
          <w:iCs/>
          <w:lang w:eastAsia="zh-CN"/>
        </w:rPr>
        <w:t>f)</w:t>
      </w:r>
      <w:r w:rsidRPr="00597BE5">
        <w:rPr>
          <w:rFonts w:eastAsia="MS Mincho"/>
          <w:i/>
          <w:iCs/>
          <w:lang w:eastAsia="zh-CN"/>
        </w:rPr>
        <w:tab/>
      </w:r>
      <w:r w:rsidR="00D847DF" w:rsidRPr="00D847DF">
        <w:rPr>
          <w:rFonts w:hint="eastAsia"/>
          <w:lang w:eastAsia="zh-CN"/>
        </w:rPr>
        <w:t>在拟议新分配之前审查的待处理第</w:t>
      </w:r>
      <w:r w:rsidR="00D847DF" w:rsidRPr="00D847DF">
        <w:rPr>
          <w:rFonts w:hint="eastAsia"/>
          <w:lang w:eastAsia="zh-CN"/>
        </w:rPr>
        <w:t>6</w:t>
      </w:r>
      <w:r w:rsidR="00D847DF" w:rsidRPr="00D847DF">
        <w:rPr>
          <w:rFonts w:hint="eastAsia"/>
          <w:lang w:eastAsia="zh-CN"/>
        </w:rPr>
        <w:t>条网络的通知主管部门须尽最大努力保护该拟议新分配的参考形势，同时认识到某些待处理第</w:t>
      </w:r>
      <w:r w:rsidR="00D847DF" w:rsidRPr="00D847DF">
        <w:rPr>
          <w:rFonts w:hint="eastAsia"/>
          <w:lang w:eastAsia="zh-CN"/>
        </w:rPr>
        <w:t>6</w:t>
      </w:r>
      <w:r w:rsidR="00D847DF" w:rsidRPr="00D847DF">
        <w:rPr>
          <w:rFonts w:hint="eastAsia"/>
          <w:lang w:eastAsia="zh-CN"/>
        </w:rPr>
        <w:t>条网络可能已处在实施的最后阶段。通知主管部门可请求无线电通信局提供帮助。</w:t>
      </w:r>
    </w:p>
    <w:p w14:paraId="4FF6A1BE" w14:textId="1DA71802" w:rsidR="004435BE" w:rsidRPr="00597BE5" w:rsidRDefault="004435BE" w:rsidP="004435BE">
      <w:pPr>
        <w:pStyle w:val="enumlev1"/>
        <w:rPr>
          <w:rFonts w:eastAsia="MS Mincho"/>
          <w:lang w:eastAsia="zh-CN"/>
        </w:rPr>
      </w:pPr>
      <w:r w:rsidRPr="00597BE5">
        <w:rPr>
          <w:rFonts w:eastAsia="MS Mincho"/>
          <w:i/>
          <w:iCs/>
          <w:lang w:eastAsia="zh-CN"/>
        </w:rPr>
        <w:lastRenderedPageBreak/>
        <w:t>g)</w:t>
      </w:r>
      <w:r w:rsidRPr="00597BE5">
        <w:rPr>
          <w:rFonts w:eastAsia="MS Mincho"/>
          <w:i/>
          <w:iCs/>
          <w:lang w:eastAsia="zh-CN"/>
        </w:rPr>
        <w:tab/>
      </w:r>
      <w:r w:rsidR="006D2A9A" w:rsidRPr="00EC357F">
        <w:rPr>
          <w:rFonts w:hint="eastAsia"/>
          <w:lang w:eastAsia="zh-CN"/>
        </w:rPr>
        <w:t>如果现有分配被确定为可能受到新分配的影响，如果提出请求的主管部门坚持，则应插入一条注释，表明应在新分配根据《无线电规则》附录</w:t>
      </w:r>
      <w:r w:rsidR="006D2A9A" w:rsidRPr="00EC357F">
        <w:rPr>
          <w:rFonts w:hint="eastAsia"/>
          <w:b/>
          <w:bCs/>
          <w:lang w:eastAsia="zh-CN"/>
        </w:rPr>
        <w:t>30B</w:t>
      </w:r>
      <w:r w:rsidR="006D2A9A" w:rsidRPr="00EC357F">
        <w:rPr>
          <w:rFonts w:hint="eastAsia"/>
          <w:lang w:eastAsia="zh-CN"/>
        </w:rPr>
        <w:t>第</w:t>
      </w:r>
      <w:r w:rsidR="006D2A9A" w:rsidRPr="00EC357F">
        <w:rPr>
          <w:rFonts w:hint="eastAsia"/>
          <w:lang w:eastAsia="zh-CN"/>
        </w:rPr>
        <w:t>8</w:t>
      </w:r>
      <w:r w:rsidR="006D2A9A" w:rsidRPr="00EC357F">
        <w:rPr>
          <w:rFonts w:hint="eastAsia"/>
          <w:lang w:eastAsia="zh-CN"/>
        </w:rPr>
        <w:t>条投入使用之前达成协议。在这种情况下，</w:t>
      </w:r>
      <w:r w:rsidR="00891FCA" w:rsidRPr="00891FCA">
        <w:rPr>
          <w:rFonts w:hint="eastAsia"/>
          <w:lang w:eastAsia="zh-CN"/>
        </w:rPr>
        <w:t>在更新该分配的</w:t>
      </w:r>
      <w:r w:rsidR="00891FCA" w:rsidRPr="00D847DF">
        <w:rPr>
          <w:rFonts w:hint="eastAsia"/>
          <w:lang w:eastAsia="zh-CN"/>
        </w:rPr>
        <w:t>参考形势</w:t>
      </w:r>
      <w:r w:rsidR="00891FCA" w:rsidRPr="00891FCA">
        <w:rPr>
          <w:rFonts w:hint="eastAsia"/>
          <w:lang w:eastAsia="zh-CN"/>
        </w:rPr>
        <w:t>时，无线电通信局无须考虑</w:t>
      </w:r>
      <w:r w:rsidR="00891FCA">
        <w:rPr>
          <w:rFonts w:hint="eastAsia"/>
          <w:lang w:eastAsia="zh-CN"/>
        </w:rPr>
        <w:t>拟议</w:t>
      </w:r>
      <w:r w:rsidR="00891FCA" w:rsidRPr="00891FCA">
        <w:rPr>
          <w:rFonts w:hint="eastAsia"/>
          <w:lang w:eastAsia="zh-CN"/>
        </w:rPr>
        <w:t>新分配</w:t>
      </w:r>
      <w:r w:rsidR="00891FCA">
        <w:rPr>
          <w:rFonts w:hint="eastAsia"/>
          <w:lang w:eastAsia="zh-CN"/>
        </w:rPr>
        <w:t>所产生</w:t>
      </w:r>
      <w:r w:rsidR="00891FCA" w:rsidRPr="00891FCA">
        <w:rPr>
          <w:rFonts w:hint="eastAsia"/>
          <w:lang w:eastAsia="zh-CN"/>
        </w:rPr>
        <w:t>的干扰。</w:t>
      </w:r>
    </w:p>
    <w:p w14:paraId="43A7E06C" w14:textId="4228BC75" w:rsidR="004435BE" w:rsidRDefault="004435BE" w:rsidP="004435BE">
      <w:pPr>
        <w:pStyle w:val="enumlev1"/>
        <w:rPr>
          <w:rFonts w:eastAsia="MS Mincho"/>
          <w:lang w:eastAsia="zh-CN"/>
        </w:rPr>
      </w:pPr>
      <w:r w:rsidRPr="00597BE5">
        <w:rPr>
          <w:rFonts w:eastAsia="MS Mincho"/>
          <w:i/>
          <w:iCs/>
          <w:lang w:eastAsia="zh-CN"/>
        </w:rPr>
        <w:t>h)</w:t>
      </w:r>
      <w:r w:rsidRPr="00597BE5">
        <w:rPr>
          <w:rFonts w:eastAsia="MS Mincho"/>
          <w:i/>
          <w:iCs/>
          <w:lang w:eastAsia="zh-CN"/>
        </w:rPr>
        <w:tab/>
      </w:r>
      <w:r w:rsidR="00891FCA" w:rsidRPr="00891FCA">
        <w:rPr>
          <w:rFonts w:hint="eastAsia"/>
          <w:lang w:eastAsia="zh-CN"/>
        </w:rPr>
        <w:t>在拟议的新分配登入</w:t>
      </w:r>
      <w:r w:rsidR="00891FCA">
        <w:rPr>
          <w:rFonts w:hint="eastAsia"/>
          <w:lang w:eastAsia="zh-CN"/>
        </w:rPr>
        <w:t>分配</w:t>
      </w:r>
      <w:r w:rsidR="00891FCA" w:rsidRPr="00891FCA">
        <w:rPr>
          <w:rFonts w:hint="eastAsia"/>
          <w:lang w:eastAsia="zh-CN"/>
        </w:rPr>
        <w:t>列表后，如果还有受影响的网络登入</w:t>
      </w:r>
      <w:r w:rsidR="000F5DB9">
        <w:rPr>
          <w:rFonts w:hint="eastAsia"/>
          <w:lang w:eastAsia="zh-CN"/>
        </w:rPr>
        <w:t>分配列表</w:t>
      </w:r>
      <w:r w:rsidR="00891FCA" w:rsidRPr="00891FCA">
        <w:rPr>
          <w:rFonts w:hint="eastAsia"/>
          <w:lang w:eastAsia="zh-CN"/>
        </w:rPr>
        <w:t>，无线电通信局应采用第</w:t>
      </w:r>
      <w:r w:rsidR="00891FCA" w:rsidRPr="00891FCA">
        <w:rPr>
          <w:rFonts w:hint="eastAsia"/>
          <w:lang w:eastAsia="zh-CN"/>
        </w:rPr>
        <w:t>6</w:t>
      </w:r>
      <w:r w:rsidR="00891FCA" w:rsidRPr="00891FCA">
        <w:rPr>
          <w:rFonts w:hint="eastAsia"/>
          <w:lang w:eastAsia="zh-CN"/>
        </w:rPr>
        <w:t>条第</w:t>
      </w:r>
      <w:r w:rsidR="00891FCA" w:rsidRPr="00891FCA">
        <w:rPr>
          <w:rFonts w:hint="eastAsia"/>
          <w:lang w:eastAsia="zh-CN"/>
        </w:rPr>
        <w:t>6.21</w:t>
      </w:r>
      <w:r w:rsidR="00891FCA" w:rsidRPr="00EF26EE">
        <w:rPr>
          <w:i/>
          <w:iCs/>
          <w:lang w:eastAsia="zh-CN"/>
        </w:rPr>
        <w:t>c</w:t>
      </w:r>
      <w:r w:rsidR="00EF26EE" w:rsidRPr="00EF26EE">
        <w:rPr>
          <w:rFonts w:hint="eastAsia"/>
          <w:i/>
          <w:iCs/>
          <w:lang w:eastAsia="zh-CN"/>
        </w:rPr>
        <w:t>)</w:t>
      </w:r>
      <w:r w:rsidR="00891FCA" w:rsidRPr="00891FCA">
        <w:rPr>
          <w:rFonts w:hint="eastAsia"/>
          <w:lang w:eastAsia="zh-CN"/>
        </w:rPr>
        <w:t>段脚注</w:t>
      </w:r>
      <w:r w:rsidR="00891FCA" w:rsidRPr="00891FCA">
        <w:rPr>
          <w:rFonts w:hint="eastAsia"/>
          <w:lang w:eastAsia="zh-CN"/>
        </w:rPr>
        <w:t>7</w:t>
      </w:r>
      <w:r w:rsidR="00891FCA" w:rsidRPr="00EF26EE">
        <w:rPr>
          <w:rFonts w:ascii="STKaiti" w:eastAsia="STKaiti" w:hAnsi="STKaiti" w:hint="eastAsia"/>
          <w:lang w:eastAsia="zh-CN"/>
        </w:rPr>
        <w:t>之二</w:t>
      </w:r>
      <w:r w:rsidR="00891FCA" w:rsidRPr="00891FCA">
        <w:rPr>
          <w:rFonts w:hint="eastAsia"/>
          <w:lang w:eastAsia="zh-CN"/>
        </w:rPr>
        <w:t>相同的行动方针，审议拟议新分配的协调状态。</w:t>
      </w:r>
    </w:p>
    <w:p w14:paraId="6D73D11C" w14:textId="77777777" w:rsidR="005E5F11" w:rsidRPr="00597BE5" w:rsidRDefault="005E5F11" w:rsidP="005E5F11">
      <w:pPr>
        <w:pStyle w:val="Reasons"/>
        <w:rPr>
          <w:lang w:eastAsia="zh-CN"/>
        </w:rPr>
      </w:pPr>
    </w:p>
    <w:p w14:paraId="15935CCD" w14:textId="77777777" w:rsidR="00D70403" w:rsidRDefault="005175B2">
      <w:pPr>
        <w:pStyle w:val="Proposal"/>
        <w:rPr>
          <w:lang w:eastAsia="zh-CN"/>
        </w:rPr>
      </w:pPr>
      <w:r>
        <w:rPr>
          <w:lang w:eastAsia="zh-CN"/>
        </w:rPr>
        <w:t>MOD</w:t>
      </w:r>
      <w:r>
        <w:rPr>
          <w:lang w:eastAsia="zh-CN"/>
        </w:rPr>
        <w:tab/>
        <w:t>EUR/65A22A7/11</w:t>
      </w:r>
      <w:r>
        <w:rPr>
          <w:vanish/>
          <w:color w:val="7F7F7F" w:themeColor="text1" w:themeTint="80"/>
          <w:vertAlign w:val="superscript"/>
          <w:lang w:eastAsia="zh-CN"/>
        </w:rPr>
        <w:t>#2033</w:t>
      </w:r>
    </w:p>
    <w:p w14:paraId="515BEEBA" w14:textId="77777777" w:rsidR="001E1A76" w:rsidRPr="00286879" w:rsidRDefault="005175B2" w:rsidP="00EF03B6">
      <w:pPr>
        <w:pStyle w:val="ResNo"/>
        <w:rPr>
          <w:lang w:eastAsia="zh-CN"/>
        </w:rPr>
      </w:pPr>
      <w:r w:rsidRPr="00EF03B6">
        <w:rPr>
          <w:rFonts w:hint="eastAsia"/>
          <w:lang w:eastAsia="zh-CN"/>
        </w:rPr>
        <w:t>第</w:t>
      </w:r>
      <w:r w:rsidRPr="00EF03B6">
        <w:rPr>
          <w:rStyle w:val="href"/>
          <w:lang w:eastAsia="zh-CN"/>
          <w:rPrChange w:id="62" w:author="LI, Ziqian" w:date="2022-11-18T14:44:00Z">
            <w:rPr>
              <w:rStyle w:val="href"/>
              <w:b/>
              <w:bCs/>
              <w:lang w:eastAsia="zh-CN"/>
            </w:rPr>
          </w:rPrChange>
        </w:rPr>
        <w:t>170</w:t>
      </w:r>
      <w:r w:rsidRPr="00286879">
        <w:rPr>
          <w:rFonts w:hint="eastAsia"/>
          <w:lang w:eastAsia="zh-CN"/>
        </w:rPr>
        <w:t>号决议（</w:t>
      </w:r>
      <w:r w:rsidRPr="00286879">
        <w:rPr>
          <w:bCs/>
          <w:lang w:eastAsia="zh-CN"/>
          <w:rPrChange w:id="63" w:author="LI, Ziqian" w:date="2022-11-18T14:44:00Z">
            <w:rPr>
              <w:b/>
              <w:bCs/>
              <w:lang w:eastAsia="zh-CN"/>
            </w:rPr>
          </w:rPrChange>
        </w:rPr>
        <w:t>WRC-</w:t>
      </w:r>
      <w:del w:id="64" w:author="LI, Ziqian" w:date="2022-11-18T14:44:00Z">
        <w:r w:rsidRPr="00286879" w:rsidDel="00286879">
          <w:rPr>
            <w:bCs/>
            <w:lang w:eastAsia="zh-CN"/>
            <w:rPrChange w:id="65" w:author="LI, Ziqian" w:date="2022-11-18T14:44:00Z">
              <w:rPr>
                <w:b/>
                <w:bCs/>
                <w:lang w:eastAsia="zh-CN"/>
              </w:rPr>
            </w:rPrChange>
          </w:rPr>
          <w:delText>19</w:delText>
        </w:r>
      </w:del>
      <w:ins w:id="66" w:author="LI, Ziqian" w:date="2022-10-19T15:25:00Z">
        <w:r w:rsidRPr="00286879">
          <w:rPr>
            <w:lang w:eastAsia="zh-CN"/>
          </w:rPr>
          <w:t>23</w:t>
        </w:r>
        <w:r w:rsidRPr="00286879">
          <w:rPr>
            <w:rFonts w:hint="eastAsia"/>
            <w:lang w:eastAsia="zh-CN"/>
          </w:rPr>
          <w:t>，修订版</w:t>
        </w:r>
      </w:ins>
      <w:r w:rsidRPr="00286879">
        <w:rPr>
          <w:rFonts w:hint="eastAsia"/>
          <w:lang w:eastAsia="zh-CN"/>
        </w:rPr>
        <w:t>）</w:t>
      </w:r>
    </w:p>
    <w:p w14:paraId="4EE22FA2" w14:textId="77777777" w:rsidR="001E1A76" w:rsidRPr="005B71E1" w:rsidRDefault="005175B2" w:rsidP="008F327B">
      <w:pPr>
        <w:pStyle w:val="ResTitle0"/>
        <w:rPr>
          <w:lang w:val="en-US" w:eastAsia="zh-CN"/>
        </w:rPr>
      </w:pPr>
      <w:bookmarkStart w:id="67" w:name="_Toc39850054"/>
      <w:bookmarkStart w:id="68" w:name="_Toc39853866"/>
      <w:bookmarkStart w:id="69" w:name="_Toc40086628"/>
      <w:bookmarkStart w:id="70" w:name="_Toc40098170"/>
      <w:r>
        <w:rPr>
          <w:rFonts w:hint="eastAsia"/>
          <w:lang w:val="en-US" w:eastAsia="zh-CN"/>
        </w:rPr>
        <w:t>为</w:t>
      </w:r>
      <w:r>
        <w:rPr>
          <w:lang w:val="en-US" w:eastAsia="zh-CN"/>
        </w:rPr>
        <w:t>加强</w:t>
      </w:r>
      <w:r>
        <w:rPr>
          <w:rFonts w:hint="eastAsia"/>
          <w:lang w:val="en-US" w:eastAsia="zh-CN"/>
        </w:rPr>
        <w:t>在需</w:t>
      </w:r>
      <w:r>
        <w:rPr>
          <w:lang w:val="en-US" w:eastAsia="zh-CN"/>
        </w:rPr>
        <w:t>适用附录</w:t>
      </w:r>
      <w:r w:rsidRPr="00286879">
        <w:rPr>
          <w:rFonts w:hint="eastAsia"/>
          <w:lang w:val="en-US" w:eastAsia="zh-CN"/>
        </w:rPr>
        <w:t>30B</w:t>
      </w:r>
      <w:r>
        <w:rPr>
          <w:lang w:val="en-US" w:eastAsia="zh-CN"/>
        </w:rPr>
        <w:t>的频段内</w:t>
      </w:r>
      <w:r>
        <w:rPr>
          <w:rFonts w:hint="eastAsia"/>
          <w:lang w:val="en-US" w:eastAsia="zh-CN"/>
        </w:rPr>
        <w:t>卫星固定业务卫星网络</w:t>
      </w:r>
      <w:r>
        <w:rPr>
          <w:lang w:val="en-US" w:eastAsia="zh-CN"/>
        </w:rPr>
        <w:br/>
      </w:r>
      <w:r>
        <w:rPr>
          <w:lang w:val="en-US" w:eastAsia="zh-CN"/>
        </w:rPr>
        <w:t>对这些频段的平等</w:t>
      </w:r>
      <w:r>
        <w:rPr>
          <w:rFonts w:hint="eastAsia"/>
          <w:lang w:val="en-US" w:eastAsia="zh-CN"/>
        </w:rPr>
        <w:t>使用而制定</w:t>
      </w:r>
      <w:r>
        <w:rPr>
          <w:lang w:val="en-US" w:eastAsia="zh-CN"/>
        </w:rPr>
        <w:t>的</w:t>
      </w:r>
      <w:r w:rsidRPr="005B71E1">
        <w:rPr>
          <w:rFonts w:hint="eastAsia"/>
          <w:lang w:val="en-US" w:eastAsia="zh-CN"/>
        </w:rPr>
        <w:t>附加措施</w:t>
      </w:r>
      <w:bookmarkEnd w:id="67"/>
      <w:bookmarkEnd w:id="68"/>
      <w:bookmarkEnd w:id="69"/>
      <w:bookmarkEnd w:id="70"/>
    </w:p>
    <w:p w14:paraId="564A406D" w14:textId="77777777" w:rsidR="001E1A76" w:rsidRPr="00BB4784" w:rsidRDefault="005175B2" w:rsidP="008F327B">
      <w:pPr>
        <w:pStyle w:val="Normalaftertitle"/>
        <w:rPr>
          <w:lang w:val="en-US" w:eastAsia="zh-CN"/>
        </w:rPr>
      </w:pPr>
      <w:r w:rsidRPr="00422C08">
        <w:rPr>
          <w:rFonts w:hint="eastAsia"/>
          <w:lang w:val="en-US" w:eastAsia="zh-CN"/>
        </w:rPr>
        <w:t>世界无线电通信大会（</w:t>
      </w:r>
      <w:del w:id="71" w:author="LI, Ziqian" w:date="2022-10-19T15:26:00Z">
        <w:r w:rsidRPr="00370FA2" w:rsidDel="008F327B">
          <w:rPr>
            <w:lang w:eastAsia="zh-CN"/>
          </w:rPr>
          <w:delText>2019</w:delText>
        </w:r>
        <w:r w:rsidRPr="00422C08" w:rsidDel="008F327B">
          <w:rPr>
            <w:rFonts w:hint="eastAsia"/>
            <w:lang w:val="en-US" w:eastAsia="zh-CN"/>
          </w:rPr>
          <w:delText>年，</w:delText>
        </w:r>
        <w:r w:rsidDel="008F327B">
          <w:rPr>
            <w:rFonts w:hint="eastAsia"/>
            <w:lang w:val="en-US" w:eastAsia="zh-CN"/>
          </w:rPr>
          <w:delText>沙姆沙伊赫</w:delText>
        </w:r>
      </w:del>
      <w:ins w:id="72" w:author="LI, Ziqian" w:date="2022-10-19T15:26:00Z">
        <w:r>
          <w:rPr>
            <w:rFonts w:hint="eastAsia"/>
            <w:lang w:val="en-US" w:eastAsia="zh-CN"/>
          </w:rPr>
          <w:t>2023</w:t>
        </w:r>
        <w:r>
          <w:rPr>
            <w:rFonts w:hint="eastAsia"/>
            <w:lang w:val="en-US" w:eastAsia="zh-CN"/>
          </w:rPr>
          <w:t>年，迪拜</w:t>
        </w:r>
      </w:ins>
      <w:r w:rsidRPr="00422C08">
        <w:rPr>
          <w:rFonts w:hint="eastAsia"/>
          <w:lang w:val="en-US" w:eastAsia="zh-CN"/>
        </w:rPr>
        <w:t>），</w:t>
      </w:r>
    </w:p>
    <w:p w14:paraId="799688FC" w14:textId="77777777" w:rsidR="001E1A76" w:rsidRPr="00F06CEB" w:rsidRDefault="005175B2" w:rsidP="00355DF1">
      <w:pPr>
        <w:rPr>
          <w:lang w:eastAsia="zh-CN"/>
        </w:rPr>
      </w:pPr>
      <w:r>
        <w:rPr>
          <w:lang w:eastAsia="zh-CN"/>
        </w:rPr>
        <w:t>…</w:t>
      </w:r>
    </w:p>
    <w:p w14:paraId="1F122143" w14:textId="77777777" w:rsidR="001E1A76" w:rsidRPr="00BB4784" w:rsidRDefault="005175B2" w:rsidP="00355DF1">
      <w:pPr>
        <w:pStyle w:val="AnnexNo"/>
        <w:rPr>
          <w:lang w:val="en-US" w:eastAsia="zh-CN"/>
        </w:rPr>
      </w:pPr>
      <w:bookmarkStart w:id="73" w:name="_Toc122369580"/>
      <w:bookmarkStart w:id="74" w:name="_Toc122450974"/>
      <w:r w:rsidRPr="002211B7">
        <w:rPr>
          <w:rFonts w:hint="eastAsia"/>
          <w:lang w:val="en-US" w:eastAsia="zh-CN"/>
        </w:rPr>
        <w:t>第</w:t>
      </w:r>
      <w:r w:rsidRPr="00286879">
        <w:rPr>
          <w:lang w:val="en-US" w:eastAsia="zh-CN"/>
          <w:rPrChange w:id="75" w:author="LI, Ziqian" w:date="2022-11-18T14:45:00Z">
            <w:rPr>
              <w:b/>
              <w:bCs/>
              <w:lang w:val="en-US" w:eastAsia="zh-CN"/>
            </w:rPr>
          </w:rPrChange>
        </w:rPr>
        <w:t>170</w:t>
      </w:r>
      <w:r w:rsidRPr="002211B7">
        <w:rPr>
          <w:rFonts w:hint="eastAsia"/>
          <w:lang w:val="en-US" w:eastAsia="zh-CN"/>
        </w:rPr>
        <w:t>号决议</w:t>
      </w:r>
      <w:r>
        <w:rPr>
          <w:rFonts w:hint="eastAsia"/>
          <w:lang w:val="en-US" w:eastAsia="zh-CN"/>
        </w:rPr>
        <w:t>（</w:t>
      </w:r>
      <w:r w:rsidRPr="00286879">
        <w:rPr>
          <w:lang w:val="en-US" w:eastAsia="zh-CN"/>
          <w:rPrChange w:id="76" w:author="LI, Ziqian" w:date="2022-11-18T14:45:00Z">
            <w:rPr>
              <w:b/>
              <w:bCs/>
              <w:lang w:val="en-US" w:eastAsia="zh-CN"/>
            </w:rPr>
          </w:rPrChange>
        </w:rPr>
        <w:t>WRC-</w:t>
      </w:r>
      <w:del w:id="77" w:author="LI, Ziqian" w:date="2022-11-18T14:46:00Z">
        <w:r w:rsidRPr="00286879" w:rsidDel="00286879">
          <w:rPr>
            <w:lang w:val="en-US" w:eastAsia="zh-CN"/>
            <w:rPrChange w:id="78" w:author="LI, Ziqian" w:date="2022-11-18T14:45:00Z">
              <w:rPr>
                <w:b/>
                <w:bCs/>
                <w:lang w:val="en-US" w:eastAsia="zh-CN"/>
              </w:rPr>
            </w:rPrChange>
          </w:rPr>
          <w:delText>19</w:delText>
        </w:r>
      </w:del>
      <w:ins w:id="79"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后附资料</w:t>
      </w:r>
      <w:r>
        <w:rPr>
          <w:rFonts w:hint="eastAsia"/>
          <w:lang w:val="en-US" w:eastAsia="zh-CN"/>
        </w:rPr>
        <w:t>1</w:t>
      </w:r>
      <w:bookmarkEnd w:id="73"/>
      <w:bookmarkEnd w:id="74"/>
    </w:p>
    <w:p w14:paraId="1592C89B" w14:textId="5D838285" w:rsidR="001E1A76" w:rsidRDefault="005175B2" w:rsidP="00355DF1">
      <w:pPr>
        <w:rPr>
          <w:lang w:eastAsia="zh-CN"/>
        </w:rPr>
      </w:pPr>
      <w:r>
        <w:rPr>
          <w:lang w:eastAsia="zh-CN"/>
        </w:rPr>
        <w:t>…</w:t>
      </w:r>
    </w:p>
    <w:p w14:paraId="7A61D9F0" w14:textId="0E55D648" w:rsidR="004435BE" w:rsidRPr="00597BE5" w:rsidRDefault="00A27427" w:rsidP="004435BE">
      <w:pPr>
        <w:pStyle w:val="AnnexNo"/>
        <w:rPr>
          <w:lang w:eastAsia="zh-CN"/>
        </w:rPr>
      </w:pPr>
      <w:r w:rsidRPr="002211B7">
        <w:rPr>
          <w:rFonts w:hint="eastAsia"/>
          <w:lang w:val="en-US" w:eastAsia="zh-CN"/>
        </w:rPr>
        <w:t>第</w:t>
      </w:r>
      <w:r w:rsidRPr="00286879">
        <w:rPr>
          <w:lang w:val="en-US" w:eastAsia="zh-CN"/>
          <w:rPrChange w:id="80" w:author="LI, Ziqian" w:date="2022-11-18T14:45:00Z">
            <w:rPr>
              <w:b/>
              <w:bCs/>
              <w:lang w:val="en-US" w:eastAsia="zh-CN"/>
            </w:rPr>
          </w:rPrChange>
        </w:rPr>
        <w:t>170</w:t>
      </w:r>
      <w:r w:rsidRPr="002211B7">
        <w:rPr>
          <w:rFonts w:hint="eastAsia"/>
          <w:lang w:val="en-US" w:eastAsia="zh-CN"/>
        </w:rPr>
        <w:t>号决议</w:t>
      </w:r>
      <w:r>
        <w:rPr>
          <w:rFonts w:hint="eastAsia"/>
          <w:lang w:val="en-US" w:eastAsia="zh-CN"/>
        </w:rPr>
        <w:t>（</w:t>
      </w:r>
      <w:r w:rsidRPr="00286879">
        <w:rPr>
          <w:lang w:val="en-US" w:eastAsia="zh-CN"/>
          <w:rPrChange w:id="81" w:author="LI, Ziqian" w:date="2022-11-18T14:45:00Z">
            <w:rPr>
              <w:b/>
              <w:bCs/>
              <w:lang w:val="en-US" w:eastAsia="zh-CN"/>
            </w:rPr>
          </w:rPrChange>
        </w:rPr>
        <w:t>WRC-</w:t>
      </w:r>
      <w:del w:id="82" w:author="LI, Ziqian" w:date="2022-11-18T14:46:00Z">
        <w:r w:rsidRPr="00286879" w:rsidDel="00286879">
          <w:rPr>
            <w:lang w:val="en-US" w:eastAsia="zh-CN"/>
            <w:rPrChange w:id="83" w:author="LI, Ziqian" w:date="2022-11-18T14:45:00Z">
              <w:rPr>
                <w:b/>
                <w:bCs/>
                <w:lang w:val="en-US" w:eastAsia="zh-CN"/>
              </w:rPr>
            </w:rPrChange>
          </w:rPr>
          <w:delText>19</w:delText>
        </w:r>
      </w:del>
      <w:ins w:id="84"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后附资料</w:t>
      </w:r>
      <w:r>
        <w:rPr>
          <w:rFonts w:hint="eastAsia"/>
          <w:lang w:val="en-US" w:eastAsia="zh-CN"/>
        </w:rPr>
        <w:t>1</w:t>
      </w:r>
      <w:r w:rsidR="002B3DFE">
        <w:rPr>
          <w:rFonts w:hint="eastAsia"/>
          <w:lang w:val="en-US" w:eastAsia="zh-CN"/>
        </w:rPr>
        <w:t>的</w:t>
      </w:r>
      <w:r>
        <w:rPr>
          <w:rFonts w:hint="eastAsia"/>
          <w:lang w:val="en-US" w:eastAsia="zh-CN"/>
        </w:rPr>
        <w:t>附录</w:t>
      </w:r>
      <w:r>
        <w:rPr>
          <w:rFonts w:hint="eastAsia"/>
          <w:lang w:val="en-US" w:eastAsia="zh-CN"/>
        </w:rPr>
        <w:t>1</w:t>
      </w:r>
    </w:p>
    <w:p w14:paraId="19331650" w14:textId="58F03C79" w:rsidR="004435BE" w:rsidRPr="00F06CEB" w:rsidRDefault="004435BE" w:rsidP="00355DF1">
      <w:pPr>
        <w:rPr>
          <w:lang w:eastAsia="zh-CN"/>
        </w:rPr>
      </w:pPr>
      <w:r w:rsidRPr="00597BE5">
        <w:rPr>
          <w:lang w:eastAsia="zh-CN"/>
        </w:rPr>
        <w:t>…</w:t>
      </w:r>
    </w:p>
    <w:p w14:paraId="3B269DCD" w14:textId="77777777" w:rsidR="001E1A76" w:rsidRPr="00BB4784" w:rsidRDefault="005175B2" w:rsidP="00355DF1">
      <w:pPr>
        <w:pStyle w:val="AnnexNo"/>
        <w:rPr>
          <w:lang w:val="en-US" w:eastAsia="zh-CN"/>
        </w:rPr>
      </w:pPr>
      <w:bookmarkStart w:id="85" w:name="_Toc122369581"/>
      <w:bookmarkStart w:id="86" w:name="_Toc122450975"/>
      <w:r w:rsidRPr="00342F9B">
        <w:rPr>
          <w:rFonts w:hint="eastAsia"/>
          <w:lang w:val="en-US" w:eastAsia="zh-CN"/>
        </w:rPr>
        <w:lastRenderedPageBreak/>
        <w:t>第</w:t>
      </w:r>
      <w:r w:rsidRPr="00286879">
        <w:rPr>
          <w:lang w:val="en-US" w:eastAsia="zh-CN"/>
          <w:rPrChange w:id="87" w:author="LI, Ziqian" w:date="2022-11-18T14:45:00Z">
            <w:rPr>
              <w:b/>
              <w:bCs/>
              <w:lang w:val="en-US" w:eastAsia="zh-CN"/>
            </w:rPr>
          </w:rPrChange>
        </w:rPr>
        <w:t>170</w:t>
      </w:r>
      <w:r w:rsidRPr="00342F9B">
        <w:rPr>
          <w:rFonts w:hint="eastAsia"/>
          <w:lang w:val="en-US" w:eastAsia="zh-CN"/>
        </w:rPr>
        <w:t>号决议</w:t>
      </w:r>
      <w:r>
        <w:rPr>
          <w:rFonts w:hint="eastAsia"/>
          <w:lang w:val="en-US" w:eastAsia="zh-CN"/>
        </w:rPr>
        <w:t>（</w:t>
      </w:r>
      <w:r w:rsidRPr="00286879">
        <w:rPr>
          <w:lang w:val="en-US" w:eastAsia="zh-CN"/>
          <w:rPrChange w:id="88" w:author="LI, Ziqian" w:date="2022-11-18T14:45:00Z">
            <w:rPr>
              <w:b/>
              <w:bCs/>
              <w:lang w:val="en-US" w:eastAsia="zh-CN"/>
            </w:rPr>
          </w:rPrChange>
        </w:rPr>
        <w:t>WRC-</w:t>
      </w:r>
      <w:del w:id="89" w:author="LI, Ziqian" w:date="2022-11-18T14:46:00Z">
        <w:r w:rsidRPr="00286879" w:rsidDel="00286879">
          <w:rPr>
            <w:lang w:val="en-US" w:eastAsia="zh-CN"/>
            <w:rPrChange w:id="90" w:author="LI, Ziqian" w:date="2022-11-18T14:45:00Z">
              <w:rPr>
                <w:b/>
                <w:bCs/>
                <w:lang w:val="en-US" w:eastAsia="zh-CN"/>
              </w:rPr>
            </w:rPrChange>
          </w:rPr>
          <w:delText>19</w:delText>
        </w:r>
      </w:del>
      <w:ins w:id="91" w:author="LI, Ziqian" w:date="2022-10-19T15:26:00Z">
        <w:r>
          <w:rPr>
            <w:rFonts w:hint="eastAsia"/>
            <w:lang w:val="en-US" w:eastAsia="zh-CN"/>
          </w:rPr>
          <w:t>23</w:t>
        </w:r>
        <w:r>
          <w:rPr>
            <w:rFonts w:hint="eastAsia"/>
            <w:lang w:val="en-US" w:eastAsia="zh-CN"/>
          </w:rPr>
          <w:t>，修订版</w:t>
        </w:r>
      </w:ins>
      <w:r>
        <w:rPr>
          <w:rFonts w:hint="eastAsia"/>
          <w:lang w:val="en-US" w:eastAsia="zh-CN"/>
        </w:rPr>
        <w:t>）</w:t>
      </w:r>
      <w:r>
        <w:rPr>
          <w:lang w:val="en-US" w:eastAsia="zh-CN"/>
        </w:rPr>
        <w:br/>
      </w:r>
      <w:r>
        <w:rPr>
          <w:rFonts w:hint="eastAsia"/>
          <w:lang w:val="en-US" w:eastAsia="zh-CN"/>
        </w:rPr>
        <w:t>后附资料</w:t>
      </w:r>
      <w:r>
        <w:rPr>
          <w:rFonts w:hint="eastAsia"/>
          <w:lang w:val="en-US" w:eastAsia="zh-CN"/>
        </w:rPr>
        <w:t>1</w:t>
      </w:r>
      <w:r w:rsidRPr="00342F9B">
        <w:rPr>
          <w:rFonts w:hint="eastAsia"/>
          <w:lang w:val="en-US" w:eastAsia="zh-CN"/>
        </w:rPr>
        <w:t>的附录</w:t>
      </w:r>
      <w:r>
        <w:rPr>
          <w:rFonts w:hint="eastAsia"/>
          <w:lang w:val="en-US" w:eastAsia="zh-CN"/>
        </w:rPr>
        <w:t>2</w:t>
      </w:r>
      <w:bookmarkEnd w:id="85"/>
      <w:bookmarkEnd w:id="86"/>
    </w:p>
    <w:p w14:paraId="5380A3DA" w14:textId="77777777" w:rsidR="001E1A76" w:rsidRPr="00BB4784" w:rsidRDefault="005175B2" w:rsidP="00601A0B">
      <w:pPr>
        <w:pStyle w:val="Annextitle"/>
        <w:rPr>
          <w:lang w:val="en-US" w:eastAsia="zh-CN"/>
        </w:rPr>
      </w:pPr>
      <w:r w:rsidRPr="00A2489E">
        <w:rPr>
          <w:rFonts w:hint="eastAsia"/>
          <w:lang w:val="en-US" w:eastAsia="zh-CN"/>
        </w:rPr>
        <w:t>新</w:t>
      </w:r>
      <w:r>
        <w:rPr>
          <w:rFonts w:hint="eastAsia"/>
          <w:lang w:val="en-US" w:eastAsia="zh-CN"/>
        </w:rPr>
        <w:t>提交</w:t>
      </w:r>
      <w:r w:rsidRPr="00A2489E">
        <w:rPr>
          <w:rFonts w:hint="eastAsia"/>
          <w:lang w:val="en-US" w:eastAsia="zh-CN"/>
        </w:rPr>
        <w:t>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1E1A76" w:rsidRPr="009B72AB" w14:paraId="10703314" w14:textId="77777777" w:rsidTr="003940A1">
        <w:tc>
          <w:tcPr>
            <w:tcW w:w="2122" w:type="dxa"/>
            <w:shd w:val="clear" w:color="auto" w:fill="auto"/>
            <w:vAlign w:val="center"/>
          </w:tcPr>
          <w:p w14:paraId="091ACEFF" w14:textId="77777777" w:rsidR="001E1A76" w:rsidRPr="009B72AB" w:rsidRDefault="005175B2" w:rsidP="003940A1">
            <w:pPr>
              <w:pStyle w:val="Tablehead"/>
              <w:keepLines/>
              <w:rPr>
                <w:lang w:val="en-US" w:eastAsia="zh-CN"/>
              </w:rPr>
            </w:pPr>
            <w:r w:rsidRPr="009B72AB">
              <w:rPr>
                <w:rFonts w:hint="eastAsia"/>
                <w:lang w:val="en-US" w:eastAsia="zh-CN"/>
              </w:rPr>
              <w:t>新提交网络</w:t>
            </w:r>
          </w:p>
        </w:tc>
        <w:tc>
          <w:tcPr>
            <w:tcW w:w="5670" w:type="dxa"/>
            <w:shd w:val="clear" w:color="auto" w:fill="auto"/>
            <w:vAlign w:val="center"/>
          </w:tcPr>
          <w:p w14:paraId="6483B638" w14:textId="77777777" w:rsidR="001E1A76" w:rsidRPr="009B72AB" w:rsidRDefault="005175B2" w:rsidP="003940A1">
            <w:pPr>
              <w:pStyle w:val="Tablehead"/>
              <w:keepLines/>
              <w:rPr>
                <w:lang w:val="en-US" w:eastAsia="zh-CN"/>
              </w:rPr>
            </w:pPr>
            <w:r w:rsidRPr="009B72AB">
              <w:rPr>
                <w:rFonts w:hint="eastAsia"/>
                <w:lang w:val="en-US" w:eastAsia="zh-CN"/>
              </w:rPr>
              <w:t>待保护的分配或指配</w:t>
            </w:r>
          </w:p>
        </w:tc>
        <w:tc>
          <w:tcPr>
            <w:tcW w:w="1559" w:type="dxa"/>
            <w:shd w:val="clear" w:color="auto" w:fill="auto"/>
            <w:vAlign w:val="center"/>
          </w:tcPr>
          <w:p w14:paraId="2BF27B48" w14:textId="77777777" w:rsidR="001E1A76" w:rsidRPr="009B72AB" w:rsidRDefault="005175B2" w:rsidP="003940A1">
            <w:pPr>
              <w:pStyle w:val="Tablehead"/>
              <w:keepLines/>
              <w:rPr>
                <w:lang w:val="en-US" w:eastAsia="zh-CN"/>
              </w:rPr>
            </w:pPr>
            <w:r w:rsidRPr="009B72AB">
              <w:rPr>
                <w:rFonts w:hint="eastAsia"/>
                <w:lang w:val="en-US" w:eastAsia="zh-CN"/>
              </w:rPr>
              <w:t>保护标准</w:t>
            </w:r>
          </w:p>
        </w:tc>
      </w:tr>
      <w:tr w:rsidR="001E1A76" w:rsidRPr="009B72AB" w14:paraId="7D2646B0" w14:textId="77777777" w:rsidTr="00D94232">
        <w:tc>
          <w:tcPr>
            <w:tcW w:w="2122" w:type="dxa"/>
            <w:vMerge w:val="restart"/>
            <w:shd w:val="clear" w:color="auto" w:fill="auto"/>
            <w:vAlign w:val="center"/>
          </w:tcPr>
          <w:p w14:paraId="3B644967" w14:textId="77777777" w:rsidR="001E1A76" w:rsidRPr="009B72AB" w:rsidRDefault="005175B2" w:rsidP="008B1061">
            <w:pPr>
              <w:pStyle w:val="Tabletext"/>
              <w:keepNext/>
              <w:keepLines/>
              <w:rPr>
                <w:lang w:val="en-US" w:eastAsia="zh-CN"/>
              </w:rPr>
            </w:pPr>
            <w:r w:rsidRPr="009B72AB">
              <w:rPr>
                <w:rFonts w:hint="eastAsia"/>
                <w:lang w:val="en-US" w:eastAsia="zh-CN"/>
              </w:rPr>
              <w:t>应用特别程序的指配</w:t>
            </w:r>
            <w:ins w:id="92" w:author="Tao, Yingsheng" w:date="2022-11-17T18:15:00Z">
              <w:r w:rsidRPr="009B72AB">
                <w:rPr>
                  <w:rFonts w:hint="eastAsia"/>
                  <w:lang w:val="en-US" w:eastAsia="zh-CN"/>
                </w:rPr>
                <w:t>或</w:t>
              </w:r>
            </w:ins>
            <w:ins w:id="93" w:author="Tao, Yingsheng" w:date="2022-11-17T18:16:00Z">
              <w:r w:rsidRPr="009B72AB">
                <w:rPr>
                  <w:rFonts w:hint="eastAsia"/>
                  <w:lang w:eastAsia="zh-CN"/>
                </w:rPr>
                <w:t>附录</w:t>
              </w:r>
              <w:r w:rsidRPr="009B72AB">
                <w:rPr>
                  <w:b/>
                  <w:bCs/>
                  <w:lang w:eastAsia="zh-CN"/>
                  <w:rPrChange w:id="94" w:author="Tao, Yingsheng" w:date="2022-11-17T18:16:00Z">
                    <w:rPr>
                      <w:lang w:eastAsia="zh-CN"/>
                    </w:rPr>
                  </w:rPrChange>
                </w:rPr>
                <w:t>30B</w:t>
              </w:r>
              <w:r w:rsidRPr="009B72AB">
                <w:rPr>
                  <w:rFonts w:hint="eastAsia"/>
                  <w:lang w:eastAsia="zh-CN"/>
                </w:rPr>
                <w:t>第</w:t>
              </w:r>
              <w:r w:rsidRPr="009B72AB">
                <w:rPr>
                  <w:rFonts w:hint="eastAsia"/>
                  <w:lang w:eastAsia="zh-CN"/>
                </w:rPr>
                <w:t>7</w:t>
              </w:r>
              <w:r w:rsidRPr="009B72AB">
                <w:rPr>
                  <w:rFonts w:hint="eastAsia"/>
                  <w:lang w:eastAsia="zh-CN"/>
                </w:rPr>
                <w:t>条的</w:t>
              </w:r>
            </w:ins>
            <w:ins w:id="95" w:author="Tao, Yingsheng" w:date="2022-11-17T18:17:00Z">
              <w:r w:rsidRPr="009B72AB">
                <w:rPr>
                  <w:rFonts w:hint="eastAsia"/>
                  <w:lang w:eastAsia="zh-CN"/>
                </w:rPr>
                <w:t>拟议分配</w:t>
              </w:r>
            </w:ins>
          </w:p>
        </w:tc>
        <w:tc>
          <w:tcPr>
            <w:tcW w:w="5670" w:type="dxa"/>
            <w:shd w:val="clear" w:color="auto" w:fill="auto"/>
          </w:tcPr>
          <w:p w14:paraId="1160C4AB" w14:textId="77777777" w:rsidR="001E1A76" w:rsidRPr="009B72AB" w:rsidRDefault="005175B2" w:rsidP="003940A1">
            <w:pPr>
              <w:pStyle w:val="Tabletext"/>
              <w:keepNext/>
              <w:keepLines/>
              <w:rPr>
                <w:lang w:val="en-US" w:eastAsia="zh-CN"/>
              </w:rPr>
            </w:pPr>
            <w:r w:rsidRPr="009B72AB">
              <w:rPr>
                <w:rFonts w:hint="eastAsia"/>
                <w:lang w:val="en-US" w:eastAsia="zh-CN"/>
              </w:rPr>
              <w:t>规划中的分配</w:t>
            </w:r>
          </w:p>
        </w:tc>
        <w:tc>
          <w:tcPr>
            <w:tcW w:w="1559" w:type="dxa"/>
            <w:shd w:val="clear" w:color="auto" w:fill="auto"/>
          </w:tcPr>
          <w:p w14:paraId="48659C34" w14:textId="77777777" w:rsidR="001E1A76" w:rsidRPr="009B72AB" w:rsidRDefault="005175B2" w:rsidP="003940A1">
            <w:pPr>
              <w:pStyle w:val="Tabletext"/>
              <w:keepNext/>
              <w:keepLines/>
              <w:jc w:val="center"/>
              <w:rPr>
                <w:lang w:val="en-US" w:eastAsia="zh-CN"/>
              </w:rPr>
            </w:pPr>
            <w:ins w:id="96" w:author="Tao, Yingsheng" w:date="2022-11-17T18:16:00Z">
              <w:r w:rsidRPr="009B72AB">
                <w:rPr>
                  <w:rFonts w:hint="eastAsia"/>
                  <w:lang w:eastAsia="zh-CN"/>
                </w:rPr>
                <w:t>附录</w:t>
              </w:r>
              <w:r w:rsidRPr="009B72AB">
                <w:rPr>
                  <w:b/>
                  <w:bCs/>
                  <w:lang w:eastAsia="zh-CN"/>
                  <w:rPrChange w:id="97"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3BC6B8EC" w14:textId="77777777" w:rsidTr="003940A1">
        <w:tc>
          <w:tcPr>
            <w:tcW w:w="2122" w:type="dxa"/>
            <w:vMerge/>
            <w:shd w:val="clear" w:color="auto" w:fill="auto"/>
          </w:tcPr>
          <w:p w14:paraId="4072B8EF" w14:textId="77777777" w:rsidR="001E1A76" w:rsidRPr="009B72AB" w:rsidRDefault="00237AD4" w:rsidP="003940A1">
            <w:pPr>
              <w:pStyle w:val="Tabletext"/>
              <w:keepNext/>
              <w:keepLines/>
              <w:rPr>
                <w:lang w:val="en-US" w:eastAsia="zh-CN"/>
              </w:rPr>
            </w:pPr>
          </w:p>
        </w:tc>
        <w:tc>
          <w:tcPr>
            <w:tcW w:w="5670" w:type="dxa"/>
            <w:shd w:val="clear" w:color="auto" w:fill="auto"/>
          </w:tcPr>
          <w:p w14:paraId="0C2D915A" w14:textId="77777777" w:rsidR="001E1A76" w:rsidRPr="009B72AB" w:rsidRDefault="005175B2" w:rsidP="003940A1">
            <w:pPr>
              <w:pStyle w:val="Tabletext"/>
              <w:keepNext/>
              <w:keepLines/>
              <w:rPr>
                <w:lang w:val="en-US" w:eastAsia="zh-CN"/>
              </w:rPr>
            </w:pPr>
            <w:r w:rsidRPr="009B72AB">
              <w:rPr>
                <w:rFonts w:hint="eastAsia"/>
                <w:lang w:val="en-US" w:eastAsia="zh-CN"/>
              </w:rPr>
              <w:t>未做修改而由分配转换而来的指配</w:t>
            </w:r>
          </w:p>
        </w:tc>
        <w:tc>
          <w:tcPr>
            <w:tcW w:w="1559" w:type="dxa"/>
            <w:shd w:val="clear" w:color="auto" w:fill="auto"/>
          </w:tcPr>
          <w:p w14:paraId="4B2DEC15" w14:textId="77777777" w:rsidR="001E1A76" w:rsidRPr="009B72AB" w:rsidRDefault="005175B2" w:rsidP="003940A1">
            <w:pPr>
              <w:pStyle w:val="Tabletext"/>
              <w:keepNext/>
              <w:keepLines/>
              <w:jc w:val="center"/>
              <w:rPr>
                <w:lang w:val="en-US" w:eastAsia="zh-CN"/>
              </w:rPr>
            </w:pPr>
            <w:ins w:id="98" w:author="Tao, Yingsheng" w:date="2022-11-17T18:16:00Z">
              <w:r w:rsidRPr="009B72AB">
                <w:rPr>
                  <w:rFonts w:hint="eastAsia"/>
                  <w:lang w:eastAsia="zh-CN"/>
                </w:rPr>
                <w:t>附录</w:t>
              </w:r>
              <w:r w:rsidRPr="009B72AB">
                <w:rPr>
                  <w:b/>
                  <w:bCs/>
                  <w:lang w:eastAsia="zh-CN"/>
                  <w:rPrChange w:id="99"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6CA4091E" w14:textId="77777777" w:rsidTr="003940A1">
        <w:tc>
          <w:tcPr>
            <w:tcW w:w="2122" w:type="dxa"/>
            <w:vMerge/>
            <w:shd w:val="clear" w:color="auto" w:fill="auto"/>
          </w:tcPr>
          <w:p w14:paraId="51B100A9" w14:textId="77777777" w:rsidR="001E1A76" w:rsidRPr="009B72AB" w:rsidRDefault="00237AD4" w:rsidP="003940A1">
            <w:pPr>
              <w:pStyle w:val="Tabletext"/>
              <w:keepNext/>
              <w:keepLines/>
              <w:rPr>
                <w:lang w:val="en-US" w:eastAsia="zh-CN"/>
              </w:rPr>
            </w:pPr>
          </w:p>
        </w:tc>
        <w:tc>
          <w:tcPr>
            <w:tcW w:w="5670" w:type="dxa"/>
            <w:shd w:val="clear" w:color="auto" w:fill="auto"/>
          </w:tcPr>
          <w:p w14:paraId="0E7345D0" w14:textId="77777777" w:rsidR="001E1A76" w:rsidRPr="009B72AB" w:rsidRDefault="005175B2" w:rsidP="003940A1">
            <w:pPr>
              <w:pStyle w:val="Tabletext"/>
              <w:keepNext/>
              <w:keepLines/>
              <w:rPr>
                <w:lang w:val="en-US" w:eastAsia="zh-CN"/>
              </w:rPr>
            </w:pPr>
            <w:r w:rsidRPr="009B72AB">
              <w:rPr>
                <w:rFonts w:hint="eastAsia"/>
                <w:lang w:val="en-US" w:eastAsia="zh-CN"/>
              </w:rPr>
              <w:t>经过在分配包络范围内的修改，由分配转换而来的指配</w:t>
            </w:r>
          </w:p>
        </w:tc>
        <w:tc>
          <w:tcPr>
            <w:tcW w:w="1559" w:type="dxa"/>
            <w:shd w:val="clear" w:color="auto" w:fill="auto"/>
          </w:tcPr>
          <w:p w14:paraId="7749FE0C" w14:textId="77777777" w:rsidR="001E1A76" w:rsidRPr="009B72AB" w:rsidRDefault="005175B2" w:rsidP="003940A1">
            <w:pPr>
              <w:pStyle w:val="Tabletext"/>
              <w:keepNext/>
              <w:keepLines/>
              <w:jc w:val="center"/>
              <w:rPr>
                <w:lang w:val="en-US" w:eastAsia="zh-CN"/>
              </w:rPr>
            </w:pPr>
            <w:ins w:id="100" w:author="Tao, Yingsheng" w:date="2022-11-17T18:16:00Z">
              <w:r w:rsidRPr="009B72AB">
                <w:rPr>
                  <w:rFonts w:hint="eastAsia"/>
                  <w:lang w:eastAsia="zh-CN"/>
                </w:rPr>
                <w:t>附录</w:t>
              </w:r>
              <w:r w:rsidRPr="009B72AB">
                <w:rPr>
                  <w:b/>
                  <w:bCs/>
                  <w:lang w:eastAsia="zh-CN"/>
                  <w:rPrChange w:id="101" w:author="Tao, Yingsheng" w:date="2022-11-17T18:16:00Z">
                    <w:rPr>
                      <w:lang w:eastAsia="zh-CN"/>
                    </w:rPr>
                  </w:rPrChange>
                </w:rPr>
                <w:t>30B</w:t>
              </w:r>
            </w:ins>
            <w:r w:rsidRPr="009B72AB">
              <w:rPr>
                <w:b/>
                <w:bCs/>
                <w:lang w:eastAsia="zh-CN"/>
              </w:rPr>
              <w:br/>
            </w:r>
            <w:r w:rsidRPr="009B72AB">
              <w:rPr>
                <w:lang w:val="en-US" w:eastAsia="zh-CN"/>
              </w:rPr>
              <w:t>附件</w:t>
            </w:r>
            <w:r w:rsidRPr="009B72AB">
              <w:rPr>
                <w:lang w:val="en-US" w:eastAsia="zh-CN"/>
              </w:rPr>
              <w:t>4</w:t>
            </w:r>
          </w:p>
        </w:tc>
      </w:tr>
      <w:tr w:rsidR="001E1A76" w:rsidRPr="009B72AB" w14:paraId="1E2AFFBC" w14:textId="77777777" w:rsidTr="003940A1">
        <w:tc>
          <w:tcPr>
            <w:tcW w:w="2122" w:type="dxa"/>
            <w:vMerge/>
            <w:shd w:val="clear" w:color="auto" w:fill="auto"/>
          </w:tcPr>
          <w:p w14:paraId="6BFEC05A" w14:textId="77777777" w:rsidR="001E1A76" w:rsidRPr="009B72AB" w:rsidRDefault="00237AD4" w:rsidP="003940A1">
            <w:pPr>
              <w:pStyle w:val="Tabletext"/>
              <w:rPr>
                <w:lang w:val="en-US" w:eastAsia="zh-CN"/>
              </w:rPr>
            </w:pPr>
          </w:p>
        </w:tc>
        <w:tc>
          <w:tcPr>
            <w:tcW w:w="5670" w:type="dxa"/>
            <w:shd w:val="clear" w:color="auto" w:fill="auto"/>
          </w:tcPr>
          <w:p w14:paraId="272631A9" w14:textId="77777777" w:rsidR="001E1A76" w:rsidRPr="009B72AB" w:rsidRDefault="005175B2" w:rsidP="003940A1">
            <w:pPr>
              <w:pStyle w:val="Tabletext"/>
              <w:rPr>
                <w:lang w:val="en-US" w:eastAsia="zh-CN"/>
              </w:rPr>
            </w:pPr>
            <w:r w:rsidRPr="009B72AB">
              <w:rPr>
                <w:rFonts w:hint="eastAsia"/>
                <w:lang w:val="en-US" w:eastAsia="zh-CN"/>
              </w:rPr>
              <w:t>适用特别程序，且经过超出分配包络范围的修改，由分配转换而来的指配</w:t>
            </w:r>
          </w:p>
        </w:tc>
        <w:tc>
          <w:tcPr>
            <w:tcW w:w="1559" w:type="dxa"/>
            <w:shd w:val="clear" w:color="auto" w:fill="auto"/>
          </w:tcPr>
          <w:p w14:paraId="7F4BE8B2" w14:textId="77777777" w:rsidR="001E1A76" w:rsidRPr="009B72AB" w:rsidRDefault="005175B2" w:rsidP="003940A1">
            <w:pPr>
              <w:pStyle w:val="Tabletext"/>
              <w:jc w:val="center"/>
              <w:rPr>
                <w:lang w:val="en-US"/>
              </w:rPr>
            </w:pPr>
            <w:ins w:id="102" w:author="Tao, Yingsheng" w:date="2022-11-17T18:16:00Z">
              <w:r w:rsidRPr="009B72AB">
                <w:rPr>
                  <w:rFonts w:hint="eastAsia"/>
                  <w:lang w:eastAsia="zh-CN"/>
                </w:rPr>
                <w:t>附录</w:t>
              </w:r>
              <w:r w:rsidRPr="009B72AB">
                <w:rPr>
                  <w:b/>
                  <w:bCs/>
                  <w:lang w:eastAsia="zh-CN"/>
                  <w:rPrChange w:id="103"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25CB4630" w14:textId="77777777" w:rsidTr="003940A1">
        <w:tc>
          <w:tcPr>
            <w:tcW w:w="2122" w:type="dxa"/>
            <w:vMerge/>
            <w:shd w:val="clear" w:color="auto" w:fill="auto"/>
          </w:tcPr>
          <w:p w14:paraId="72A18791" w14:textId="77777777" w:rsidR="001E1A76" w:rsidRPr="009B72AB" w:rsidRDefault="00237AD4" w:rsidP="003940A1">
            <w:pPr>
              <w:pStyle w:val="Tabletext"/>
              <w:rPr>
                <w:lang w:val="en-US"/>
              </w:rPr>
            </w:pPr>
          </w:p>
        </w:tc>
        <w:tc>
          <w:tcPr>
            <w:tcW w:w="5670" w:type="dxa"/>
            <w:shd w:val="clear" w:color="auto" w:fill="auto"/>
          </w:tcPr>
          <w:p w14:paraId="39DAAF53" w14:textId="77777777" w:rsidR="001E1A76" w:rsidRPr="009B72AB" w:rsidRDefault="005175B2" w:rsidP="003940A1">
            <w:pPr>
              <w:pStyle w:val="Tabletext"/>
              <w:rPr>
                <w:lang w:val="en-US" w:eastAsia="zh-CN"/>
              </w:rPr>
            </w:pPr>
            <w:r w:rsidRPr="009B72AB">
              <w:rPr>
                <w:rFonts w:hint="eastAsia"/>
                <w:lang w:val="en-US" w:eastAsia="zh-CN"/>
              </w:rPr>
              <w:t>不适用特别程序，且经过超出分配包络范围的修改，由分配转换而来的指配</w:t>
            </w:r>
          </w:p>
        </w:tc>
        <w:tc>
          <w:tcPr>
            <w:tcW w:w="1559" w:type="dxa"/>
            <w:shd w:val="clear" w:color="auto" w:fill="auto"/>
          </w:tcPr>
          <w:p w14:paraId="1584E17D" w14:textId="77777777" w:rsidR="001E1A76" w:rsidRPr="009B72AB" w:rsidRDefault="005175B2" w:rsidP="003940A1">
            <w:pPr>
              <w:pStyle w:val="Tabletext"/>
              <w:jc w:val="center"/>
              <w:rPr>
                <w:lang w:val="en-US"/>
              </w:rPr>
            </w:pPr>
            <w:ins w:id="104" w:author="Tao, Yingsheng" w:date="2023-03-29T23:54:00Z">
              <w:r w:rsidRPr="009B72AB">
                <w:rPr>
                  <w:rFonts w:hint="eastAsia"/>
                  <w:lang w:eastAsia="zh-CN"/>
                </w:rPr>
                <w:t>本决议规定的</w:t>
              </w:r>
            </w:ins>
            <w:r w:rsidRPr="009B72AB">
              <w:rPr>
                <w:rFonts w:hint="eastAsia"/>
                <w:lang w:val="en-US" w:eastAsia="zh-CN"/>
              </w:rPr>
              <w:t>新标准</w:t>
            </w:r>
          </w:p>
        </w:tc>
      </w:tr>
      <w:tr w:rsidR="001E1A76" w:rsidRPr="009B72AB" w14:paraId="0642D98C" w14:textId="77777777" w:rsidTr="003940A1">
        <w:tc>
          <w:tcPr>
            <w:tcW w:w="2122" w:type="dxa"/>
            <w:vMerge/>
            <w:shd w:val="clear" w:color="auto" w:fill="auto"/>
          </w:tcPr>
          <w:p w14:paraId="025067BF" w14:textId="77777777" w:rsidR="001E1A76" w:rsidRPr="009B72AB" w:rsidRDefault="00237AD4" w:rsidP="003940A1">
            <w:pPr>
              <w:pStyle w:val="Tabletext"/>
              <w:rPr>
                <w:lang w:val="en-US"/>
              </w:rPr>
            </w:pPr>
          </w:p>
        </w:tc>
        <w:tc>
          <w:tcPr>
            <w:tcW w:w="5670" w:type="dxa"/>
            <w:shd w:val="clear" w:color="auto" w:fill="auto"/>
          </w:tcPr>
          <w:p w14:paraId="61A8C8BA" w14:textId="77777777" w:rsidR="001E1A76" w:rsidRPr="009B72AB" w:rsidRDefault="005175B2" w:rsidP="003940A1">
            <w:pPr>
              <w:pStyle w:val="Tabletext"/>
              <w:rPr>
                <w:lang w:val="en-US"/>
              </w:rPr>
            </w:pPr>
            <w:r w:rsidRPr="009B72AB">
              <w:rPr>
                <w:rFonts w:hint="eastAsia"/>
                <w:lang w:val="en-US" w:eastAsia="zh-CN"/>
              </w:rPr>
              <w:t>之前的现存系统</w:t>
            </w:r>
          </w:p>
        </w:tc>
        <w:tc>
          <w:tcPr>
            <w:tcW w:w="1559" w:type="dxa"/>
            <w:shd w:val="clear" w:color="auto" w:fill="auto"/>
          </w:tcPr>
          <w:p w14:paraId="23296636" w14:textId="77777777" w:rsidR="001E1A76" w:rsidRPr="009B72AB" w:rsidRDefault="005175B2" w:rsidP="003940A1">
            <w:pPr>
              <w:pStyle w:val="Tabletext"/>
              <w:jc w:val="center"/>
              <w:rPr>
                <w:lang w:val="en-US"/>
              </w:rPr>
            </w:pPr>
            <w:ins w:id="105" w:author="Tao, Yingsheng" w:date="2022-11-17T18:16:00Z">
              <w:r w:rsidRPr="009B72AB">
                <w:rPr>
                  <w:rFonts w:hint="eastAsia"/>
                  <w:lang w:eastAsia="zh-CN"/>
                </w:rPr>
                <w:t>附录</w:t>
              </w:r>
              <w:r w:rsidRPr="009B72AB">
                <w:rPr>
                  <w:b/>
                  <w:bCs/>
                  <w:lang w:eastAsia="zh-CN"/>
                  <w:rPrChange w:id="106"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39053F82" w14:textId="77777777" w:rsidTr="003940A1">
        <w:tc>
          <w:tcPr>
            <w:tcW w:w="2122" w:type="dxa"/>
            <w:vMerge/>
            <w:shd w:val="clear" w:color="auto" w:fill="auto"/>
          </w:tcPr>
          <w:p w14:paraId="4DA07E9D" w14:textId="77777777" w:rsidR="001E1A76" w:rsidRPr="009B72AB" w:rsidRDefault="00237AD4" w:rsidP="003940A1">
            <w:pPr>
              <w:pStyle w:val="Tabletext"/>
              <w:rPr>
                <w:lang w:val="en-US"/>
              </w:rPr>
            </w:pPr>
          </w:p>
        </w:tc>
        <w:tc>
          <w:tcPr>
            <w:tcW w:w="5670" w:type="dxa"/>
            <w:shd w:val="clear" w:color="auto" w:fill="auto"/>
          </w:tcPr>
          <w:p w14:paraId="21263410" w14:textId="77777777" w:rsidR="001E1A76" w:rsidRPr="009B72AB" w:rsidRDefault="005175B2" w:rsidP="003940A1">
            <w:pPr>
              <w:pStyle w:val="Tabletext"/>
              <w:rPr>
                <w:lang w:val="en-US" w:eastAsia="zh-CN"/>
              </w:rPr>
            </w:pPr>
            <w:r w:rsidRPr="009B72AB">
              <w:rPr>
                <w:rFonts w:hint="eastAsia"/>
                <w:lang w:eastAsia="zh-CN"/>
              </w:rPr>
              <w:t>适用特别程序的附加系统</w:t>
            </w:r>
          </w:p>
        </w:tc>
        <w:tc>
          <w:tcPr>
            <w:tcW w:w="1559" w:type="dxa"/>
            <w:shd w:val="clear" w:color="auto" w:fill="auto"/>
          </w:tcPr>
          <w:p w14:paraId="51A81A49" w14:textId="77777777" w:rsidR="001E1A76" w:rsidRPr="009B72AB" w:rsidRDefault="005175B2" w:rsidP="003940A1">
            <w:pPr>
              <w:pStyle w:val="Tabletext"/>
              <w:jc w:val="center"/>
              <w:rPr>
                <w:lang w:val="en-US"/>
              </w:rPr>
            </w:pPr>
            <w:ins w:id="107" w:author="Tao, Yingsheng" w:date="2022-11-17T18:16:00Z">
              <w:r w:rsidRPr="009B72AB">
                <w:rPr>
                  <w:rFonts w:hint="eastAsia"/>
                  <w:lang w:eastAsia="zh-CN"/>
                </w:rPr>
                <w:t>附录</w:t>
              </w:r>
              <w:r w:rsidRPr="009B72AB">
                <w:rPr>
                  <w:b/>
                  <w:bCs/>
                  <w:lang w:eastAsia="zh-CN"/>
                  <w:rPrChange w:id="108"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38C6EF4E" w14:textId="77777777" w:rsidTr="003940A1">
        <w:tc>
          <w:tcPr>
            <w:tcW w:w="2122" w:type="dxa"/>
            <w:vMerge/>
            <w:shd w:val="clear" w:color="auto" w:fill="auto"/>
          </w:tcPr>
          <w:p w14:paraId="196221AA" w14:textId="77777777" w:rsidR="001E1A76" w:rsidRPr="009B72AB" w:rsidRDefault="00237AD4" w:rsidP="003940A1">
            <w:pPr>
              <w:pStyle w:val="Tabletext"/>
              <w:rPr>
                <w:lang w:val="en-US"/>
              </w:rPr>
            </w:pPr>
          </w:p>
        </w:tc>
        <w:tc>
          <w:tcPr>
            <w:tcW w:w="5670" w:type="dxa"/>
            <w:shd w:val="clear" w:color="auto" w:fill="auto"/>
          </w:tcPr>
          <w:p w14:paraId="64B23C84" w14:textId="77777777" w:rsidR="001E1A76" w:rsidRPr="009B72AB" w:rsidRDefault="005175B2" w:rsidP="003940A1">
            <w:pPr>
              <w:pStyle w:val="Tabletext"/>
              <w:rPr>
                <w:lang w:val="en-US" w:eastAsia="zh-CN"/>
              </w:rPr>
            </w:pPr>
            <w:r w:rsidRPr="009B72AB">
              <w:rPr>
                <w:lang w:eastAsia="zh-CN"/>
              </w:rPr>
              <w:t>频率指配</w:t>
            </w:r>
            <w:r w:rsidRPr="009B72AB">
              <w:rPr>
                <w:rFonts w:hint="eastAsia"/>
                <w:lang w:eastAsia="zh-CN"/>
              </w:rPr>
              <w:t>为</w:t>
            </w:r>
            <w:r w:rsidRPr="009B72AB">
              <w:rPr>
                <w:lang w:eastAsia="zh-CN"/>
              </w:rPr>
              <w:t>2019</w:t>
            </w:r>
            <w:r w:rsidRPr="009B72AB">
              <w:rPr>
                <w:lang w:eastAsia="zh-CN"/>
              </w:rPr>
              <w:t>年</w:t>
            </w:r>
            <w:r w:rsidRPr="009B72AB">
              <w:rPr>
                <w:lang w:eastAsia="zh-CN"/>
              </w:rPr>
              <w:t>11</w:t>
            </w:r>
            <w:r w:rsidRPr="009B72AB">
              <w:rPr>
                <w:lang w:eastAsia="zh-CN"/>
              </w:rPr>
              <w:t>月</w:t>
            </w:r>
            <w:r w:rsidRPr="009B72AB">
              <w:rPr>
                <w:lang w:eastAsia="zh-CN"/>
              </w:rPr>
              <w:t>22</w:t>
            </w:r>
            <w:r w:rsidRPr="009B72AB">
              <w:rPr>
                <w:lang w:eastAsia="zh-CN"/>
              </w:rPr>
              <w:t>日之前在列表中</w:t>
            </w:r>
            <w:r w:rsidRPr="009B72AB">
              <w:rPr>
                <w:rFonts w:hint="eastAsia"/>
                <w:lang w:eastAsia="zh-CN"/>
              </w:rPr>
              <w:t>登</w:t>
            </w:r>
            <w:r w:rsidRPr="009B72AB">
              <w:rPr>
                <w:lang w:eastAsia="zh-CN"/>
              </w:rPr>
              <w:t>记</w:t>
            </w:r>
            <w:r w:rsidRPr="009B72AB">
              <w:rPr>
                <w:rFonts w:hint="eastAsia"/>
                <w:lang w:eastAsia="zh-CN"/>
              </w:rPr>
              <w:t>且业务</w:t>
            </w:r>
            <w:r w:rsidRPr="009B72AB">
              <w:rPr>
                <w:lang w:eastAsia="zh-CN"/>
              </w:rPr>
              <w:t>区仅限于</w:t>
            </w:r>
            <w:r w:rsidRPr="009B72AB">
              <w:rPr>
                <w:rFonts w:hint="eastAsia"/>
                <w:lang w:eastAsia="zh-CN"/>
              </w:rPr>
              <w:t>国内领土的附加系统，</w:t>
            </w:r>
            <w:r w:rsidRPr="009B72AB">
              <w:rPr>
                <w:lang w:eastAsia="zh-CN"/>
              </w:rPr>
              <w:t>不适用</w:t>
            </w:r>
            <w:r w:rsidRPr="009B72AB">
              <w:rPr>
                <w:rFonts w:hint="eastAsia"/>
                <w:lang w:eastAsia="zh-CN"/>
              </w:rPr>
              <w:t>特别</w:t>
            </w:r>
            <w:r w:rsidRPr="009B72AB">
              <w:rPr>
                <w:lang w:eastAsia="zh-CN"/>
              </w:rPr>
              <w:t>程序</w:t>
            </w:r>
          </w:p>
        </w:tc>
        <w:tc>
          <w:tcPr>
            <w:tcW w:w="1559" w:type="dxa"/>
            <w:shd w:val="clear" w:color="auto" w:fill="auto"/>
          </w:tcPr>
          <w:p w14:paraId="24C871EA" w14:textId="77777777" w:rsidR="001E1A76" w:rsidRPr="009B72AB" w:rsidRDefault="005175B2" w:rsidP="003940A1">
            <w:pPr>
              <w:pStyle w:val="Tabletext"/>
              <w:jc w:val="center"/>
              <w:rPr>
                <w:lang w:val="en-US"/>
              </w:rPr>
            </w:pPr>
            <w:ins w:id="109" w:author="Tao, Yingsheng" w:date="2022-11-17T18:16:00Z">
              <w:r w:rsidRPr="009B72AB">
                <w:rPr>
                  <w:rFonts w:hint="eastAsia"/>
                  <w:lang w:eastAsia="zh-CN"/>
                </w:rPr>
                <w:t>附录</w:t>
              </w:r>
              <w:r w:rsidRPr="009B72AB">
                <w:rPr>
                  <w:b/>
                  <w:bCs/>
                  <w:lang w:eastAsia="zh-CN"/>
                  <w:rPrChange w:id="110"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547D0DCB" w14:textId="77777777" w:rsidTr="003940A1">
        <w:tc>
          <w:tcPr>
            <w:tcW w:w="2122" w:type="dxa"/>
            <w:vMerge/>
            <w:shd w:val="clear" w:color="auto" w:fill="auto"/>
          </w:tcPr>
          <w:p w14:paraId="42D7603F" w14:textId="77777777" w:rsidR="001E1A76" w:rsidRPr="009B72AB" w:rsidRDefault="00237AD4" w:rsidP="003940A1">
            <w:pPr>
              <w:pStyle w:val="Tabletext"/>
              <w:rPr>
                <w:lang w:val="en-US"/>
              </w:rPr>
            </w:pPr>
          </w:p>
        </w:tc>
        <w:tc>
          <w:tcPr>
            <w:tcW w:w="5670" w:type="dxa"/>
            <w:shd w:val="clear" w:color="auto" w:fill="auto"/>
          </w:tcPr>
          <w:p w14:paraId="5B9433B7" w14:textId="77777777" w:rsidR="001E1A76" w:rsidRPr="009B72AB" w:rsidRDefault="005175B2" w:rsidP="003940A1">
            <w:pPr>
              <w:pStyle w:val="Tabletext"/>
              <w:rPr>
                <w:lang w:val="en-US" w:eastAsia="zh-CN"/>
              </w:rPr>
            </w:pPr>
            <w:r w:rsidRPr="009B72AB">
              <w:rPr>
                <w:lang w:eastAsia="zh-CN"/>
              </w:rPr>
              <w:t>频率指配</w:t>
            </w:r>
            <w:r w:rsidRPr="009B72AB">
              <w:rPr>
                <w:rFonts w:hint="eastAsia"/>
                <w:lang w:eastAsia="zh-CN"/>
              </w:rPr>
              <w:t>系</w:t>
            </w:r>
            <w:r w:rsidRPr="009B72AB">
              <w:rPr>
                <w:lang w:eastAsia="zh-CN"/>
              </w:rPr>
              <w:t>根据附录</w:t>
            </w:r>
            <w:r w:rsidRPr="009B72AB">
              <w:rPr>
                <w:b/>
                <w:bCs/>
                <w:lang w:eastAsia="zh-CN"/>
              </w:rPr>
              <w:t>30B</w:t>
            </w:r>
            <w:r w:rsidRPr="009B72AB">
              <w:rPr>
                <w:rFonts w:hint="eastAsia"/>
                <w:lang w:eastAsia="zh-CN"/>
              </w:rPr>
              <w:t>第</w:t>
            </w:r>
            <w:r w:rsidRPr="009B72AB">
              <w:rPr>
                <w:lang w:eastAsia="zh-CN"/>
              </w:rPr>
              <w:t>6.1</w:t>
            </w:r>
            <w:r w:rsidRPr="009B72AB">
              <w:rPr>
                <w:rFonts w:hint="eastAsia"/>
                <w:lang w:eastAsia="zh-CN"/>
              </w:rPr>
              <w:t>节</w:t>
            </w:r>
            <w:r w:rsidRPr="009B72AB">
              <w:rPr>
                <w:lang w:eastAsia="zh-CN"/>
              </w:rPr>
              <w:t>提交的附加系统，其</w:t>
            </w:r>
            <w:r w:rsidRPr="009B72AB">
              <w:rPr>
                <w:rFonts w:hint="eastAsia"/>
                <w:lang w:eastAsia="zh-CN"/>
              </w:rPr>
              <w:t>业务</w:t>
            </w:r>
            <w:r w:rsidRPr="009B72AB">
              <w:rPr>
                <w:lang w:eastAsia="zh-CN"/>
              </w:rPr>
              <w:t>区限于国</w:t>
            </w:r>
            <w:r w:rsidRPr="009B72AB">
              <w:rPr>
                <w:rFonts w:hint="eastAsia"/>
                <w:lang w:eastAsia="zh-CN"/>
              </w:rPr>
              <w:t>内</w:t>
            </w:r>
            <w:r w:rsidRPr="009B72AB">
              <w:rPr>
                <w:lang w:eastAsia="zh-CN"/>
              </w:rPr>
              <w:t>领</w:t>
            </w:r>
            <w:r w:rsidRPr="009B72AB">
              <w:rPr>
                <w:rFonts w:hint="eastAsia"/>
                <w:lang w:eastAsia="zh-CN"/>
              </w:rPr>
              <w:t>土，</w:t>
            </w:r>
            <w:r w:rsidRPr="009B72AB">
              <w:rPr>
                <w:lang w:eastAsia="zh-CN"/>
              </w:rPr>
              <w:t>不适用特别程序</w:t>
            </w:r>
          </w:p>
        </w:tc>
        <w:tc>
          <w:tcPr>
            <w:tcW w:w="1559" w:type="dxa"/>
            <w:shd w:val="clear" w:color="auto" w:fill="auto"/>
          </w:tcPr>
          <w:p w14:paraId="5F90E3B9" w14:textId="77777777" w:rsidR="001E1A76" w:rsidRPr="009B72AB" w:rsidRDefault="005175B2" w:rsidP="003940A1">
            <w:pPr>
              <w:pStyle w:val="Tabletext"/>
              <w:jc w:val="center"/>
              <w:rPr>
                <w:lang w:val="en-US"/>
              </w:rPr>
            </w:pPr>
            <w:ins w:id="111"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1C5E66F2" w14:textId="77777777" w:rsidTr="003940A1">
        <w:tc>
          <w:tcPr>
            <w:tcW w:w="2122" w:type="dxa"/>
            <w:vMerge/>
            <w:shd w:val="clear" w:color="auto" w:fill="auto"/>
          </w:tcPr>
          <w:p w14:paraId="5C86F990" w14:textId="77777777" w:rsidR="001E1A76" w:rsidRPr="009B72AB" w:rsidRDefault="00237AD4" w:rsidP="003940A1">
            <w:pPr>
              <w:pStyle w:val="Tabletext"/>
              <w:rPr>
                <w:lang w:val="en-US"/>
              </w:rPr>
            </w:pPr>
          </w:p>
        </w:tc>
        <w:tc>
          <w:tcPr>
            <w:tcW w:w="5670" w:type="dxa"/>
            <w:shd w:val="clear" w:color="auto" w:fill="auto"/>
          </w:tcPr>
          <w:p w14:paraId="4120FAD4" w14:textId="77777777" w:rsidR="001E1A76" w:rsidRPr="009B72AB" w:rsidRDefault="005175B2" w:rsidP="003940A1">
            <w:pPr>
              <w:pStyle w:val="Tabletext"/>
              <w:rPr>
                <w:lang w:val="en-US" w:eastAsia="zh-CN"/>
              </w:rPr>
            </w:pPr>
            <w:r w:rsidRPr="009B72AB">
              <w:rPr>
                <w:lang w:eastAsia="zh-CN"/>
              </w:rPr>
              <w:t>指配频率</w:t>
            </w:r>
            <w:r w:rsidRPr="009B72AB">
              <w:rPr>
                <w:rFonts w:hint="eastAsia"/>
                <w:lang w:eastAsia="zh-CN"/>
              </w:rPr>
              <w:t>的业务</w:t>
            </w:r>
            <w:r w:rsidRPr="009B72AB">
              <w:rPr>
                <w:lang w:eastAsia="zh-CN"/>
              </w:rPr>
              <w:t>区不在本国领土范围内</w:t>
            </w:r>
            <w:r w:rsidRPr="009B72AB">
              <w:rPr>
                <w:rFonts w:hint="eastAsia"/>
                <w:lang w:eastAsia="zh-CN"/>
              </w:rPr>
              <w:t>的附加系统</w:t>
            </w:r>
            <w:r w:rsidRPr="009B72AB">
              <w:rPr>
                <w:lang w:eastAsia="zh-CN"/>
              </w:rPr>
              <w:t>，不适用特别程序</w:t>
            </w:r>
          </w:p>
        </w:tc>
        <w:tc>
          <w:tcPr>
            <w:tcW w:w="1559" w:type="dxa"/>
            <w:shd w:val="clear" w:color="auto" w:fill="auto"/>
          </w:tcPr>
          <w:p w14:paraId="294377F9" w14:textId="77777777" w:rsidR="001E1A76" w:rsidRPr="009B72AB" w:rsidRDefault="005175B2" w:rsidP="003940A1">
            <w:pPr>
              <w:pStyle w:val="Tabletext"/>
              <w:jc w:val="center"/>
              <w:rPr>
                <w:lang w:val="en-US"/>
              </w:rPr>
            </w:pPr>
            <w:ins w:id="112" w:author="Tao, Yingsheng" w:date="2023-03-29T23:55:00Z">
              <w:r w:rsidRPr="009B72AB">
                <w:rPr>
                  <w:rFonts w:hint="eastAsia"/>
                  <w:lang w:eastAsia="zh-CN"/>
                </w:rPr>
                <w:t>本决议规定的</w:t>
              </w:r>
            </w:ins>
            <w:r w:rsidRPr="009B72AB">
              <w:rPr>
                <w:rFonts w:hint="eastAsia"/>
                <w:lang w:val="en-US" w:eastAsia="zh-CN"/>
              </w:rPr>
              <w:t>新标准</w:t>
            </w:r>
          </w:p>
        </w:tc>
      </w:tr>
      <w:tr w:rsidR="001E1A76" w:rsidRPr="009B72AB" w14:paraId="457BF7BC" w14:textId="77777777" w:rsidTr="003940A1">
        <w:tc>
          <w:tcPr>
            <w:tcW w:w="2122" w:type="dxa"/>
            <w:vMerge/>
            <w:shd w:val="clear" w:color="auto" w:fill="auto"/>
          </w:tcPr>
          <w:p w14:paraId="6CA0236F" w14:textId="77777777" w:rsidR="001E1A76" w:rsidRPr="009B72AB" w:rsidRDefault="00237AD4" w:rsidP="003940A1">
            <w:pPr>
              <w:pStyle w:val="Tabletext"/>
              <w:rPr>
                <w:lang w:val="en-US"/>
              </w:rPr>
            </w:pPr>
          </w:p>
        </w:tc>
        <w:tc>
          <w:tcPr>
            <w:tcW w:w="5670" w:type="dxa"/>
            <w:shd w:val="clear" w:color="auto" w:fill="auto"/>
          </w:tcPr>
          <w:p w14:paraId="567C4B24" w14:textId="77777777" w:rsidR="001E1A76" w:rsidRPr="009B72AB" w:rsidRDefault="005175B2" w:rsidP="003940A1">
            <w:pPr>
              <w:pStyle w:val="Tabletext"/>
              <w:rPr>
                <w:lang w:val="en-US" w:eastAsia="zh-CN"/>
              </w:rPr>
            </w:pPr>
            <w:r w:rsidRPr="009B72AB">
              <w:rPr>
                <w:rFonts w:hint="eastAsia"/>
                <w:lang w:val="en-US" w:eastAsia="zh-CN"/>
              </w:rPr>
              <w:t>按照第</w:t>
            </w:r>
            <w:r w:rsidRPr="009B72AB">
              <w:rPr>
                <w:rFonts w:hint="eastAsia"/>
                <w:b/>
                <w:bCs/>
                <w:lang w:val="en-US" w:eastAsia="zh-CN"/>
              </w:rPr>
              <w:t>7</w:t>
            </w:r>
            <w:r w:rsidRPr="009B72AB">
              <w:rPr>
                <w:rFonts w:hint="eastAsia"/>
                <w:lang w:val="en-US" w:eastAsia="zh-CN"/>
              </w:rPr>
              <w:t>条提出，但被转到第</w:t>
            </w:r>
            <w:r w:rsidRPr="009B72AB">
              <w:rPr>
                <w:rFonts w:hint="eastAsia"/>
                <w:b/>
                <w:bCs/>
                <w:lang w:val="en-US" w:eastAsia="zh-CN"/>
              </w:rPr>
              <w:t>6</w:t>
            </w:r>
            <w:r w:rsidRPr="009B72AB">
              <w:rPr>
                <w:rFonts w:hint="eastAsia"/>
                <w:lang w:val="en-US" w:eastAsia="zh-CN"/>
              </w:rPr>
              <w:t>条的请求</w:t>
            </w:r>
          </w:p>
        </w:tc>
        <w:tc>
          <w:tcPr>
            <w:tcW w:w="1559" w:type="dxa"/>
            <w:shd w:val="clear" w:color="auto" w:fill="auto"/>
          </w:tcPr>
          <w:p w14:paraId="795B7A9E" w14:textId="77777777" w:rsidR="001E1A76" w:rsidRPr="009B72AB" w:rsidRDefault="005175B2" w:rsidP="003940A1">
            <w:pPr>
              <w:pStyle w:val="Tabletext"/>
              <w:jc w:val="center"/>
              <w:rPr>
                <w:lang w:val="en-US"/>
              </w:rPr>
            </w:pPr>
            <w:ins w:id="113" w:author="Tao, Yingsheng" w:date="2022-11-17T18:16:00Z">
              <w:r w:rsidRPr="009B72AB">
                <w:rPr>
                  <w:rFonts w:hint="eastAsia"/>
                  <w:lang w:eastAsia="zh-CN"/>
                </w:rPr>
                <w:t>附录</w:t>
              </w:r>
              <w:r w:rsidRPr="009B72AB">
                <w:rPr>
                  <w:b/>
                  <w:bCs/>
                  <w:lang w:eastAsia="zh-CN"/>
                  <w:rPrChange w:id="114"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9B72AB" w14:paraId="3D473C29" w14:textId="77777777" w:rsidTr="003940A1">
        <w:tc>
          <w:tcPr>
            <w:tcW w:w="2122" w:type="dxa"/>
            <w:vMerge/>
            <w:shd w:val="clear" w:color="auto" w:fill="auto"/>
          </w:tcPr>
          <w:p w14:paraId="3FDBB659" w14:textId="77777777" w:rsidR="001E1A76" w:rsidRPr="009B72AB" w:rsidRDefault="00237AD4" w:rsidP="003940A1">
            <w:pPr>
              <w:pStyle w:val="Tabletext"/>
              <w:rPr>
                <w:lang w:val="en-US"/>
              </w:rPr>
            </w:pPr>
          </w:p>
        </w:tc>
        <w:tc>
          <w:tcPr>
            <w:tcW w:w="5670" w:type="dxa"/>
            <w:shd w:val="clear" w:color="auto" w:fill="auto"/>
          </w:tcPr>
          <w:p w14:paraId="6AEF4002" w14:textId="77777777" w:rsidR="001E1A76" w:rsidRPr="009B72AB" w:rsidRDefault="005175B2" w:rsidP="003940A1">
            <w:pPr>
              <w:pStyle w:val="Tabletext"/>
              <w:rPr>
                <w:lang w:val="en-US" w:eastAsia="zh-CN"/>
              </w:rPr>
            </w:pPr>
            <w:r w:rsidRPr="009B72AB">
              <w:rPr>
                <w:rFonts w:hint="eastAsia"/>
                <w:lang w:val="en-US" w:eastAsia="zh-CN"/>
              </w:rPr>
              <w:t>通过应用第</w:t>
            </w:r>
            <w:r w:rsidRPr="009B72AB">
              <w:rPr>
                <w:rFonts w:hint="eastAsia"/>
                <w:lang w:val="en-US" w:eastAsia="zh-CN"/>
              </w:rPr>
              <w:t>6.35</w:t>
            </w:r>
            <w:r w:rsidRPr="009B72AB">
              <w:rPr>
                <w:rFonts w:hint="eastAsia"/>
                <w:lang w:val="en-US" w:eastAsia="zh-CN"/>
              </w:rPr>
              <w:t>段的新分配</w:t>
            </w:r>
          </w:p>
        </w:tc>
        <w:tc>
          <w:tcPr>
            <w:tcW w:w="1559" w:type="dxa"/>
            <w:shd w:val="clear" w:color="auto" w:fill="auto"/>
          </w:tcPr>
          <w:p w14:paraId="77777819" w14:textId="77777777" w:rsidR="001E1A76" w:rsidRPr="009B72AB" w:rsidRDefault="005175B2" w:rsidP="003940A1">
            <w:pPr>
              <w:pStyle w:val="Tabletext"/>
              <w:jc w:val="center"/>
              <w:rPr>
                <w:lang w:val="en-US"/>
              </w:rPr>
            </w:pPr>
            <w:ins w:id="115" w:author="Tao, Yingsheng" w:date="2022-11-17T18:16:00Z">
              <w:r w:rsidRPr="009B72AB">
                <w:rPr>
                  <w:rFonts w:hint="eastAsia"/>
                  <w:lang w:eastAsia="zh-CN"/>
                </w:rPr>
                <w:t>附录</w:t>
              </w:r>
              <w:r w:rsidRPr="009B72AB">
                <w:rPr>
                  <w:b/>
                  <w:bCs/>
                  <w:lang w:eastAsia="zh-CN"/>
                  <w:rPrChange w:id="116"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r w:rsidR="001E1A76" w:rsidRPr="00BB4784" w14:paraId="652CB4EB" w14:textId="77777777" w:rsidTr="003940A1">
        <w:tc>
          <w:tcPr>
            <w:tcW w:w="2122" w:type="dxa"/>
            <w:shd w:val="clear" w:color="auto" w:fill="auto"/>
          </w:tcPr>
          <w:p w14:paraId="70DBCC14" w14:textId="77777777" w:rsidR="001E1A76" w:rsidRPr="009B72AB" w:rsidRDefault="005175B2" w:rsidP="003940A1">
            <w:pPr>
              <w:pStyle w:val="Tabletext"/>
              <w:rPr>
                <w:lang w:val="en-US" w:eastAsia="zh-CN"/>
              </w:rPr>
            </w:pPr>
            <w:r w:rsidRPr="009B72AB">
              <w:rPr>
                <w:rFonts w:hint="eastAsia"/>
                <w:lang w:val="en-US" w:eastAsia="zh-CN"/>
              </w:rPr>
              <w:t>特别程序不适用的、对分配的转换或新的附加系统</w:t>
            </w:r>
          </w:p>
        </w:tc>
        <w:tc>
          <w:tcPr>
            <w:tcW w:w="5670" w:type="dxa"/>
            <w:shd w:val="clear" w:color="auto" w:fill="auto"/>
          </w:tcPr>
          <w:p w14:paraId="3B311DA4" w14:textId="77777777" w:rsidR="001E1A76" w:rsidRPr="009B72AB" w:rsidRDefault="005175B2" w:rsidP="003940A1">
            <w:pPr>
              <w:pStyle w:val="Tabletext"/>
              <w:rPr>
                <w:lang w:val="en-US"/>
              </w:rPr>
            </w:pPr>
            <w:r w:rsidRPr="009B72AB">
              <w:rPr>
                <w:rFonts w:hint="eastAsia"/>
                <w:lang w:val="en-US" w:eastAsia="zh-CN"/>
              </w:rPr>
              <w:t>全部</w:t>
            </w:r>
          </w:p>
        </w:tc>
        <w:tc>
          <w:tcPr>
            <w:tcW w:w="1559" w:type="dxa"/>
            <w:shd w:val="clear" w:color="auto" w:fill="auto"/>
          </w:tcPr>
          <w:p w14:paraId="664AF883" w14:textId="77777777" w:rsidR="001E1A76" w:rsidRPr="00BB4784" w:rsidRDefault="005175B2" w:rsidP="003940A1">
            <w:pPr>
              <w:pStyle w:val="Tabletext"/>
              <w:jc w:val="center"/>
              <w:rPr>
                <w:lang w:val="en-US"/>
              </w:rPr>
            </w:pPr>
            <w:ins w:id="117" w:author="Tao, Yingsheng" w:date="2022-11-17T18:16:00Z">
              <w:r w:rsidRPr="009B72AB">
                <w:rPr>
                  <w:rFonts w:hint="eastAsia"/>
                  <w:lang w:eastAsia="zh-CN"/>
                </w:rPr>
                <w:t>附录</w:t>
              </w:r>
              <w:r w:rsidRPr="009B72AB">
                <w:rPr>
                  <w:b/>
                  <w:bCs/>
                  <w:lang w:eastAsia="zh-CN"/>
                  <w:rPrChange w:id="118" w:author="Tao, Yingsheng" w:date="2022-11-17T18:16:00Z">
                    <w:rPr>
                      <w:lang w:eastAsia="zh-CN"/>
                    </w:rPr>
                  </w:rPrChange>
                </w:rPr>
                <w:t>30B</w:t>
              </w:r>
            </w:ins>
            <w:r w:rsidRPr="009B72AB">
              <w:rPr>
                <w:b/>
                <w:bCs/>
                <w:lang w:eastAsia="zh-CN"/>
              </w:rPr>
              <w:br/>
            </w:r>
            <w:r w:rsidRPr="009B72AB">
              <w:rPr>
                <w:lang w:val="en-US"/>
              </w:rPr>
              <w:t>附件</w:t>
            </w:r>
            <w:r w:rsidRPr="009B72AB">
              <w:rPr>
                <w:lang w:val="en-US"/>
              </w:rPr>
              <w:t>4</w:t>
            </w:r>
          </w:p>
        </w:tc>
      </w:tr>
    </w:tbl>
    <w:p w14:paraId="63E1C284" w14:textId="2FD29D8F" w:rsidR="007261A9" w:rsidRPr="00EF26EE" w:rsidRDefault="002B3DFE" w:rsidP="007261A9">
      <w:pPr>
        <w:pStyle w:val="AnnexNo"/>
        <w:rPr>
          <w:lang w:val="en-US" w:eastAsia="zh-CN"/>
        </w:rPr>
      </w:pPr>
      <w:r w:rsidRPr="002211B7">
        <w:rPr>
          <w:rFonts w:hint="eastAsia"/>
          <w:lang w:val="en-US" w:eastAsia="zh-CN"/>
        </w:rPr>
        <w:t>第</w:t>
      </w:r>
      <w:r w:rsidRPr="00286879">
        <w:rPr>
          <w:lang w:val="en-US" w:eastAsia="zh-CN"/>
          <w:rPrChange w:id="119" w:author="LI, Ziqian" w:date="2022-11-18T14:45:00Z">
            <w:rPr>
              <w:b/>
              <w:bCs/>
              <w:lang w:val="en-US" w:eastAsia="zh-CN"/>
            </w:rPr>
          </w:rPrChange>
        </w:rPr>
        <w:t>170</w:t>
      </w:r>
      <w:r w:rsidRPr="002211B7">
        <w:rPr>
          <w:rFonts w:hint="eastAsia"/>
          <w:lang w:val="en-US" w:eastAsia="zh-CN"/>
        </w:rPr>
        <w:t>号决议</w:t>
      </w:r>
      <w:r>
        <w:rPr>
          <w:rFonts w:hint="eastAsia"/>
          <w:lang w:val="en-US" w:eastAsia="zh-CN"/>
        </w:rPr>
        <w:t>（</w:t>
      </w:r>
      <w:r w:rsidRPr="00286879">
        <w:rPr>
          <w:lang w:val="en-US" w:eastAsia="zh-CN"/>
          <w:rPrChange w:id="120" w:author="LI, Ziqian" w:date="2022-11-18T14:45:00Z">
            <w:rPr>
              <w:b/>
              <w:bCs/>
              <w:lang w:val="en-US" w:eastAsia="zh-CN"/>
            </w:rPr>
          </w:rPrChange>
        </w:rPr>
        <w:t>WRC-</w:t>
      </w:r>
      <w:del w:id="121" w:author="LI, Ziqian" w:date="2022-11-18T14:46:00Z">
        <w:r w:rsidRPr="00286879" w:rsidDel="00286879">
          <w:rPr>
            <w:lang w:val="en-US" w:eastAsia="zh-CN"/>
            <w:rPrChange w:id="122" w:author="LI, Ziqian" w:date="2022-11-18T14:45:00Z">
              <w:rPr>
                <w:b/>
                <w:bCs/>
                <w:lang w:val="en-US" w:eastAsia="zh-CN"/>
              </w:rPr>
            </w:rPrChange>
          </w:rPr>
          <w:delText>19</w:delText>
        </w:r>
      </w:del>
      <w:ins w:id="123" w:author="LI, Ziqian" w:date="2022-10-19T15:26:00Z">
        <w:r>
          <w:rPr>
            <w:rFonts w:hint="eastAsia"/>
            <w:lang w:val="en-US" w:eastAsia="zh-CN"/>
          </w:rPr>
          <w:t>23</w:t>
        </w:r>
        <w:r>
          <w:rPr>
            <w:rFonts w:hint="eastAsia"/>
            <w:lang w:val="en-US" w:eastAsia="zh-CN"/>
          </w:rPr>
          <w:t>，修订版</w:t>
        </w:r>
      </w:ins>
      <w:r>
        <w:rPr>
          <w:rFonts w:hint="eastAsia"/>
          <w:lang w:val="en-US" w:eastAsia="zh-CN"/>
        </w:rPr>
        <w:t>）后附资料</w:t>
      </w:r>
      <w:r>
        <w:rPr>
          <w:lang w:val="en-US" w:eastAsia="zh-CN"/>
        </w:rPr>
        <w:t>2</w:t>
      </w:r>
    </w:p>
    <w:p w14:paraId="66F0345E" w14:textId="77777777" w:rsidR="007261A9" w:rsidRPr="00597BE5" w:rsidRDefault="007261A9" w:rsidP="007261A9">
      <w:r w:rsidRPr="00597BE5">
        <w:t>…</w:t>
      </w:r>
    </w:p>
    <w:p w14:paraId="0F4EFD13" w14:textId="77777777" w:rsidR="007261A9" w:rsidRDefault="007261A9" w:rsidP="0032202E">
      <w:pPr>
        <w:pStyle w:val="Reasons"/>
      </w:pPr>
    </w:p>
    <w:p w14:paraId="60B1695E" w14:textId="582E7236" w:rsidR="00D70403" w:rsidRDefault="007261A9" w:rsidP="007261A9">
      <w:pPr>
        <w:jc w:val="center"/>
      </w:pPr>
      <w:r>
        <w:t>______________</w:t>
      </w:r>
    </w:p>
    <w:sectPr w:rsidR="00D7040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F7946" w14:textId="77777777" w:rsidR="00E8717D" w:rsidRDefault="00E8717D">
      <w:r>
        <w:separator/>
      </w:r>
    </w:p>
  </w:endnote>
  <w:endnote w:type="continuationSeparator" w:id="0">
    <w:p w14:paraId="246570B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CE514" w14:textId="4CB2166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6047A">
      <w:rPr>
        <w:lang w:val="en-US"/>
      </w:rPr>
      <w:t>P:\CHI\ITU-R\CONF-R\CMR23\000\065ADD22ADD07C.docx</w:t>
    </w:r>
    <w:r>
      <w:fldChar w:fldCharType="end"/>
    </w:r>
    <w:r w:rsidR="002E72D9">
      <w:t xml:space="preserve"> (530551)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9111" w14:textId="17D51A7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6047A">
      <w:rPr>
        <w:lang w:val="en-US"/>
      </w:rPr>
      <w:t>P:\CHI\ITU-R\CONF-R\CMR23\000\065ADD22ADD07C.docx</w:t>
    </w:r>
    <w:r>
      <w:fldChar w:fldCharType="end"/>
    </w:r>
    <w:r w:rsidR="002E72D9">
      <w:t xml:space="preserve"> (530551)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6280E" w14:textId="77777777" w:rsidR="00E8717D" w:rsidRDefault="00E8717D">
      <w:r>
        <w:t>____________________</w:t>
      </w:r>
    </w:p>
  </w:footnote>
  <w:footnote w:type="continuationSeparator" w:id="0">
    <w:p w14:paraId="0F7289C5" w14:textId="77777777" w:rsidR="00E8717D" w:rsidRDefault="00E8717D">
      <w:r>
        <w:continuationSeparator/>
      </w:r>
    </w:p>
  </w:footnote>
  <w:footnote w:id="1">
    <w:p w14:paraId="16A4D642" w14:textId="40766D11" w:rsidR="004435BE" w:rsidRPr="00876954" w:rsidRDefault="004435BE" w:rsidP="004435BE">
      <w:pPr>
        <w:pStyle w:val="FootnoteText"/>
        <w:rPr>
          <w:lang w:val="en-US" w:eastAsia="zh-CN"/>
        </w:rPr>
      </w:pPr>
      <w:r w:rsidRPr="00876954">
        <w:rPr>
          <w:rStyle w:val="FootnoteReference"/>
          <w:lang w:eastAsia="zh-CN"/>
        </w:rPr>
        <w:t>1</w:t>
      </w:r>
      <w:r w:rsidRPr="00876954">
        <w:rPr>
          <w:lang w:eastAsia="zh-CN"/>
        </w:rPr>
        <w:tab/>
      </w:r>
      <w:r w:rsidR="00BF1B38" w:rsidRPr="00234AAF">
        <w:rPr>
          <w:rFonts w:hint="eastAsia"/>
          <w:szCs w:val="22"/>
          <w:lang w:eastAsia="zh-CN"/>
        </w:rPr>
        <w:t>根据有关对卫星网络登记实施成本回收的经修订的理事会第</w:t>
      </w:r>
      <w:r w:rsidR="00BF1B38" w:rsidRPr="00234AAF">
        <w:rPr>
          <w:rFonts w:hint="eastAsia"/>
          <w:szCs w:val="22"/>
          <w:lang w:eastAsia="zh-CN"/>
        </w:rPr>
        <w:t>482</w:t>
      </w:r>
      <w:r w:rsidR="00BF1B38" w:rsidRPr="00234AAF">
        <w:rPr>
          <w:rFonts w:hint="eastAsia"/>
          <w:szCs w:val="22"/>
          <w:lang w:eastAsia="zh-CN"/>
        </w:rPr>
        <w:t>号决定，如果无线电通信局没有收到付款，则须在通知相关主管部门之后，取消第</w:t>
      </w:r>
      <w:r w:rsidR="00BF1B38" w:rsidRPr="00234AAF">
        <w:rPr>
          <w:szCs w:val="22"/>
          <w:lang w:eastAsia="zh-CN"/>
        </w:rPr>
        <w:t>6.7</w:t>
      </w:r>
      <w:r w:rsidR="00BF1B38" w:rsidRPr="00234AAF">
        <w:rPr>
          <w:rFonts w:hint="eastAsia"/>
          <w:szCs w:val="22"/>
          <w:lang w:eastAsia="zh-CN"/>
        </w:rPr>
        <w:t>和</w:t>
      </w:r>
      <w:r w:rsidR="00BF1B38" w:rsidRPr="00234AAF">
        <w:rPr>
          <w:szCs w:val="22"/>
          <w:lang w:eastAsia="zh-CN"/>
        </w:rPr>
        <w:t>/</w:t>
      </w:r>
      <w:r w:rsidR="00BF1B38" w:rsidRPr="00234AAF">
        <w:rPr>
          <w:rFonts w:hint="eastAsia"/>
          <w:szCs w:val="22"/>
          <w:lang w:eastAsia="zh-CN"/>
        </w:rPr>
        <w:t>或</w:t>
      </w:r>
      <w:r w:rsidR="00BF1B38" w:rsidRPr="00234AAF">
        <w:rPr>
          <w:szCs w:val="22"/>
          <w:lang w:eastAsia="zh-CN"/>
        </w:rPr>
        <w:t>6.2</w:t>
      </w:r>
      <w:r w:rsidR="00BF1B38" w:rsidRPr="00234AAF">
        <w:rPr>
          <w:rFonts w:hint="eastAsia"/>
          <w:szCs w:val="22"/>
          <w:lang w:eastAsia="zh-CN"/>
        </w:rPr>
        <w:t>3</w:t>
      </w:r>
      <w:r w:rsidR="00BF1B38" w:rsidRPr="00234AAF">
        <w:rPr>
          <w:rFonts w:hint="eastAsia"/>
          <w:szCs w:val="22"/>
          <w:lang w:eastAsia="zh-CN"/>
        </w:rPr>
        <w:t>段中规定的公布，并酌情取消第</w:t>
      </w:r>
      <w:r w:rsidR="00BF1B38" w:rsidRPr="00234AAF">
        <w:rPr>
          <w:szCs w:val="22"/>
          <w:lang w:eastAsia="zh-CN"/>
        </w:rPr>
        <w:t>6.2</w:t>
      </w:r>
      <w:r w:rsidR="00BF1B38" w:rsidRPr="00234AAF">
        <w:rPr>
          <w:rFonts w:hint="eastAsia"/>
          <w:szCs w:val="22"/>
          <w:lang w:eastAsia="zh-CN"/>
        </w:rPr>
        <w:t>3</w:t>
      </w:r>
      <w:r w:rsidR="00BF1B38" w:rsidRPr="00234AAF">
        <w:rPr>
          <w:rFonts w:hint="eastAsia"/>
          <w:szCs w:val="22"/>
          <w:lang w:eastAsia="zh-CN"/>
        </w:rPr>
        <w:t>和</w:t>
      </w:r>
      <w:r w:rsidR="00BF1B38" w:rsidRPr="00234AAF">
        <w:rPr>
          <w:szCs w:val="22"/>
          <w:lang w:eastAsia="zh-CN"/>
        </w:rPr>
        <w:t>/</w:t>
      </w:r>
      <w:r w:rsidR="00BF1B38" w:rsidRPr="00234AAF">
        <w:rPr>
          <w:rFonts w:hint="eastAsia"/>
          <w:szCs w:val="22"/>
          <w:lang w:eastAsia="zh-CN"/>
        </w:rPr>
        <w:t>或</w:t>
      </w:r>
      <w:r w:rsidR="00BF1B38" w:rsidRPr="00234AAF">
        <w:rPr>
          <w:szCs w:val="22"/>
          <w:lang w:eastAsia="zh-CN"/>
        </w:rPr>
        <w:t>6.2</w:t>
      </w:r>
      <w:r w:rsidR="00BF1B38" w:rsidRPr="00234AAF">
        <w:rPr>
          <w:rFonts w:hint="eastAsia"/>
          <w:szCs w:val="22"/>
          <w:lang w:eastAsia="zh-CN"/>
        </w:rPr>
        <w:t>5</w:t>
      </w:r>
      <w:r w:rsidR="00BF1B38" w:rsidRPr="00234AAF">
        <w:rPr>
          <w:rFonts w:hint="eastAsia"/>
          <w:szCs w:val="22"/>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00BF1B38" w:rsidRPr="00234AAF">
        <w:rPr>
          <w:rFonts w:hint="eastAsia"/>
          <w:szCs w:val="22"/>
          <w:lang w:eastAsia="zh-CN"/>
        </w:rPr>
        <w:t>482</w:t>
      </w:r>
      <w:r w:rsidR="00BF1B38" w:rsidRPr="00234AAF">
        <w:rPr>
          <w:rFonts w:hint="eastAsia"/>
          <w:szCs w:val="22"/>
          <w:lang w:eastAsia="zh-CN"/>
        </w:rPr>
        <w:t>号决定规定的支付日到期的两个月之前，向发出通知的主管部门发出一份提醒函，除非在该日期前款项已收到。亦见第</w:t>
      </w:r>
      <w:r w:rsidR="00BF1B38" w:rsidRPr="00234AAF">
        <w:rPr>
          <w:rFonts w:hint="eastAsia"/>
          <w:b/>
          <w:szCs w:val="22"/>
          <w:lang w:eastAsia="zh-CN"/>
        </w:rPr>
        <w:t>905</w:t>
      </w:r>
      <w:r w:rsidR="00BF1B38" w:rsidRPr="00234AAF">
        <w:rPr>
          <w:rFonts w:hint="eastAsia"/>
          <w:szCs w:val="22"/>
          <w:lang w:eastAsia="zh-CN"/>
        </w:rPr>
        <w:t>号决议</w:t>
      </w:r>
      <w:r w:rsidR="00BF1B38" w:rsidRPr="00234AAF">
        <w:rPr>
          <w:rFonts w:hint="eastAsia"/>
          <w:b/>
          <w:szCs w:val="22"/>
          <w:lang w:eastAsia="zh-CN"/>
        </w:rPr>
        <w:t>（</w:t>
      </w:r>
      <w:r w:rsidR="00BF1B38" w:rsidRPr="00234AAF">
        <w:rPr>
          <w:rFonts w:hint="eastAsia"/>
          <w:b/>
          <w:szCs w:val="22"/>
          <w:lang w:eastAsia="zh-CN"/>
        </w:rPr>
        <w:t>WRC-07</w:t>
      </w:r>
      <w:r w:rsidR="00BF1B38" w:rsidRPr="00234AAF">
        <w:rPr>
          <w:rFonts w:hint="eastAsia"/>
          <w:b/>
          <w:szCs w:val="22"/>
          <w:lang w:eastAsia="zh-CN"/>
        </w:rPr>
        <w:t>）</w:t>
      </w:r>
      <w:r w:rsidR="00BF1B38" w:rsidRPr="00CF1A7C">
        <w:rPr>
          <w:rStyle w:val="FootnoteReference"/>
          <w:szCs w:val="18"/>
          <w:lang w:eastAsia="zh-CN"/>
        </w:rPr>
        <w:t>*</w:t>
      </w:r>
      <w:r w:rsidR="00BF1B38" w:rsidRPr="00234AAF">
        <w:rPr>
          <w:rFonts w:hint="eastAsia"/>
          <w:szCs w:val="22"/>
          <w:lang w:eastAsia="zh-CN"/>
        </w:rPr>
        <w:t>。</w:t>
      </w:r>
    </w:p>
    <w:p w14:paraId="4CBC608B" w14:textId="0B354F4A" w:rsidR="004435BE" w:rsidRPr="00876954" w:rsidRDefault="004435BE" w:rsidP="004435BE">
      <w:pPr>
        <w:pStyle w:val="FootnoteText"/>
        <w:tabs>
          <w:tab w:val="left" w:pos="567"/>
        </w:tabs>
        <w:rPr>
          <w:lang w:eastAsia="zh-CN"/>
        </w:rPr>
      </w:pPr>
      <w:r w:rsidRPr="00876954">
        <w:rPr>
          <w:lang w:eastAsia="zh-CN"/>
        </w:rPr>
        <w:tab/>
      </w:r>
      <w:r w:rsidRPr="00876954">
        <w:rPr>
          <w:rStyle w:val="FootnoteReference"/>
          <w:lang w:eastAsia="zh-CN"/>
        </w:rPr>
        <w:t>*</w:t>
      </w:r>
      <w:r w:rsidRPr="00876954">
        <w:rPr>
          <w:lang w:val="en-US" w:eastAsia="zh-CN"/>
        </w:rPr>
        <w:tab/>
      </w:r>
      <w:r w:rsidR="00BF1B38" w:rsidRPr="00234AAF">
        <w:rPr>
          <w:rFonts w:ascii="STKaiti" w:eastAsia="STKaiti" w:hAnsi="STKaiti" w:hint="eastAsia"/>
          <w:szCs w:val="22"/>
          <w:lang w:eastAsia="zh-CN"/>
        </w:rPr>
        <w:t>秘书处注</w:t>
      </w:r>
      <w:r w:rsidR="00BF1B38" w:rsidRPr="00234AAF">
        <w:rPr>
          <w:rFonts w:ascii="SimSun" w:hAnsi="SimSun" w:hint="eastAsia"/>
          <w:szCs w:val="22"/>
          <w:lang w:eastAsia="zh-CN"/>
        </w:rPr>
        <w:t>：</w:t>
      </w:r>
      <w:r w:rsidR="00BF1B38" w:rsidRPr="00234AAF">
        <w:rPr>
          <w:rFonts w:hAnsi="SimSun"/>
          <w:szCs w:val="22"/>
          <w:lang w:eastAsia="zh-CN"/>
        </w:rPr>
        <w:t>该决议已</w:t>
      </w:r>
      <w:r w:rsidR="00BF1B38" w:rsidRPr="00234AAF">
        <w:rPr>
          <w:rFonts w:hAnsi="SimSun" w:hint="eastAsia"/>
          <w:szCs w:val="22"/>
          <w:lang w:eastAsia="zh-CN"/>
        </w:rPr>
        <w:t>经</w:t>
      </w:r>
      <w:r w:rsidR="00BF1B38" w:rsidRPr="00234AAF">
        <w:rPr>
          <w:szCs w:val="22"/>
          <w:lang w:eastAsia="zh-CN"/>
        </w:rPr>
        <w:t>WRC-</w:t>
      </w:r>
      <w:r w:rsidR="00BF1B38" w:rsidRPr="00234AAF">
        <w:rPr>
          <w:rFonts w:hint="eastAsia"/>
          <w:szCs w:val="22"/>
          <w:lang w:eastAsia="zh-CN"/>
        </w:rPr>
        <w:t>12</w:t>
      </w:r>
      <w:r w:rsidR="00BF1B38" w:rsidRPr="00234AAF">
        <w:rPr>
          <w:rFonts w:hint="eastAsia"/>
          <w:szCs w:val="22"/>
          <w:lang w:eastAsia="zh-CN"/>
        </w:rPr>
        <w:t>废止</w:t>
      </w:r>
      <w:r w:rsidR="00BF1B38" w:rsidRPr="00234AAF">
        <w:rPr>
          <w:rFonts w:hAnsi="SimSun"/>
          <w:szCs w:val="22"/>
          <w:lang w:eastAsia="zh-CN"/>
        </w:rPr>
        <w:t>。</w:t>
      </w:r>
    </w:p>
  </w:footnote>
  <w:footnote w:id="2">
    <w:p w14:paraId="71D08D2C" w14:textId="3F196D89" w:rsidR="004435BE" w:rsidRPr="00792188" w:rsidRDefault="004435BE" w:rsidP="004435BE">
      <w:pPr>
        <w:pStyle w:val="FootnoteText"/>
        <w:rPr>
          <w:lang w:val="en-US" w:eastAsia="zh-CN"/>
        </w:rPr>
      </w:pPr>
      <w:r w:rsidRPr="00876954">
        <w:rPr>
          <w:rStyle w:val="FootnoteReference"/>
          <w:lang w:val="en-US" w:eastAsia="zh-CN"/>
        </w:rPr>
        <w:t>2</w:t>
      </w:r>
      <w:r w:rsidRPr="00876954">
        <w:rPr>
          <w:lang w:val="en-US" w:eastAsia="zh-CN"/>
        </w:rPr>
        <w:tab/>
      </w:r>
      <w:r w:rsidR="00BF1B38" w:rsidRPr="00234AAF">
        <w:rPr>
          <w:rFonts w:hint="eastAsia"/>
          <w:szCs w:val="22"/>
          <w:lang w:val="en-US" w:eastAsia="zh-CN"/>
        </w:rPr>
        <w:t>第</w:t>
      </w:r>
      <w:r w:rsidR="00BF1B38" w:rsidRPr="00234AAF">
        <w:rPr>
          <w:b/>
          <w:bCs/>
          <w:szCs w:val="22"/>
          <w:lang w:val="en-US" w:eastAsia="zh-CN"/>
        </w:rPr>
        <w:t>49</w:t>
      </w:r>
      <w:r w:rsidR="00BF1B38" w:rsidRPr="00234AAF">
        <w:rPr>
          <w:rFonts w:hint="eastAsia"/>
          <w:szCs w:val="22"/>
          <w:lang w:val="en-US" w:eastAsia="zh-CN"/>
        </w:rPr>
        <w:t>号决议</w:t>
      </w:r>
      <w:r w:rsidR="00BF1B38" w:rsidRPr="00234AAF">
        <w:rPr>
          <w:rFonts w:hint="eastAsia"/>
          <w:b/>
          <w:bCs/>
          <w:szCs w:val="22"/>
          <w:lang w:val="en-US" w:eastAsia="zh-CN"/>
        </w:rPr>
        <w:t>（</w:t>
      </w:r>
      <w:r w:rsidR="00BF1B38" w:rsidRPr="00234AAF">
        <w:rPr>
          <w:b/>
          <w:bCs/>
          <w:szCs w:val="22"/>
          <w:lang w:val="en-US" w:eastAsia="zh-CN"/>
        </w:rPr>
        <w:t>WRC</w:t>
      </w:r>
      <w:r w:rsidR="00BF1B38" w:rsidRPr="00234AAF">
        <w:rPr>
          <w:b/>
          <w:bCs/>
          <w:szCs w:val="22"/>
          <w:lang w:val="en-US" w:eastAsia="zh-CN"/>
        </w:rPr>
        <w:noBreakHyphen/>
        <w:t>15</w:t>
      </w:r>
      <w:r w:rsidR="00BF1B38" w:rsidRPr="00234AAF">
        <w:rPr>
          <w:rFonts w:hint="eastAsia"/>
          <w:b/>
          <w:bCs/>
          <w:szCs w:val="22"/>
          <w:lang w:val="en-US" w:eastAsia="zh-CN"/>
        </w:rPr>
        <w:t>，修订版）</w:t>
      </w:r>
      <w:r w:rsidR="00BF1B38" w:rsidRPr="00234AAF">
        <w:rPr>
          <w:rFonts w:hint="eastAsia"/>
          <w:szCs w:val="22"/>
          <w:lang w:val="en-US" w:eastAsia="zh-CN"/>
        </w:rPr>
        <w:t>适用。</w:t>
      </w:r>
      <w:r w:rsidR="00BF1B38" w:rsidRPr="00103FC1">
        <w:rPr>
          <w:rFonts w:hint="eastAsia"/>
          <w:sz w:val="16"/>
          <w:szCs w:val="16"/>
          <w:lang w:eastAsia="zh-CN"/>
        </w:rPr>
        <w:t>（</w:t>
      </w:r>
      <w:r w:rsidR="00BF1B38" w:rsidRPr="007E7834">
        <w:rPr>
          <w:sz w:val="16"/>
          <w:szCs w:val="16"/>
          <w:lang w:val="en-US" w:eastAsia="zh-CN"/>
        </w:rPr>
        <w:t>WRC</w:t>
      </w:r>
      <w:r w:rsidR="00BF1B38" w:rsidRPr="007E7834">
        <w:rPr>
          <w:sz w:val="16"/>
          <w:szCs w:val="16"/>
          <w:lang w:val="en-US" w:eastAsia="zh-CN"/>
        </w:rPr>
        <w:noBreakHyphen/>
        <w:t>15</w:t>
      </w:r>
      <w:r w:rsidR="00BF1B38">
        <w:rPr>
          <w:rFonts w:hint="eastAsia"/>
          <w:sz w:val="16"/>
          <w:szCs w:val="16"/>
          <w:lang w:val="en-US" w:eastAsia="zh-CN"/>
        </w:rPr>
        <w:t>）</w:t>
      </w:r>
    </w:p>
  </w:footnote>
  <w:footnote w:id="3">
    <w:p w14:paraId="68C4BCE1" w14:textId="42EF565B" w:rsidR="004435BE" w:rsidRDefault="004435BE" w:rsidP="00BF1B38">
      <w:pPr>
        <w:pStyle w:val="FootnoteText"/>
        <w:tabs>
          <w:tab w:val="clear" w:pos="255"/>
          <w:tab w:val="clear" w:pos="1134"/>
          <w:tab w:val="left" w:pos="284"/>
          <w:tab w:val="left" w:pos="567"/>
        </w:tabs>
        <w:jc w:val="both"/>
        <w:rPr>
          <w:lang w:val="en-US" w:eastAsia="zh-CN"/>
        </w:rPr>
      </w:pPr>
      <w:r>
        <w:rPr>
          <w:rStyle w:val="FootnoteReference"/>
          <w:lang w:eastAsia="zh-CN"/>
        </w:rPr>
        <w:t>2</w:t>
      </w:r>
      <w:r w:rsidR="00BF1B38" w:rsidRPr="00234AAF">
        <w:rPr>
          <w:rStyle w:val="FootnoteReference"/>
          <w:rFonts w:ascii="STKaiti" w:eastAsia="STKaiti" w:hAnsi="STKaiti" w:hint="eastAsia"/>
          <w:lang w:eastAsia="zh-CN"/>
        </w:rPr>
        <w:t>之二</w:t>
      </w:r>
      <w:r>
        <w:rPr>
          <w:lang w:eastAsia="zh-CN"/>
        </w:rPr>
        <w:tab/>
      </w:r>
      <w:r w:rsidR="00BF1B38" w:rsidRPr="00234AAF">
        <w:rPr>
          <w:rFonts w:hint="eastAsia"/>
          <w:szCs w:val="24"/>
          <w:lang w:eastAsia="zh-CN"/>
        </w:rPr>
        <w:t>第</w:t>
      </w:r>
      <w:r w:rsidR="00BF1B38" w:rsidRPr="00234AAF">
        <w:rPr>
          <w:rFonts w:hint="eastAsia"/>
          <w:b/>
          <w:bCs/>
          <w:szCs w:val="24"/>
          <w:lang w:eastAsia="zh-CN"/>
        </w:rPr>
        <w:t>170</w:t>
      </w:r>
      <w:r w:rsidR="00BF1B38" w:rsidRPr="00234AAF">
        <w:rPr>
          <w:rFonts w:hint="eastAsia"/>
          <w:szCs w:val="24"/>
          <w:lang w:val="en-US" w:eastAsia="zh-CN"/>
        </w:rPr>
        <w:t>号决议</w:t>
      </w:r>
      <w:r w:rsidR="00BF1B38" w:rsidRPr="00234AAF">
        <w:rPr>
          <w:rFonts w:hint="eastAsia"/>
          <w:b/>
          <w:bCs/>
          <w:szCs w:val="24"/>
          <w:lang w:val="en-US" w:eastAsia="zh-CN"/>
        </w:rPr>
        <w:t>（</w:t>
      </w:r>
      <w:r w:rsidR="00BF1B38" w:rsidRPr="00234AAF">
        <w:rPr>
          <w:b/>
          <w:bCs/>
          <w:szCs w:val="24"/>
          <w:lang w:val="en-US" w:eastAsia="zh-CN"/>
        </w:rPr>
        <w:t>WRC-19</w:t>
      </w:r>
      <w:r w:rsidR="00BF1B38" w:rsidRPr="00234AAF">
        <w:rPr>
          <w:rFonts w:hint="eastAsia"/>
          <w:b/>
          <w:bCs/>
          <w:szCs w:val="24"/>
          <w:lang w:val="en-US" w:eastAsia="zh-CN"/>
        </w:rPr>
        <w:t>）</w:t>
      </w:r>
      <w:r w:rsidR="00BF1B38" w:rsidRPr="00234AAF">
        <w:rPr>
          <w:rFonts w:hint="eastAsia"/>
          <w:szCs w:val="24"/>
          <w:lang w:val="en-US" w:eastAsia="zh-CN"/>
        </w:rPr>
        <w:t>适用。</w:t>
      </w:r>
      <w:r w:rsidR="00BF1B38" w:rsidRPr="00103FC1">
        <w:rPr>
          <w:rFonts w:hint="eastAsia"/>
          <w:sz w:val="16"/>
          <w:szCs w:val="16"/>
          <w:lang w:eastAsia="zh-CN"/>
        </w:rPr>
        <w:t>（</w:t>
      </w:r>
      <w:r w:rsidR="00BF1B38" w:rsidRPr="005C38EE">
        <w:rPr>
          <w:rStyle w:val="FootnoteTextChar"/>
          <w:sz w:val="16"/>
          <w:szCs w:val="16"/>
          <w:lang w:eastAsia="zh-CN"/>
        </w:rPr>
        <w:t>WRC</w:t>
      </w:r>
      <w:r w:rsidR="00BF1B38" w:rsidRPr="005C38EE">
        <w:rPr>
          <w:rStyle w:val="FootnoteTextChar"/>
          <w:sz w:val="16"/>
          <w:szCs w:val="16"/>
          <w:lang w:eastAsia="zh-CN"/>
        </w:rPr>
        <w:noBreakHyphen/>
      </w:r>
      <w:r w:rsidR="00BF1B38">
        <w:rPr>
          <w:rStyle w:val="FootnoteTextChar"/>
          <w:rFonts w:hint="eastAsia"/>
          <w:sz w:val="16"/>
          <w:szCs w:val="16"/>
          <w:lang w:eastAsia="zh-CN"/>
        </w:rPr>
        <w:t>19</w:t>
      </w:r>
      <w:r w:rsidR="00BF1B38" w:rsidRPr="00103FC1">
        <w:rPr>
          <w:rFonts w:hint="eastAsia"/>
          <w:sz w:val="16"/>
          <w:szCs w:val="16"/>
          <w:lang w:eastAsia="zh-CN"/>
        </w:rPr>
        <w:t>）</w:t>
      </w:r>
    </w:p>
  </w:footnote>
  <w:footnote w:id="4">
    <w:p w14:paraId="24BD75AD" w14:textId="77777777" w:rsidR="004435BE" w:rsidRPr="007B30DC" w:rsidRDefault="004435BE">
      <w:pPr>
        <w:pStyle w:val="FootnoteText"/>
        <w:tabs>
          <w:tab w:val="clear" w:pos="1134"/>
          <w:tab w:val="left" w:pos="567"/>
        </w:tabs>
        <w:jc w:val="both"/>
        <w:rPr>
          <w:ins w:id="18" w:author="Tao, Yingsheng" w:date="2022-11-17T15:15:00Z"/>
          <w:lang w:eastAsia="zh-CN"/>
        </w:rPr>
        <w:pPrChange w:id="19" w:author="LI, Ziqian" w:date="2022-11-18T15:34:00Z">
          <w:pPr>
            <w:pStyle w:val="FootnoteText"/>
            <w:tabs>
              <w:tab w:val="clear" w:pos="1134"/>
              <w:tab w:val="clear" w:pos="1871"/>
              <w:tab w:val="left" w:pos="426"/>
              <w:tab w:val="left" w:pos="567"/>
            </w:tabs>
          </w:pPr>
        </w:pPrChange>
      </w:pPr>
      <w:ins w:id="20" w:author="Tao, Yingsheng" w:date="2022-11-17T15:15:00Z">
        <w:r w:rsidRPr="00902C3C">
          <w:rPr>
            <w:rStyle w:val="FootnoteReference"/>
            <w:rFonts w:eastAsia="Times New Roman"/>
            <w:lang w:eastAsia="zh-CN"/>
          </w:rPr>
          <w:t>2</w:t>
        </w:r>
        <w:r w:rsidRPr="00902C3C">
          <w:rPr>
            <w:rStyle w:val="FootnoteReference"/>
            <w:rFonts w:ascii="STKaiti" w:eastAsia="STKaiti" w:hAnsi="STKaiti" w:cs="SimSun" w:hint="eastAsia"/>
            <w:lang w:eastAsia="zh-CN"/>
            <w:rPrChange w:id="21" w:author="Tao, Yingsheng" w:date="2022-11-17T15:19:00Z">
              <w:rPr>
                <w:rStyle w:val="FootnoteReference"/>
                <w:rFonts w:hint="eastAsia"/>
                <w:i/>
                <w:iCs/>
                <w:lang w:eastAsia="zh-CN"/>
              </w:rPr>
            </w:rPrChange>
          </w:rPr>
          <w:t>之三</w:t>
        </w:r>
        <w:r w:rsidRPr="007B30DC">
          <w:rPr>
            <w:lang w:eastAsia="zh-CN"/>
          </w:rPr>
          <w:tab/>
        </w:r>
        <w:r w:rsidRPr="00FE6A28">
          <w:rPr>
            <w:rStyle w:val="FootnoteTextChar2"/>
            <w:rFonts w:hint="eastAsia"/>
            <w:lang w:eastAsia="zh-CN"/>
          </w:rPr>
          <w:t>对于国际电联新成员国根据本附录第</w:t>
        </w:r>
        <w:r w:rsidRPr="00FE6A28">
          <w:rPr>
            <w:rStyle w:val="FootnoteTextChar2"/>
            <w:rFonts w:hint="eastAsia"/>
            <w:lang w:eastAsia="zh-CN"/>
          </w:rPr>
          <w:t>7</w:t>
        </w:r>
        <w:r w:rsidRPr="00FE6A28">
          <w:rPr>
            <w:rStyle w:val="FootnoteTextChar2"/>
            <w:rFonts w:hint="eastAsia"/>
            <w:lang w:eastAsia="zh-CN"/>
          </w:rPr>
          <w:t>条拟议的分配，适用该条中概述的特殊规定。</w:t>
        </w:r>
      </w:ins>
      <w:ins w:id="22" w:author="Tao, Yingsheng" w:date="2022-11-17T15:17:00Z">
        <w:r>
          <w:rPr>
            <w:rFonts w:hint="eastAsia"/>
            <w:sz w:val="16"/>
            <w:szCs w:val="12"/>
            <w:lang w:eastAsia="zh-CN"/>
          </w:rPr>
          <w:t>（</w:t>
        </w:r>
      </w:ins>
      <w:ins w:id="23" w:author="Tao, Yingsheng" w:date="2022-11-17T15:15:00Z">
        <w:r w:rsidRPr="007B30DC">
          <w:rPr>
            <w:sz w:val="16"/>
            <w:szCs w:val="12"/>
            <w:lang w:eastAsia="zh-CN"/>
          </w:rPr>
          <w:t>WRC-23</w:t>
        </w:r>
      </w:ins>
      <w:ins w:id="24" w:author="Tao, Yingsheng" w:date="2022-11-17T15:17:00Z">
        <w:r>
          <w:rPr>
            <w:rFonts w:hint="eastAsia"/>
            <w:sz w:val="16"/>
            <w:szCs w:val="12"/>
            <w:lang w:eastAsia="zh-CN"/>
          </w:rPr>
          <w:t>）</w:t>
        </w:r>
      </w:ins>
    </w:p>
  </w:footnote>
  <w:footnote w:id="5">
    <w:p w14:paraId="4176171A" w14:textId="6A610514" w:rsidR="003E4544" w:rsidRPr="003E4544" w:rsidRDefault="003E4544" w:rsidP="004435BE">
      <w:pPr>
        <w:pStyle w:val="FootnoteText"/>
        <w:rPr>
          <w:lang w:eastAsia="zh-CN"/>
        </w:rPr>
      </w:pPr>
      <w:r>
        <w:rPr>
          <w:rStyle w:val="FootnoteReference"/>
        </w:rPr>
        <w:sym w:font="Symbol" w:char="F02A"/>
      </w:r>
      <w:r>
        <w:rPr>
          <w:rStyle w:val="FootnoteReference"/>
        </w:rPr>
        <w:sym w:font="Symbol" w:char="F02A"/>
      </w:r>
      <w:r>
        <w:rPr>
          <w:lang w:eastAsia="zh-CN"/>
        </w:rPr>
        <w:tab/>
      </w:r>
      <w:r>
        <w:rPr>
          <w:rFonts w:hint="eastAsia"/>
          <w:lang w:eastAsia="zh-CN"/>
        </w:rPr>
        <w:t>巴勒斯坦可应用此程序获得附录</w:t>
      </w:r>
      <w:r>
        <w:rPr>
          <w:b/>
          <w:bCs/>
          <w:lang w:eastAsia="zh-CN"/>
        </w:rPr>
        <w:t>30B</w:t>
      </w:r>
      <w:r>
        <w:rPr>
          <w:rFonts w:hint="eastAsia"/>
          <w:lang w:eastAsia="zh-CN"/>
        </w:rPr>
        <w:t>规划中的指配。此类指配应根据</w:t>
      </w:r>
      <w:r>
        <w:rPr>
          <w:lang w:eastAsia="zh-CN"/>
        </w:rPr>
        <w:t>1995</w:t>
      </w:r>
      <w:r>
        <w:rPr>
          <w:rFonts w:hint="eastAsia"/>
          <w:lang w:eastAsia="zh-CN"/>
        </w:rPr>
        <w:t>年</w:t>
      </w:r>
      <w:r>
        <w:rPr>
          <w:lang w:eastAsia="zh-CN"/>
        </w:rPr>
        <w:t>9</w:t>
      </w:r>
      <w:r>
        <w:rPr>
          <w:rFonts w:hint="eastAsia"/>
          <w:lang w:eastAsia="zh-CN"/>
        </w:rPr>
        <w:t>月</w:t>
      </w:r>
      <w:r>
        <w:rPr>
          <w:lang w:eastAsia="zh-CN"/>
        </w:rPr>
        <w:t>28</w:t>
      </w:r>
      <w:r>
        <w:rPr>
          <w:rFonts w:hint="eastAsia"/>
          <w:lang w:eastAsia="zh-CN"/>
        </w:rPr>
        <w:t>日的以－巴临时协议，尽管有理事会第</w:t>
      </w:r>
      <w:r>
        <w:rPr>
          <w:lang w:eastAsia="zh-CN"/>
        </w:rPr>
        <w:t>741</w:t>
      </w:r>
      <w:r>
        <w:rPr>
          <w:rFonts w:hint="eastAsia"/>
          <w:lang w:eastAsia="zh-CN"/>
        </w:rPr>
        <w:t>号决议、以及全权代表大会第</w:t>
      </w:r>
      <w:r>
        <w:rPr>
          <w:lang w:eastAsia="zh-CN"/>
        </w:rPr>
        <w:t>99</w:t>
      </w:r>
      <w:r>
        <w:rPr>
          <w:rFonts w:hint="eastAsia"/>
          <w:lang w:eastAsia="zh-CN"/>
        </w:rPr>
        <w:t>号决议（</w:t>
      </w:r>
      <w:r>
        <w:rPr>
          <w:lang w:eastAsia="zh-CN"/>
        </w:rPr>
        <w:t>2006</w:t>
      </w:r>
      <w:r>
        <w:rPr>
          <w:rFonts w:hint="eastAsia"/>
          <w:lang w:eastAsia="zh-CN"/>
        </w:rPr>
        <w:t>年，安塔利亚，修订版）专为巴勒斯坦使用。这并不妨碍今后以色列国与巴勒斯坦之间达成其它的协议。</w:t>
      </w:r>
    </w:p>
  </w:footnote>
  <w:footnote w:id="6">
    <w:p w14:paraId="573098B9" w14:textId="77777777" w:rsidR="001E1A76" w:rsidRPr="000E5CF7" w:rsidRDefault="005175B2" w:rsidP="009F2BFB">
      <w:pPr>
        <w:pStyle w:val="FootnoteText"/>
        <w:tabs>
          <w:tab w:val="left" w:pos="315"/>
        </w:tabs>
        <w:rPr>
          <w:lang w:eastAsia="zh-CN"/>
        </w:rPr>
      </w:pPr>
      <w:r w:rsidRPr="00B17073">
        <w:rPr>
          <w:rStyle w:val="FootnoteReference"/>
          <w:lang w:eastAsia="zh-CN"/>
        </w:rPr>
        <w:t>9</w:t>
      </w:r>
      <w:r w:rsidRPr="000E5CF7">
        <w:rPr>
          <w:rFonts w:hint="eastAsia"/>
          <w:lang w:eastAsia="zh-CN"/>
        </w:rPr>
        <w:tab/>
      </w:r>
      <w:r w:rsidRPr="00FC3374">
        <w:rPr>
          <w:sz w:val="16"/>
          <w:szCs w:val="16"/>
          <w:lang w:val="en-US" w:eastAsia="zh-CN"/>
        </w:rPr>
        <w:t>（</w:t>
      </w:r>
      <w:r w:rsidRPr="00FC3374">
        <w:rPr>
          <w:sz w:val="16"/>
          <w:szCs w:val="16"/>
          <w:lang w:val="en-US" w:eastAsia="zh-CN"/>
        </w:rPr>
        <w:t>SUP – WRC</w:t>
      </w:r>
      <w:r>
        <w:rPr>
          <w:sz w:val="16"/>
          <w:szCs w:val="16"/>
          <w:lang w:val="en-US" w:eastAsia="zh-CN"/>
        </w:rPr>
        <w:t>-</w:t>
      </w:r>
      <w:r w:rsidRPr="00FC3374">
        <w:rPr>
          <w:sz w:val="16"/>
          <w:szCs w:val="16"/>
          <w:lang w:val="en-US" w:eastAsia="zh-CN"/>
        </w:rPr>
        <w:t>15</w:t>
      </w:r>
      <w:r w:rsidRPr="00FC3374">
        <w:rPr>
          <w:sz w:val="16"/>
          <w:szCs w:val="16"/>
          <w:lang w:val="en-US" w:eastAsia="zh-CN"/>
        </w:rPr>
        <w:t>）</w:t>
      </w:r>
    </w:p>
  </w:footnote>
  <w:footnote w:id="7">
    <w:p w14:paraId="7E5FDFDF" w14:textId="77777777" w:rsidR="002A289D" w:rsidRPr="000E5CF7" w:rsidRDefault="005175B2" w:rsidP="002E1E41">
      <w:pPr>
        <w:pStyle w:val="FootnoteText"/>
        <w:rPr>
          <w:lang w:eastAsia="zh-CN"/>
        </w:rPr>
      </w:pPr>
      <w:r w:rsidRPr="00B17073">
        <w:rPr>
          <w:rStyle w:val="FootnoteReference"/>
          <w:lang w:eastAsia="zh-CN"/>
        </w:rPr>
        <w:t>10</w:t>
      </w:r>
      <w:r w:rsidRPr="000E5CF7">
        <w:rPr>
          <w:rFonts w:hint="eastAsia"/>
          <w:lang w:eastAsia="zh-CN"/>
        </w:rPr>
        <w:tab/>
      </w:r>
      <w:r w:rsidRPr="00956D4A">
        <w:rPr>
          <w:rFonts w:hint="eastAsia"/>
          <w:lang w:eastAsia="zh-CN"/>
        </w:rPr>
        <w:t>须确定“其它条款”，并将其纳入《程序规则》。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DBB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9FD205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65(Add.22)(Add.7)-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Ziqian">
    <w15:presenceInfo w15:providerId="AD" w15:userId="S-1-5-21-8740799-900759487-1415713722-67964"/>
  </w15:person>
  <w15:person w15:author="Tao, Yingsheng">
    <w15:presenceInfo w15:providerId="AD" w15:userId="S::yingsheng.tao@itu.int::06b42722-8094-4e1e-a18f-b1cf4f2a694a"/>
  </w15:person>
  <w15:person w15:author="ITU-R">
    <w15:presenceInfo w15:providerId="None" w15:userId="ITU-R"/>
  </w15:person>
  <w15:person w15:author="Cai, Yunyi">
    <w15:presenceInfo w15:providerId="AD" w15:userId="S::yunyi.cai@itu.int::eabf8002-2aa8-4444-9650-a15e24f0504c"/>
  </w15:person>
  <w15:person w15:author="Han, Jie">
    <w15:presenceInfo w15:providerId="None" w15:userId="Han, 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382E"/>
    <w:rsid w:val="000C0212"/>
    <w:rsid w:val="000C09BA"/>
    <w:rsid w:val="000C1F1E"/>
    <w:rsid w:val="000C6AA7"/>
    <w:rsid w:val="000E26F6"/>
    <w:rsid w:val="000F1B60"/>
    <w:rsid w:val="000F5DB9"/>
    <w:rsid w:val="00106535"/>
    <w:rsid w:val="00123C07"/>
    <w:rsid w:val="001647FB"/>
    <w:rsid w:val="00166859"/>
    <w:rsid w:val="001765EC"/>
    <w:rsid w:val="001853E8"/>
    <w:rsid w:val="00194C1C"/>
    <w:rsid w:val="001A4E73"/>
    <w:rsid w:val="001B6360"/>
    <w:rsid w:val="001F4EA6"/>
    <w:rsid w:val="002120D4"/>
    <w:rsid w:val="00214959"/>
    <w:rsid w:val="0022272C"/>
    <w:rsid w:val="002260A6"/>
    <w:rsid w:val="0023592E"/>
    <w:rsid w:val="00237AD4"/>
    <w:rsid w:val="002742B3"/>
    <w:rsid w:val="00292C89"/>
    <w:rsid w:val="002A4C9C"/>
    <w:rsid w:val="002B3DFE"/>
    <w:rsid w:val="002B509B"/>
    <w:rsid w:val="002E2A59"/>
    <w:rsid w:val="002E4507"/>
    <w:rsid w:val="002E72D9"/>
    <w:rsid w:val="00305254"/>
    <w:rsid w:val="003133D9"/>
    <w:rsid w:val="003169D2"/>
    <w:rsid w:val="00330EEF"/>
    <w:rsid w:val="00331CD3"/>
    <w:rsid w:val="003341C1"/>
    <w:rsid w:val="00334282"/>
    <w:rsid w:val="003B4BEF"/>
    <w:rsid w:val="003B6399"/>
    <w:rsid w:val="003C6B45"/>
    <w:rsid w:val="003E4544"/>
    <w:rsid w:val="003E48E2"/>
    <w:rsid w:val="003E5931"/>
    <w:rsid w:val="004059BC"/>
    <w:rsid w:val="0041282E"/>
    <w:rsid w:val="00437869"/>
    <w:rsid w:val="004435BE"/>
    <w:rsid w:val="00465A34"/>
    <w:rsid w:val="0049762E"/>
    <w:rsid w:val="004B4C76"/>
    <w:rsid w:val="004C4554"/>
    <w:rsid w:val="004D2DEC"/>
    <w:rsid w:val="004F2BE6"/>
    <w:rsid w:val="00513CB9"/>
    <w:rsid w:val="005175B2"/>
    <w:rsid w:val="00527E8A"/>
    <w:rsid w:val="00531897"/>
    <w:rsid w:val="00532EA3"/>
    <w:rsid w:val="00542E85"/>
    <w:rsid w:val="00562479"/>
    <w:rsid w:val="00576849"/>
    <w:rsid w:val="005A0ACB"/>
    <w:rsid w:val="005E08D2"/>
    <w:rsid w:val="005E5F11"/>
    <w:rsid w:val="005E7FD8"/>
    <w:rsid w:val="00622560"/>
    <w:rsid w:val="00644391"/>
    <w:rsid w:val="00647712"/>
    <w:rsid w:val="00662E12"/>
    <w:rsid w:val="006906A7"/>
    <w:rsid w:val="00691142"/>
    <w:rsid w:val="006B67CE"/>
    <w:rsid w:val="006C38ED"/>
    <w:rsid w:val="006D2A9A"/>
    <w:rsid w:val="006E6182"/>
    <w:rsid w:val="006E6997"/>
    <w:rsid w:val="006F3C60"/>
    <w:rsid w:val="006F745D"/>
    <w:rsid w:val="00707B56"/>
    <w:rsid w:val="00721675"/>
    <w:rsid w:val="007261A9"/>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1FCA"/>
    <w:rsid w:val="00896A79"/>
    <w:rsid w:val="008A7416"/>
    <w:rsid w:val="008B6852"/>
    <w:rsid w:val="008C26FF"/>
    <w:rsid w:val="008D1D14"/>
    <w:rsid w:val="008D2450"/>
    <w:rsid w:val="008D6643"/>
    <w:rsid w:val="008D6D9C"/>
    <w:rsid w:val="008E1785"/>
    <w:rsid w:val="008E7127"/>
    <w:rsid w:val="008E7C8E"/>
    <w:rsid w:val="00912959"/>
    <w:rsid w:val="00921FF8"/>
    <w:rsid w:val="009657F9"/>
    <w:rsid w:val="00982F93"/>
    <w:rsid w:val="0099525B"/>
    <w:rsid w:val="009B2037"/>
    <w:rsid w:val="009C0676"/>
    <w:rsid w:val="009C5D39"/>
    <w:rsid w:val="009C72B7"/>
    <w:rsid w:val="00A0052C"/>
    <w:rsid w:val="00A010B9"/>
    <w:rsid w:val="00A27427"/>
    <w:rsid w:val="00A31B14"/>
    <w:rsid w:val="00A323DC"/>
    <w:rsid w:val="00A466E6"/>
    <w:rsid w:val="00A815BE"/>
    <w:rsid w:val="00A92F95"/>
    <w:rsid w:val="00A93295"/>
    <w:rsid w:val="00AA5DA1"/>
    <w:rsid w:val="00AC2C94"/>
    <w:rsid w:val="00AE0D56"/>
    <w:rsid w:val="00AE369F"/>
    <w:rsid w:val="00B026CB"/>
    <w:rsid w:val="00B33617"/>
    <w:rsid w:val="00B36DE1"/>
    <w:rsid w:val="00B50377"/>
    <w:rsid w:val="00B5440C"/>
    <w:rsid w:val="00B6115E"/>
    <w:rsid w:val="00B711CC"/>
    <w:rsid w:val="00B81DD2"/>
    <w:rsid w:val="00B851D4"/>
    <w:rsid w:val="00B868FC"/>
    <w:rsid w:val="00B95072"/>
    <w:rsid w:val="00BB26CD"/>
    <w:rsid w:val="00BE464F"/>
    <w:rsid w:val="00BF1B38"/>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0403"/>
    <w:rsid w:val="00D74599"/>
    <w:rsid w:val="00D847DF"/>
    <w:rsid w:val="00DA0469"/>
    <w:rsid w:val="00DD13B7"/>
    <w:rsid w:val="00DF0809"/>
    <w:rsid w:val="00DF3B0C"/>
    <w:rsid w:val="00E14984"/>
    <w:rsid w:val="00E22A25"/>
    <w:rsid w:val="00E50E9A"/>
    <w:rsid w:val="00E560F1"/>
    <w:rsid w:val="00E6047A"/>
    <w:rsid w:val="00E8717D"/>
    <w:rsid w:val="00E92319"/>
    <w:rsid w:val="00EF26EE"/>
    <w:rsid w:val="00F15F7B"/>
    <w:rsid w:val="00F2427D"/>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70AB3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Footnote symbol,Style 12,(NECG) Footnote Reference,Style 124,Appel note de bas de p + 11 pt,Italic,Appel note de bas de p1,Appel note de bas de p2,Footnote,o,f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435BE"/>
    <w:rPr>
      <w:rFonts w:ascii="Times New Roman" w:hAnsi="Times New Roman"/>
      <w:sz w:val="22"/>
      <w:lang w:val="en-GB" w:eastAsia="en-US"/>
    </w:rPr>
  </w:style>
  <w:style w:type="paragraph" w:styleId="Revision">
    <w:name w:val="Revision"/>
    <w:hidden/>
    <w:uiPriority w:val="99"/>
    <w:semiHidden/>
    <w:rsid w:val="000F1B6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d2abd5-74e0-4568-b5a6-220f3b8539ab">DPM</DPM_x0020_Author>
    <DPM_x0020_File_x0020_name xmlns="cbd2abd5-74e0-4568-b5a6-220f3b8539ab">R23-WRC23-C-0065!A22-A7!MSW-C</DPM_x0020_File_x0020_name>
    <DPM_x0020_Version xmlns="cbd2abd5-74e0-4568-b5a6-220f3b8539a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d2abd5-74e0-4568-b5a6-220f3b8539ab" targetNamespace="http://schemas.microsoft.com/office/2006/metadata/properties" ma:root="true" ma:fieldsID="d41af5c836d734370eb92e7ee5f83852" ns2:_="" ns3:_="">
    <xsd:import namespace="996b2e75-67fd-4955-a3b0-5ab9934cb50b"/>
    <xsd:import namespace="cbd2abd5-74e0-4568-b5a6-220f3b8539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d2abd5-74e0-4568-b5a6-220f3b8539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2abd5-74e0-4568-b5a6-220f3b853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d2abd5-74e0-4568-b5a6-220f3b853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3431</Words>
  <Characters>923</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R23-WRC23-C-0065!A22-A7!MSW-C</vt:lpstr>
    </vt:vector>
  </TitlesOfParts>
  <Manager>General Secretariat - Pool</Manager>
  <Company>International Telecommunication Union (ITU)</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R23-WRC23-C-0065!A22-A7!MSW-C</dc:title>
  <dc:subject>World Radiocommunication Conference - 2019</dc:subject>
  <dc:creator>Documents Proposals Manager (DPM)</dc:creator>
  <cp:keywords>DPM_v2023.11.6.1_prod</cp:keywords>
  <dc:description/>
  <cp:lastModifiedBy>Li, Kehan</cp:lastModifiedBy>
  <cp:revision>33</cp:revision>
  <cp:lastPrinted>2006-07-03T06:56:00Z</cp:lastPrinted>
  <dcterms:created xsi:type="dcterms:W3CDTF">2023-11-07T16:31:00Z</dcterms:created>
  <dcterms:modified xsi:type="dcterms:W3CDTF">2023-11-11T16:42:00Z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