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0D1EE4" w14:paraId="79DDBD2B" w14:textId="77777777" w:rsidTr="00752552">
        <w:trPr>
          <w:cantSplit/>
          <w:trHeight w:val="20"/>
        </w:trPr>
        <w:tc>
          <w:tcPr>
            <w:tcW w:w="1589" w:type="dxa"/>
            <w:vAlign w:val="center"/>
          </w:tcPr>
          <w:p w14:paraId="0B6E8B25"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1807C85C" wp14:editId="7D9E28F1">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2ADCD11A"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744E90EF"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051B0D66" w14:textId="77777777" w:rsidR="00752552" w:rsidRPr="000D1EE4" w:rsidRDefault="00752552" w:rsidP="00752552">
            <w:pPr>
              <w:jc w:val="right"/>
              <w:rPr>
                <w:rtl/>
                <w:lang w:bidi="ar-EG"/>
              </w:rPr>
            </w:pPr>
            <w:bookmarkStart w:id="0" w:name="ditulogo"/>
            <w:bookmarkEnd w:id="0"/>
            <w:r>
              <w:rPr>
                <w:noProof/>
              </w:rPr>
              <w:drawing>
                <wp:inline distT="0" distB="0" distL="0" distR="0" wp14:anchorId="3795963E" wp14:editId="00B1A98F">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3CD3FBF0" w14:textId="77777777" w:rsidTr="00752552">
        <w:trPr>
          <w:cantSplit/>
          <w:trHeight w:val="20"/>
        </w:trPr>
        <w:tc>
          <w:tcPr>
            <w:tcW w:w="6696" w:type="dxa"/>
            <w:gridSpan w:val="2"/>
            <w:tcBorders>
              <w:bottom w:val="single" w:sz="12" w:space="0" w:color="auto"/>
            </w:tcBorders>
          </w:tcPr>
          <w:p w14:paraId="4AAF26E3" w14:textId="77777777" w:rsidR="000D1EE4" w:rsidRPr="000D1EE4" w:rsidRDefault="000D1EE4" w:rsidP="000D1EE4">
            <w:pPr>
              <w:rPr>
                <w:rtl/>
                <w:lang w:bidi="ar-EG"/>
              </w:rPr>
            </w:pPr>
          </w:p>
        </w:tc>
        <w:tc>
          <w:tcPr>
            <w:tcW w:w="2970" w:type="dxa"/>
            <w:gridSpan w:val="2"/>
            <w:tcBorders>
              <w:bottom w:val="single" w:sz="12" w:space="0" w:color="auto"/>
            </w:tcBorders>
          </w:tcPr>
          <w:p w14:paraId="3C73AD81" w14:textId="77777777" w:rsidR="000D1EE4" w:rsidRPr="000D1EE4" w:rsidRDefault="000D1EE4" w:rsidP="000D1EE4">
            <w:pPr>
              <w:rPr>
                <w:lang w:val="en-GB" w:bidi="ar-EG"/>
              </w:rPr>
            </w:pPr>
          </w:p>
        </w:tc>
      </w:tr>
      <w:tr w:rsidR="000D1EE4" w:rsidRPr="000D1EE4" w14:paraId="6FE4D247" w14:textId="77777777" w:rsidTr="00752552">
        <w:trPr>
          <w:cantSplit/>
          <w:trHeight w:val="20"/>
        </w:trPr>
        <w:tc>
          <w:tcPr>
            <w:tcW w:w="6696" w:type="dxa"/>
            <w:gridSpan w:val="2"/>
            <w:tcBorders>
              <w:top w:val="single" w:sz="12" w:space="0" w:color="auto"/>
            </w:tcBorders>
          </w:tcPr>
          <w:p w14:paraId="2B750A5E" w14:textId="77777777" w:rsidR="000D1EE4" w:rsidRPr="000D1EE4" w:rsidRDefault="000D1EE4" w:rsidP="000D1EE4">
            <w:pPr>
              <w:rPr>
                <w:b/>
                <w:bCs/>
                <w:lang w:bidi="ar-EG"/>
              </w:rPr>
            </w:pPr>
          </w:p>
        </w:tc>
        <w:tc>
          <w:tcPr>
            <w:tcW w:w="2970" w:type="dxa"/>
            <w:gridSpan w:val="2"/>
            <w:tcBorders>
              <w:top w:val="single" w:sz="12" w:space="0" w:color="auto"/>
            </w:tcBorders>
          </w:tcPr>
          <w:p w14:paraId="441B8C5E" w14:textId="77777777" w:rsidR="000D1EE4" w:rsidRPr="000D1EE4" w:rsidRDefault="000D1EE4" w:rsidP="000D1EE4">
            <w:pPr>
              <w:rPr>
                <w:b/>
                <w:bCs/>
                <w:lang w:bidi="ar-EG"/>
              </w:rPr>
            </w:pPr>
          </w:p>
        </w:tc>
      </w:tr>
      <w:tr w:rsidR="000D1EE4" w:rsidRPr="000D1EE4" w14:paraId="5799F050" w14:textId="77777777" w:rsidTr="00752552">
        <w:trPr>
          <w:cantSplit/>
        </w:trPr>
        <w:tc>
          <w:tcPr>
            <w:tcW w:w="6696" w:type="dxa"/>
            <w:gridSpan w:val="2"/>
          </w:tcPr>
          <w:p w14:paraId="3863EFB8" w14:textId="77777777" w:rsidR="000D1EE4" w:rsidRPr="00B86B20" w:rsidRDefault="00E50850" w:rsidP="00AC5D39">
            <w:pPr>
              <w:pStyle w:val="Committee"/>
              <w:bidi/>
              <w:rPr>
                <w:rtl/>
                <w:lang w:bidi="ar-EG"/>
              </w:rPr>
            </w:pPr>
            <w:r w:rsidRPr="00B86B20">
              <w:rPr>
                <w:rtl/>
                <w:lang w:bidi="ar-EG"/>
              </w:rPr>
              <w:t>الجلسة العامة</w:t>
            </w:r>
          </w:p>
        </w:tc>
        <w:tc>
          <w:tcPr>
            <w:tcW w:w="2970" w:type="dxa"/>
            <w:gridSpan w:val="2"/>
          </w:tcPr>
          <w:p w14:paraId="6CF03E7B" w14:textId="77777777" w:rsidR="000D1EE4" w:rsidRPr="00B86B20" w:rsidRDefault="00E50850" w:rsidP="00B86B20">
            <w:pPr>
              <w:spacing w:before="60" w:after="60" w:line="260" w:lineRule="exact"/>
              <w:jc w:val="left"/>
              <w:rPr>
                <w:b/>
                <w:bCs/>
                <w:rtl/>
                <w:lang w:bidi="ar-EG"/>
              </w:rPr>
            </w:pPr>
            <w:r w:rsidRPr="00B86B20">
              <w:rPr>
                <w:rFonts w:eastAsia="SimSun"/>
                <w:b/>
                <w:bCs/>
                <w:rtl/>
                <w:lang w:bidi="ar-EG"/>
              </w:rPr>
              <w:t>الإضافة 3</w:t>
            </w:r>
            <w:r w:rsidRPr="00B86B20">
              <w:rPr>
                <w:rFonts w:eastAsia="SimSun"/>
                <w:b/>
                <w:bCs/>
                <w:rtl/>
                <w:lang w:bidi="ar-EG"/>
              </w:rPr>
              <w:br/>
              <w:t xml:space="preserve">للوثيقة </w:t>
            </w:r>
            <w:r w:rsidRPr="00B86B20">
              <w:rPr>
                <w:rFonts w:eastAsia="SimSun"/>
                <w:b/>
                <w:bCs/>
              </w:rPr>
              <w:t>65(Add.24)-A</w:t>
            </w:r>
          </w:p>
        </w:tc>
      </w:tr>
      <w:tr w:rsidR="000D1EE4" w:rsidRPr="000D1EE4" w14:paraId="61F71372" w14:textId="77777777" w:rsidTr="00752552">
        <w:trPr>
          <w:cantSplit/>
        </w:trPr>
        <w:tc>
          <w:tcPr>
            <w:tcW w:w="6696" w:type="dxa"/>
            <w:gridSpan w:val="2"/>
          </w:tcPr>
          <w:p w14:paraId="47A5222D" w14:textId="77777777" w:rsidR="000D1EE4" w:rsidRPr="00B86B20" w:rsidRDefault="000D1EE4" w:rsidP="00B86B20">
            <w:pPr>
              <w:spacing w:before="60" w:after="60" w:line="260" w:lineRule="exact"/>
              <w:jc w:val="left"/>
              <w:rPr>
                <w:b/>
                <w:bCs/>
                <w:rtl/>
                <w:lang w:bidi="ar-EG"/>
              </w:rPr>
            </w:pPr>
          </w:p>
        </w:tc>
        <w:tc>
          <w:tcPr>
            <w:tcW w:w="2970" w:type="dxa"/>
            <w:gridSpan w:val="2"/>
          </w:tcPr>
          <w:p w14:paraId="251CEE84" w14:textId="77777777" w:rsidR="000D1EE4" w:rsidRPr="00B86B20" w:rsidRDefault="00E50850" w:rsidP="00B86B20">
            <w:pPr>
              <w:spacing w:before="60" w:after="60" w:line="260" w:lineRule="exact"/>
              <w:jc w:val="left"/>
              <w:rPr>
                <w:b/>
                <w:bCs/>
                <w:rtl/>
                <w:lang w:bidi="ar-EG"/>
              </w:rPr>
            </w:pPr>
            <w:r w:rsidRPr="00B86B20">
              <w:rPr>
                <w:rFonts w:eastAsia="SimSun"/>
                <w:b/>
                <w:bCs/>
              </w:rPr>
              <w:t>29</w:t>
            </w:r>
            <w:r w:rsidRPr="00B86B20">
              <w:rPr>
                <w:rFonts w:eastAsia="SimSun"/>
                <w:b/>
                <w:bCs/>
                <w:rtl/>
              </w:rPr>
              <w:t xml:space="preserve"> سبتمبر </w:t>
            </w:r>
            <w:r w:rsidRPr="00B86B20">
              <w:rPr>
                <w:rFonts w:eastAsia="SimSun"/>
                <w:b/>
                <w:bCs/>
              </w:rPr>
              <w:t>2023</w:t>
            </w:r>
          </w:p>
        </w:tc>
      </w:tr>
      <w:tr w:rsidR="000D1EE4" w:rsidRPr="000D1EE4" w14:paraId="2B9E1ECE" w14:textId="77777777" w:rsidTr="00752552">
        <w:trPr>
          <w:cantSplit/>
        </w:trPr>
        <w:tc>
          <w:tcPr>
            <w:tcW w:w="6696" w:type="dxa"/>
            <w:gridSpan w:val="2"/>
          </w:tcPr>
          <w:p w14:paraId="5EB1DFEB" w14:textId="77777777" w:rsidR="000D1EE4" w:rsidRPr="00B86B20" w:rsidRDefault="000D1EE4" w:rsidP="00B86B20">
            <w:pPr>
              <w:spacing w:before="60" w:after="60" w:line="260" w:lineRule="exact"/>
              <w:jc w:val="left"/>
              <w:rPr>
                <w:b/>
                <w:bCs/>
                <w:rtl/>
                <w:lang w:bidi="ar-EG"/>
              </w:rPr>
            </w:pPr>
          </w:p>
        </w:tc>
        <w:tc>
          <w:tcPr>
            <w:tcW w:w="2970" w:type="dxa"/>
            <w:gridSpan w:val="2"/>
          </w:tcPr>
          <w:p w14:paraId="68E81C9A" w14:textId="77777777" w:rsidR="000D1EE4" w:rsidRPr="00B86B20" w:rsidRDefault="00E50850" w:rsidP="00B86B20">
            <w:pPr>
              <w:spacing w:before="60" w:after="60" w:line="260" w:lineRule="exact"/>
              <w:jc w:val="left"/>
              <w:rPr>
                <w:b/>
                <w:bCs/>
                <w:lang w:bidi="ar-EG"/>
              </w:rPr>
            </w:pPr>
            <w:r w:rsidRPr="00B86B20">
              <w:rPr>
                <w:b/>
                <w:bCs/>
                <w:rtl/>
                <w:lang w:bidi="ar-EG"/>
              </w:rPr>
              <w:t>الأصل: بالإنكليزية</w:t>
            </w:r>
          </w:p>
        </w:tc>
      </w:tr>
      <w:tr w:rsidR="000D1EE4" w:rsidRPr="000D1EE4" w14:paraId="5464E75D" w14:textId="77777777" w:rsidTr="00752552">
        <w:trPr>
          <w:cantSplit/>
        </w:trPr>
        <w:tc>
          <w:tcPr>
            <w:tcW w:w="9666" w:type="dxa"/>
            <w:gridSpan w:val="4"/>
          </w:tcPr>
          <w:p w14:paraId="6C109D06" w14:textId="77777777" w:rsidR="000D1EE4" w:rsidRPr="000D1EE4" w:rsidRDefault="000D1EE4" w:rsidP="000D1EE4">
            <w:pPr>
              <w:rPr>
                <w:b/>
                <w:bCs/>
                <w:lang w:bidi="ar-EG"/>
              </w:rPr>
            </w:pPr>
          </w:p>
        </w:tc>
      </w:tr>
      <w:tr w:rsidR="000D1EE4" w:rsidRPr="000D1EE4" w14:paraId="0A7F9886" w14:textId="77777777" w:rsidTr="00752552">
        <w:trPr>
          <w:cantSplit/>
        </w:trPr>
        <w:tc>
          <w:tcPr>
            <w:tcW w:w="9666" w:type="dxa"/>
            <w:gridSpan w:val="4"/>
          </w:tcPr>
          <w:p w14:paraId="3E0CC21D" w14:textId="77777777" w:rsidR="000D1EE4" w:rsidRPr="000D1EE4" w:rsidRDefault="000D1EE4" w:rsidP="000D1EE4">
            <w:pPr>
              <w:pStyle w:val="Source"/>
              <w:rPr>
                <w:rtl/>
                <w:lang w:bidi="ar-SA"/>
              </w:rPr>
            </w:pPr>
            <w:r w:rsidRPr="000D1EE4">
              <w:rPr>
                <w:rtl/>
              </w:rPr>
              <w:t>مقترحات أوروبية مشتركة</w:t>
            </w:r>
          </w:p>
        </w:tc>
      </w:tr>
      <w:tr w:rsidR="000D1EE4" w:rsidRPr="000D1EE4" w14:paraId="2B12273A" w14:textId="77777777" w:rsidTr="00752552">
        <w:trPr>
          <w:cantSplit/>
        </w:trPr>
        <w:tc>
          <w:tcPr>
            <w:tcW w:w="9666" w:type="dxa"/>
            <w:gridSpan w:val="4"/>
          </w:tcPr>
          <w:p w14:paraId="5C0AF2D1" w14:textId="6B7C5217" w:rsidR="000D1EE4" w:rsidRPr="000D1EE4" w:rsidRDefault="00B86B20" w:rsidP="000D1EE4">
            <w:pPr>
              <w:pStyle w:val="Title1"/>
              <w:rPr>
                <w:rtl/>
              </w:rPr>
            </w:pPr>
            <w:r>
              <w:rPr>
                <w:rFonts w:hint="cs"/>
                <w:rtl/>
              </w:rPr>
              <w:t>مقترحات بشأن أعمال المؤتمر</w:t>
            </w:r>
          </w:p>
        </w:tc>
      </w:tr>
      <w:tr w:rsidR="000D1EE4" w:rsidRPr="000D1EE4" w14:paraId="706BB849" w14:textId="77777777" w:rsidTr="00752552">
        <w:trPr>
          <w:cantSplit/>
        </w:trPr>
        <w:tc>
          <w:tcPr>
            <w:tcW w:w="9666" w:type="dxa"/>
            <w:gridSpan w:val="4"/>
          </w:tcPr>
          <w:p w14:paraId="727793BD" w14:textId="77777777" w:rsidR="000D1EE4" w:rsidRPr="000D1EE4" w:rsidRDefault="000D1EE4" w:rsidP="000D1EE4">
            <w:pPr>
              <w:pStyle w:val="Title2"/>
              <w:rPr>
                <w:rtl/>
              </w:rPr>
            </w:pPr>
          </w:p>
        </w:tc>
      </w:tr>
      <w:tr w:rsidR="00E50850" w:rsidRPr="000D1EE4" w14:paraId="13C3B482" w14:textId="77777777" w:rsidTr="00752552">
        <w:trPr>
          <w:cantSplit/>
        </w:trPr>
        <w:tc>
          <w:tcPr>
            <w:tcW w:w="9666" w:type="dxa"/>
            <w:gridSpan w:val="4"/>
          </w:tcPr>
          <w:p w14:paraId="6F89C7D2" w14:textId="7D78418C" w:rsidR="00E50850" w:rsidRPr="00B86B20" w:rsidRDefault="00E50850" w:rsidP="00E50850">
            <w:pPr>
              <w:pStyle w:val="Agendaitem"/>
              <w:rPr>
                <w:rtl/>
                <w:lang w:val="en-US"/>
              </w:rPr>
            </w:pPr>
            <w:r>
              <w:rPr>
                <w:rtl/>
              </w:rPr>
              <w:t>‎بند جدول الأعمال</w:t>
            </w:r>
            <w:r w:rsidR="00B86B20">
              <w:rPr>
                <w:rFonts w:hint="cs"/>
                <w:rtl/>
              </w:rPr>
              <w:t xml:space="preserve"> </w:t>
            </w:r>
            <w:r w:rsidR="00B86B20">
              <w:rPr>
                <w:lang w:val="en-US"/>
              </w:rPr>
              <w:t>1.9</w:t>
            </w:r>
            <w:r w:rsidR="00B86B20">
              <w:rPr>
                <w:rFonts w:hint="cs"/>
                <w:rtl/>
                <w:lang w:val="en-US"/>
              </w:rPr>
              <w:t>(</w:t>
            </w:r>
            <w:r w:rsidR="00B86B20">
              <w:rPr>
                <w:lang w:val="en-US"/>
              </w:rPr>
              <w:t>1.9</w:t>
            </w:r>
            <w:r w:rsidR="00B86B20">
              <w:rPr>
                <w:rFonts w:hint="cs"/>
                <w:rtl/>
                <w:lang w:val="en-US"/>
              </w:rPr>
              <w:t>-ج)</w:t>
            </w:r>
          </w:p>
        </w:tc>
      </w:tr>
    </w:tbl>
    <w:p w14:paraId="55F0A462" w14:textId="77777777" w:rsidR="0009130C" w:rsidRPr="00FE2CFF" w:rsidRDefault="0009130C" w:rsidP="00447522">
      <w:pPr>
        <w:spacing w:line="180" w:lineRule="auto"/>
        <w:rPr>
          <w:rtl/>
        </w:rPr>
      </w:pPr>
      <w:r w:rsidRPr="00831CDC">
        <w:t>9</w:t>
      </w:r>
      <w:r w:rsidRPr="00831CDC">
        <w:rPr>
          <w:rFonts w:hint="cs"/>
          <w:rtl/>
        </w:rPr>
        <w:tab/>
      </w:r>
      <w:r w:rsidRPr="00FE2CFF">
        <w:rPr>
          <w:rFonts w:hint="cs"/>
          <w:rtl/>
        </w:rPr>
        <w:t xml:space="preserve">النظر في تقرير مدير مكتب الاتصالات الراديوية وإقراره، وفقاً للمادة </w:t>
      </w:r>
      <w:r w:rsidRPr="00FE2CFF">
        <w:t>7</w:t>
      </w:r>
      <w:r w:rsidRPr="00FE2CFF">
        <w:rPr>
          <w:rFonts w:hint="cs"/>
          <w:rtl/>
        </w:rPr>
        <w:t xml:space="preserve"> من اتفاقية الاتحاد؛</w:t>
      </w:r>
    </w:p>
    <w:p w14:paraId="0D3C3E67" w14:textId="77777777" w:rsidR="0009130C" w:rsidRPr="00FE2CFF" w:rsidRDefault="0009130C" w:rsidP="001D42C8">
      <w:pPr>
        <w:spacing w:line="180" w:lineRule="auto"/>
      </w:pPr>
      <w:r w:rsidRPr="0035641C">
        <w:t>1.9</w:t>
      </w:r>
      <w:r w:rsidRPr="0035641C">
        <w:rPr>
          <w:rFonts w:hint="cs"/>
          <w:rtl/>
        </w:rPr>
        <w:tab/>
      </w:r>
      <w:r w:rsidRPr="00FE2CFF">
        <w:rPr>
          <w:rFonts w:hint="cs"/>
          <w:rtl/>
        </w:rPr>
        <w:t xml:space="preserve">بشأن أنشطة قطاع الاتصالات الراديوية بالاتحاد منذ المؤتمر العالمي للاتصالات الراديوية لعام </w:t>
      </w:r>
      <w:r w:rsidRPr="00FE2CFF">
        <w:t>2019</w:t>
      </w:r>
      <w:r w:rsidRPr="00FE2CFF">
        <w:rPr>
          <w:rFonts w:hint="cs"/>
          <w:rtl/>
        </w:rPr>
        <w:t>:</w:t>
      </w:r>
    </w:p>
    <w:p w14:paraId="41890ABC" w14:textId="5A4FE13F" w:rsidR="0009130C" w:rsidRPr="00FE2CFF" w:rsidRDefault="00B86B20" w:rsidP="00B86B20">
      <w:pPr>
        <w:spacing w:line="180" w:lineRule="auto"/>
        <w:ind w:left="1134" w:hanging="1134"/>
        <w:rPr>
          <w:rtl/>
          <w:lang w:bidi="ar-EG"/>
        </w:rPr>
      </w:pPr>
      <w:r>
        <w:rPr>
          <w:rFonts w:hint="cs"/>
          <w:rtl/>
        </w:rPr>
        <w:t>(</w:t>
      </w:r>
      <w:r>
        <w:t>1.9</w:t>
      </w:r>
      <w:r>
        <w:rPr>
          <w:rFonts w:hint="cs"/>
          <w:rtl/>
        </w:rPr>
        <w:t>-ج)</w:t>
      </w:r>
      <w:r w:rsidR="0009130C" w:rsidRPr="0035641C">
        <w:rPr>
          <w:rFonts w:hint="cs"/>
          <w:rtl/>
        </w:rPr>
        <w:tab/>
      </w:r>
      <w:r w:rsidR="0009130C" w:rsidRPr="00B86B20">
        <w:rPr>
          <w:rFonts w:hint="cs"/>
          <w:rtl/>
        </w:rPr>
        <w:t>دراسة</w:t>
      </w:r>
      <w:r w:rsidR="0009130C" w:rsidRPr="00FE2CFF">
        <w:rPr>
          <w:rFonts w:hint="cs"/>
          <w:rtl/>
          <w:lang w:val="es-ES"/>
        </w:rPr>
        <w:t xml:space="preserve"> استعمال أنظمة الاتصالات المتنقلة الدولية من أجل النطاق العريض اللاسلكي الثابت في نطاقات التردد الموزعة على </w:t>
      </w:r>
      <w:r w:rsidR="0009130C" w:rsidRPr="00D50A8C">
        <w:rPr>
          <w:rFonts w:hint="cs"/>
          <w:rtl/>
          <w:lang w:val="es-ES"/>
        </w:rPr>
        <w:t>أساس</w:t>
      </w:r>
      <w:r w:rsidR="0009130C" w:rsidRPr="00FE2CFF">
        <w:rPr>
          <w:rFonts w:hint="cs"/>
          <w:rtl/>
          <w:lang w:val="es-ES"/>
        </w:rPr>
        <w:t xml:space="preserve"> </w:t>
      </w:r>
      <w:r w:rsidR="0009130C" w:rsidRPr="00D50A8C">
        <w:rPr>
          <w:rFonts w:hint="cs"/>
          <w:rtl/>
          <w:lang w:val="es-ES"/>
        </w:rPr>
        <w:t>أولي</w:t>
      </w:r>
      <w:r w:rsidR="0009130C" w:rsidRPr="00FE2CFF">
        <w:rPr>
          <w:rFonts w:hint="cs"/>
          <w:rtl/>
          <w:lang w:val="es-ES"/>
        </w:rPr>
        <w:t xml:space="preserve"> للخدمات الثابتة، وفقاً للقرار </w:t>
      </w:r>
      <w:r w:rsidR="0009130C" w:rsidRPr="00FE2CFF">
        <w:rPr>
          <w:b/>
          <w:bCs/>
          <w:lang w:val="en-GB"/>
        </w:rPr>
        <w:t>175 (WRC-19)</w:t>
      </w:r>
      <w:r w:rsidR="0009130C" w:rsidRPr="00FE2CFF">
        <w:rPr>
          <w:rFonts w:hint="cs"/>
          <w:rtl/>
          <w:lang w:val="es-ES"/>
        </w:rPr>
        <w:t>؛</w:t>
      </w:r>
    </w:p>
    <w:p w14:paraId="416DA391" w14:textId="1F1DDC79" w:rsidR="0009130C" w:rsidRPr="003F2D8B" w:rsidRDefault="0009130C" w:rsidP="00B86B20">
      <w:pPr>
        <w:rPr>
          <w:position w:val="2"/>
          <w:rtl/>
        </w:rPr>
      </w:pPr>
      <w:r w:rsidRPr="00B86B20">
        <w:rPr>
          <w:rFonts w:hint="cs"/>
          <w:rtl/>
        </w:rPr>
        <w:t>القرار</w:t>
      </w:r>
      <w:r w:rsidRPr="00D72812">
        <w:rPr>
          <w:rFonts w:hint="cs"/>
          <w:position w:val="2"/>
          <w:rtl/>
        </w:rPr>
        <w:t xml:space="preserve"> </w:t>
      </w:r>
      <w:r w:rsidRPr="00D72812">
        <w:rPr>
          <w:b/>
          <w:position w:val="2"/>
        </w:rPr>
        <w:t>175 (WRC</w:t>
      </w:r>
      <w:r w:rsidRPr="00D72812">
        <w:rPr>
          <w:b/>
          <w:position w:val="2"/>
        </w:rPr>
        <w:noBreakHyphen/>
        <w:t>19)</w:t>
      </w:r>
      <w:r w:rsidR="00B86B20">
        <w:rPr>
          <w:rFonts w:hint="cs"/>
          <w:b/>
          <w:position w:val="2"/>
          <w:rtl/>
        </w:rPr>
        <w:t xml:space="preserve"> - </w:t>
      </w:r>
      <w:r w:rsidR="00B86B20" w:rsidRPr="00B86B20">
        <w:rPr>
          <w:rFonts w:hint="cs"/>
          <w:b/>
          <w:position w:val="2"/>
          <w:rtl/>
        </w:rPr>
        <w:t>استعمال أنظمة الاتصالات المتنقلة الدولية للنطاق العريض اللاسلكي الثابت</w:t>
      </w:r>
      <w:r w:rsidR="007C7EFF">
        <w:rPr>
          <w:rFonts w:hint="cs"/>
          <w:b/>
          <w:position w:val="2"/>
          <w:rtl/>
        </w:rPr>
        <w:t xml:space="preserve"> </w:t>
      </w:r>
      <w:r w:rsidR="00B86B20" w:rsidRPr="00B86B20">
        <w:rPr>
          <w:rFonts w:hint="cs"/>
          <w:b/>
          <w:position w:val="2"/>
          <w:rtl/>
        </w:rPr>
        <w:t>في نطاقات التردد الموزعة على أساس أولي للخدمة الثابتة</w:t>
      </w:r>
    </w:p>
    <w:p w14:paraId="2628C047" w14:textId="0C2D4C9A" w:rsidR="0009130C" w:rsidRDefault="00B86B20" w:rsidP="00B86B20">
      <w:pPr>
        <w:pStyle w:val="Headingb"/>
        <w:rPr>
          <w:rtl/>
        </w:rPr>
      </w:pPr>
      <w:r>
        <w:rPr>
          <w:rFonts w:hint="cs"/>
          <w:rtl/>
        </w:rPr>
        <w:t>مقدمة</w:t>
      </w:r>
    </w:p>
    <w:p w14:paraId="3ECF6ABC" w14:textId="5CBE15BD" w:rsidR="00B86B20" w:rsidRPr="003D4B07" w:rsidRDefault="00AD4C62" w:rsidP="00B86B20">
      <w:pPr>
        <w:rPr>
          <w:spacing w:val="4"/>
          <w:rtl/>
          <w:lang w:bidi="ar-SY"/>
        </w:rPr>
      </w:pPr>
      <w:r w:rsidRPr="003D4B07">
        <w:rPr>
          <w:rFonts w:hint="cs"/>
          <w:spacing w:val="4"/>
          <w:rtl/>
          <w:lang w:bidi="ar-EG"/>
        </w:rPr>
        <w:t xml:space="preserve">يقرر المؤتمر </w:t>
      </w:r>
      <w:r w:rsidR="00835B7C" w:rsidRPr="003D4B07">
        <w:rPr>
          <w:rFonts w:hint="cs"/>
          <w:spacing w:val="4"/>
          <w:rtl/>
          <w:lang w:bidi="ar-EG"/>
        </w:rPr>
        <w:t xml:space="preserve">العالمي للاتصالات الراديوية بموجب </w:t>
      </w:r>
      <w:r w:rsidR="00B86B20" w:rsidRPr="003D4B07">
        <w:rPr>
          <w:rFonts w:hint="cs"/>
          <w:spacing w:val="4"/>
          <w:rtl/>
        </w:rPr>
        <w:t xml:space="preserve">القرار </w:t>
      </w:r>
      <w:r w:rsidR="00B86B20" w:rsidRPr="003D4B07">
        <w:rPr>
          <w:b/>
          <w:bCs/>
          <w:spacing w:val="4"/>
        </w:rPr>
        <w:t>175 (WRC-19)</w:t>
      </w:r>
      <w:r w:rsidR="00B86B20" w:rsidRPr="003D4B07">
        <w:rPr>
          <w:rFonts w:hint="cs"/>
          <w:spacing w:val="4"/>
          <w:rtl/>
          <w:lang w:bidi="ar-EG"/>
        </w:rPr>
        <w:t xml:space="preserve"> </w:t>
      </w:r>
      <w:r w:rsidR="00B86B20" w:rsidRPr="003D4B07">
        <w:rPr>
          <w:rFonts w:hint="cs"/>
          <w:i/>
          <w:iCs/>
          <w:spacing w:val="4"/>
          <w:rtl/>
          <w:lang w:bidi="ar-SY"/>
        </w:rPr>
        <w:t>أن يدعو قطاع الاتصالات الراديوية بالاتحاد</w:t>
      </w:r>
      <w:r w:rsidR="00B86B20" w:rsidRPr="003D4B07">
        <w:rPr>
          <w:rFonts w:hint="cs"/>
          <w:spacing w:val="4"/>
          <w:rtl/>
          <w:lang w:bidi="ar-SY"/>
        </w:rPr>
        <w:t xml:space="preserve"> إلى إجراء أي دراسات ضرورية بشأن استعمال أنظمة الاتصالات المتنقلة الدولية من أجل النطاق العريض اللاسلكي الثابت في</w:t>
      </w:r>
      <w:r w:rsidR="00B86B20" w:rsidRPr="003D4B07">
        <w:rPr>
          <w:rFonts w:hint="eastAsia"/>
          <w:spacing w:val="4"/>
          <w:rtl/>
          <w:lang w:bidi="ar-SY"/>
        </w:rPr>
        <w:t> </w:t>
      </w:r>
      <w:r w:rsidR="00B86B20" w:rsidRPr="003D4B07">
        <w:rPr>
          <w:rFonts w:hint="cs"/>
          <w:spacing w:val="4"/>
          <w:rtl/>
          <w:lang w:bidi="ar-SY"/>
        </w:rPr>
        <w:t>نطاقات التردد الموزعة على أساس أولي للخدمة الثابتة، مع مراعاة دراسات قطاع الاتصالات الراديوية وكتيباته وتوصياته وتقاريره ذات الصلة.</w:t>
      </w:r>
    </w:p>
    <w:p w14:paraId="5C2CF0AB" w14:textId="504F22FC" w:rsidR="00AD4C62" w:rsidRPr="003D4B07" w:rsidRDefault="00AD4C62" w:rsidP="00B86B20">
      <w:pPr>
        <w:rPr>
          <w:spacing w:val="2"/>
          <w:rtl/>
        </w:rPr>
      </w:pPr>
      <w:r w:rsidRPr="003D4B07">
        <w:rPr>
          <w:rFonts w:hint="cs"/>
          <w:spacing w:val="2"/>
          <w:rtl/>
          <w:lang w:bidi="ar-SY"/>
        </w:rPr>
        <w:t>وير</w:t>
      </w:r>
      <w:r w:rsidR="003D4B07">
        <w:rPr>
          <w:rFonts w:hint="cs"/>
          <w:spacing w:val="2"/>
          <w:rtl/>
          <w:lang w:bidi="ar-SY"/>
        </w:rPr>
        <w:t>ى</w:t>
      </w:r>
      <w:r w:rsidRPr="003D4B07">
        <w:rPr>
          <w:rFonts w:hint="cs"/>
          <w:spacing w:val="2"/>
          <w:rtl/>
          <w:lang w:bidi="ar-SY"/>
        </w:rPr>
        <w:t xml:space="preserve"> المؤتمر الأوروبي لإدارات البريد والاتصالات </w:t>
      </w:r>
      <w:r w:rsidRPr="003D4B07">
        <w:rPr>
          <w:spacing w:val="2"/>
          <w:lang w:bidi="ar-SY"/>
        </w:rPr>
        <w:t>(CEPT)</w:t>
      </w:r>
      <w:r w:rsidRPr="003D4B07">
        <w:rPr>
          <w:rFonts w:hint="cs"/>
          <w:spacing w:val="2"/>
          <w:rtl/>
          <w:lang w:bidi="ar-SY"/>
        </w:rPr>
        <w:t xml:space="preserve"> أن أحكام لوائح الراديو التنظيمية الحالية المنطبقة على الخدمة الثابتة تسمح بالفعل بتطبيقات النطاق العريض اللاسلكي الثابت التي تستعمل تكنولوجيا الاتصالات المتنقلة الدولية وتكنولوجيات أخرى في النطاقات الموزعة للخدمة الثابتة. </w:t>
      </w:r>
      <w:r w:rsidRPr="003D4B07">
        <w:rPr>
          <w:rFonts w:hint="cs"/>
          <w:spacing w:val="2"/>
          <w:rtl/>
          <w:lang w:bidi="ar-EG"/>
        </w:rPr>
        <w:t xml:space="preserve">ونظراً إلى هذا الإطار التنظيمي الدولي المرن القائم حالياً، لا توجد حاجة إلى دراسة نطاقات محددة أو صياغة أحكام تنظيمية جديدة/إضافية في لوائح الراديو من أجل تطبيقات </w:t>
      </w:r>
      <w:r w:rsidRPr="003D4B07">
        <w:rPr>
          <w:rFonts w:hint="cs"/>
          <w:spacing w:val="2"/>
          <w:rtl/>
          <w:lang w:bidi="ar-SY"/>
        </w:rPr>
        <w:t>النطاق العريض اللاسلكي الثابت التي تستعمل تكنولوجيا الاتصالات المتنقلة الدولية. ولذلك، يؤيد المؤتمر الأوروبي لإدارات البريد والاتصالات</w:t>
      </w:r>
      <w:r w:rsidR="005D01EA" w:rsidRPr="003D4B07">
        <w:rPr>
          <w:rFonts w:hint="cs"/>
          <w:spacing w:val="2"/>
          <w:rtl/>
          <w:lang w:bidi="ar-EG"/>
        </w:rPr>
        <w:t xml:space="preserve"> إلغاء القرار </w:t>
      </w:r>
      <w:r w:rsidR="007B4E74" w:rsidRPr="003D4B07">
        <w:rPr>
          <w:b/>
          <w:bCs/>
          <w:spacing w:val="2"/>
        </w:rPr>
        <w:t>175 (WRC-19)</w:t>
      </w:r>
      <w:r w:rsidR="005D01EA" w:rsidRPr="003D4B07">
        <w:rPr>
          <w:rFonts w:hint="cs"/>
          <w:spacing w:val="2"/>
          <w:rtl/>
          <w:lang w:bidi="ar-EG"/>
        </w:rPr>
        <w:t xml:space="preserve"> ويعارض إدخال أي تغييرات أخرى على لوائح الراديو بموجب البند </w:t>
      </w:r>
      <w:r w:rsidR="007B4E74" w:rsidRPr="003D4B07">
        <w:rPr>
          <w:rFonts w:hint="cs"/>
          <w:spacing w:val="2"/>
          <w:rtl/>
          <w:lang w:bidi="ar-EG"/>
        </w:rPr>
        <w:t>1.9 الموضوع ج)</w:t>
      </w:r>
      <w:r w:rsidR="00E7584A" w:rsidRPr="003D4B07">
        <w:rPr>
          <w:rFonts w:hint="cs"/>
          <w:spacing w:val="2"/>
          <w:rtl/>
          <w:lang w:bidi="ar-EG"/>
        </w:rPr>
        <w:t xml:space="preserve"> </w:t>
      </w:r>
      <w:r w:rsidR="007B4E74" w:rsidRPr="003D4B07">
        <w:rPr>
          <w:rFonts w:hint="cs"/>
          <w:spacing w:val="2"/>
          <w:rtl/>
          <w:lang w:bidi="ar-EG"/>
        </w:rPr>
        <w:t xml:space="preserve">من جدول أعمال المؤتمر </w:t>
      </w:r>
      <w:r w:rsidR="007B4E74" w:rsidRPr="003D4B07">
        <w:rPr>
          <w:spacing w:val="2"/>
        </w:rPr>
        <w:t>WRC-23</w:t>
      </w:r>
      <w:r w:rsidR="007B4E74" w:rsidRPr="003D4B07">
        <w:rPr>
          <w:rFonts w:hint="cs"/>
          <w:spacing w:val="2"/>
          <w:rtl/>
          <w:lang w:bidi="ar-EG"/>
        </w:rPr>
        <w:t>.</w:t>
      </w:r>
    </w:p>
    <w:p w14:paraId="56DB21C7" w14:textId="564516F1" w:rsidR="007B4E74" w:rsidRPr="00AC5D39" w:rsidRDefault="007B4E74" w:rsidP="00B86B20">
      <w:pPr>
        <w:rPr>
          <w:rtl/>
          <w:lang w:bidi="ar-EG"/>
        </w:rPr>
      </w:pPr>
      <w:r w:rsidRPr="003D4B07">
        <w:rPr>
          <w:rFonts w:hint="cs"/>
          <w:rtl/>
          <w:lang w:bidi="ar-SY"/>
        </w:rPr>
        <w:t>وير</w:t>
      </w:r>
      <w:r w:rsidR="003D4B07">
        <w:rPr>
          <w:rFonts w:hint="cs"/>
          <w:rtl/>
          <w:lang w:bidi="ar-SY"/>
        </w:rPr>
        <w:t>ى</w:t>
      </w:r>
      <w:r w:rsidR="007C7EFF" w:rsidRPr="003D4B07">
        <w:rPr>
          <w:rFonts w:hint="cs"/>
          <w:rtl/>
          <w:lang w:bidi="ar-SY"/>
        </w:rPr>
        <w:t xml:space="preserve"> </w:t>
      </w:r>
      <w:r w:rsidRPr="00AC5D39">
        <w:rPr>
          <w:rFonts w:hint="cs"/>
          <w:rtl/>
          <w:lang w:bidi="ar-SY"/>
        </w:rPr>
        <w:t xml:space="preserve">المؤتمر الأوروبي لإدارات البريد والاتصالات أن العمل ينبغي أن يركز بدلاً من ذلك على النظر في النفاذ إلى النطاق العريض اللاسلكي الثابت </w:t>
      </w:r>
      <w:r w:rsidR="00D64529" w:rsidRPr="00AC5D39">
        <w:t>(BFWA)</w:t>
      </w:r>
      <w:r w:rsidRPr="00AC5D39">
        <w:rPr>
          <w:rFonts w:hint="cs"/>
          <w:rtl/>
          <w:lang w:bidi="ar-SY"/>
        </w:rPr>
        <w:t xml:space="preserve"> الذي يستعمل تكنولوجيات الاتصالات المتنقلة الدولية بموجب الإطار التنظيمي القائم للخدمة </w:t>
      </w:r>
      <w:r w:rsidRPr="00AC5D39">
        <w:rPr>
          <w:rFonts w:hint="cs"/>
          <w:rtl/>
          <w:lang w:bidi="ar-SY"/>
        </w:rPr>
        <w:lastRenderedPageBreak/>
        <w:t>الثابتة.</w:t>
      </w:r>
      <w:r w:rsidR="00D64529" w:rsidRPr="00AC5D39">
        <w:rPr>
          <w:rFonts w:hint="cs"/>
          <w:rtl/>
          <w:lang w:bidi="ar-SY"/>
        </w:rPr>
        <w:t xml:space="preserve"> ويمكن الاضطلاع بهذا العمل، حسب اللزوم، من خلال تحديث التوصيات/التقارير/الكتيبات المناسبة الحالية لقطاع الاتصالات الراديوية التي تندرج في نطاق اختصاص فرقتي العمل </w:t>
      </w:r>
      <w:r w:rsidR="00D64529" w:rsidRPr="00AC5D39">
        <w:rPr>
          <w:lang w:bidi="ar-SY"/>
        </w:rPr>
        <w:t>5A</w:t>
      </w:r>
      <w:r w:rsidR="00D64529" w:rsidRPr="00AC5D39">
        <w:rPr>
          <w:rFonts w:hint="cs"/>
          <w:rtl/>
          <w:lang w:bidi="ar-SY"/>
        </w:rPr>
        <w:t xml:space="preserve"> و</w:t>
      </w:r>
      <w:r w:rsidR="00D64529" w:rsidRPr="00AC5D39">
        <w:rPr>
          <w:lang w:bidi="ar-SY"/>
        </w:rPr>
        <w:t>5C</w:t>
      </w:r>
      <w:r w:rsidR="00D64529" w:rsidRPr="00AC5D39">
        <w:rPr>
          <w:rFonts w:hint="cs"/>
          <w:rtl/>
          <w:lang w:bidi="ar-SY"/>
        </w:rPr>
        <w:t xml:space="preserve"> لقطاع الاتصالات الراديوية.</w:t>
      </w:r>
    </w:p>
    <w:p w14:paraId="75E62576" w14:textId="338DEFC5" w:rsidR="00B86B20" w:rsidRPr="00AC5D39" w:rsidRDefault="0003614F" w:rsidP="0003614F">
      <w:pPr>
        <w:rPr>
          <w:rtl/>
        </w:rPr>
      </w:pPr>
      <w:r w:rsidRPr="00AC5D39">
        <w:rPr>
          <w:rFonts w:hint="cs"/>
          <w:rtl/>
          <w:lang w:bidi="ar-EG"/>
        </w:rPr>
        <w:t>إن استعمال مصطلح "أنظمة الاتصالات المتنقلة الدولية"، الذي يُفهم منه عموماً أنظمة النطاق العريض المتنقلة</w:t>
      </w:r>
      <w:r w:rsidR="00B86B20" w:rsidRPr="00AC5D39">
        <w:rPr>
          <w:rStyle w:val="FootnoteReference"/>
          <w:rtl/>
        </w:rPr>
        <w:footnoteReference w:id="1"/>
      </w:r>
      <w:r w:rsidRPr="00AC5D39">
        <w:rPr>
          <w:rFonts w:hint="cs"/>
          <w:rtl/>
          <w:lang w:bidi="ar-EG"/>
        </w:rPr>
        <w:t>، غير مناسب في إطار التوزيع للخدمة الثابتة، وبالتالي فهو لا يمتثل للوائح الراديو المنطبقة على الخدمة الثابتة.</w:t>
      </w:r>
    </w:p>
    <w:p w14:paraId="15E04A92" w14:textId="7F0B49DF" w:rsidR="00B86B20" w:rsidRPr="007579F6" w:rsidRDefault="00B86B20" w:rsidP="00B86B20">
      <w:pPr>
        <w:pStyle w:val="Headingb"/>
      </w:pPr>
      <w:r>
        <w:rPr>
          <w:rFonts w:hint="cs"/>
          <w:rtl/>
        </w:rPr>
        <w:t>المقترحات</w:t>
      </w:r>
    </w:p>
    <w:p w14:paraId="61C6601D" w14:textId="77777777" w:rsidR="004C67F1" w:rsidRDefault="004C67F1" w:rsidP="003C1D6E">
      <w:pPr>
        <w:rPr>
          <w:rtl/>
          <w:lang w:val="en-GB" w:bidi="ar-EG"/>
        </w:rPr>
      </w:pPr>
      <w:r>
        <w:rPr>
          <w:rtl/>
          <w:lang w:val="en-GB" w:bidi="ar-EG"/>
        </w:rPr>
        <w:br w:type="page"/>
      </w:r>
    </w:p>
    <w:p w14:paraId="532BCCF8" w14:textId="77777777" w:rsidR="00A5270B" w:rsidRDefault="0009130C">
      <w:pPr>
        <w:pStyle w:val="Proposal"/>
      </w:pPr>
      <w:r>
        <w:rPr>
          <w:u w:val="single"/>
        </w:rPr>
        <w:lastRenderedPageBreak/>
        <w:t>NOC</w:t>
      </w:r>
      <w:r>
        <w:tab/>
        <w:t>EUR/65A24A3/1</w:t>
      </w:r>
    </w:p>
    <w:p w14:paraId="52631C56" w14:textId="77777777" w:rsidR="00675555" w:rsidRPr="00B86B20" w:rsidRDefault="00675555" w:rsidP="00675555">
      <w:pPr>
        <w:pStyle w:val="Volumetitle"/>
      </w:pPr>
      <w:r w:rsidRPr="00B86B20">
        <w:rPr>
          <w:rFonts w:hint="cs"/>
          <w:rtl/>
        </w:rPr>
        <w:t>المــواد</w:t>
      </w:r>
    </w:p>
    <w:p w14:paraId="3F42EBB4" w14:textId="77777777" w:rsidR="00A5270B" w:rsidRDefault="00A5270B">
      <w:pPr>
        <w:pStyle w:val="Reasons"/>
      </w:pPr>
    </w:p>
    <w:p w14:paraId="055937C7" w14:textId="77777777" w:rsidR="00A5270B" w:rsidRDefault="0009130C">
      <w:pPr>
        <w:pStyle w:val="Proposal"/>
      </w:pPr>
      <w:r>
        <w:rPr>
          <w:u w:val="single"/>
        </w:rPr>
        <w:t>NOC</w:t>
      </w:r>
      <w:r>
        <w:tab/>
        <w:t>EUR/65A24A3/2</w:t>
      </w:r>
    </w:p>
    <w:p w14:paraId="4ABD8989" w14:textId="77777777" w:rsidR="0009130C" w:rsidRPr="00B86B20" w:rsidRDefault="0009130C" w:rsidP="0013337C">
      <w:pPr>
        <w:pStyle w:val="Volumetitle"/>
        <w:rPr>
          <w:rtl/>
        </w:rPr>
      </w:pPr>
      <w:r w:rsidRPr="00B86B20">
        <w:rPr>
          <w:rFonts w:hint="cs"/>
          <w:rtl/>
        </w:rPr>
        <w:t>التذييـلات</w:t>
      </w:r>
    </w:p>
    <w:p w14:paraId="6452281B" w14:textId="77777777" w:rsidR="00A5270B" w:rsidRDefault="00A5270B">
      <w:pPr>
        <w:pStyle w:val="Reasons"/>
      </w:pPr>
    </w:p>
    <w:p w14:paraId="3ED97DC2" w14:textId="77777777" w:rsidR="00A5270B" w:rsidRDefault="0009130C">
      <w:pPr>
        <w:pStyle w:val="Proposal"/>
      </w:pPr>
      <w:r>
        <w:rPr>
          <w:u w:val="single"/>
        </w:rPr>
        <w:t>NOC</w:t>
      </w:r>
      <w:r>
        <w:tab/>
        <w:t>EUR/65A24A3/3</w:t>
      </w:r>
    </w:p>
    <w:p w14:paraId="38BA4F2C" w14:textId="2E35AECF" w:rsidR="0009130C" w:rsidRPr="00B86B20" w:rsidRDefault="0009130C" w:rsidP="00A3336D">
      <w:pPr>
        <w:pStyle w:val="Volumetitle"/>
        <w:rPr>
          <w:rtl/>
        </w:rPr>
      </w:pPr>
      <w:r w:rsidRPr="00B86B20">
        <w:rPr>
          <w:rFonts w:hint="cs"/>
          <w:rtl/>
        </w:rPr>
        <w:t>التوصيـات</w:t>
      </w:r>
    </w:p>
    <w:p w14:paraId="5E7C20B3" w14:textId="242F1761" w:rsidR="00A5270B" w:rsidRPr="00B86B20" w:rsidRDefault="0009130C">
      <w:pPr>
        <w:pStyle w:val="Reasons"/>
        <w:rPr>
          <w:b w:val="0"/>
          <w:bCs w:val="0"/>
          <w:rtl/>
          <w:lang w:bidi="ar-EG"/>
        </w:rPr>
      </w:pPr>
      <w:r>
        <w:rPr>
          <w:rtl/>
        </w:rPr>
        <w:t>الأسباب:</w:t>
      </w:r>
      <w:r>
        <w:tab/>
      </w:r>
      <w:r w:rsidR="00835B7C">
        <w:rPr>
          <w:rFonts w:hint="cs"/>
          <w:b w:val="0"/>
          <w:bCs w:val="0"/>
          <w:rtl/>
          <w:lang w:bidi="ar-EG"/>
        </w:rPr>
        <w:t>الإطار التنظيمي الحالي للخدمة الثابتة</w:t>
      </w:r>
      <w:r w:rsidR="00DB0455">
        <w:rPr>
          <w:rFonts w:hint="cs"/>
          <w:b w:val="0"/>
          <w:bCs w:val="0"/>
          <w:rtl/>
          <w:lang w:bidi="ar-EG"/>
        </w:rPr>
        <w:t>،</w:t>
      </w:r>
      <w:r w:rsidR="00835B7C">
        <w:rPr>
          <w:rFonts w:hint="cs"/>
          <w:b w:val="0"/>
          <w:bCs w:val="0"/>
          <w:rtl/>
          <w:lang w:bidi="ar-EG"/>
        </w:rPr>
        <w:t xml:space="preserve"> على النحو المحدد في نسخة 2020 من لوائح الراديو</w:t>
      </w:r>
      <w:r w:rsidR="00DB0455">
        <w:rPr>
          <w:rFonts w:hint="cs"/>
          <w:b w:val="0"/>
          <w:bCs w:val="0"/>
          <w:rtl/>
          <w:lang w:bidi="ar-EG"/>
        </w:rPr>
        <w:t>،</w:t>
      </w:r>
      <w:r w:rsidR="00835B7C">
        <w:rPr>
          <w:rFonts w:hint="cs"/>
          <w:b w:val="0"/>
          <w:bCs w:val="0"/>
          <w:rtl/>
          <w:lang w:bidi="ar-EG"/>
        </w:rPr>
        <w:t xml:space="preserve"> </w:t>
      </w:r>
      <w:r w:rsidR="00DB0455">
        <w:rPr>
          <w:rFonts w:hint="cs"/>
          <w:b w:val="0"/>
          <w:bCs w:val="0"/>
          <w:rtl/>
          <w:lang w:bidi="ar-EG"/>
        </w:rPr>
        <w:t>يكفي لاستعمال تطبيقات النطاق العريض اللاسلكي الثابت، بما في ذلك التطبيقات التي تستعمل تكنولوجيا الاتصالات المتنقلة الدولية.</w:t>
      </w:r>
    </w:p>
    <w:p w14:paraId="5AFF6B70" w14:textId="77777777" w:rsidR="00A5270B" w:rsidRDefault="0009130C">
      <w:pPr>
        <w:pStyle w:val="Proposal"/>
      </w:pPr>
      <w:r>
        <w:t>SUP</w:t>
      </w:r>
      <w:r>
        <w:tab/>
        <w:t>EUR/65A24A3/4</w:t>
      </w:r>
    </w:p>
    <w:p w14:paraId="13C97D8F" w14:textId="77777777" w:rsidR="0009130C" w:rsidRPr="00FE2CFF" w:rsidRDefault="0009130C" w:rsidP="005C3943">
      <w:pPr>
        <w:pStyle w:val="ResNo"/>
        <w:rPr>
          <w:rtl/>
        </w:rPr>
      </w:pPr>
      <w:bookmarkStart w:id="1" w:name="_Toc36038331"/>
      <w:bookmarkStart w:id="2" w:name="_Toc40075770"/>
      <w:r w:rsidRPr="00FE2CFF">
        <w:rPr>
          <w:rFonts w:hint="cs"/>
          <w:rtl/>
        </w:rPr>
        <w:t xml:space="preserve">القرار </w:t>
      </w:r>
      <w:r w:rsidRPr="00FE2CFF">
        <w:rPr>
          <w:rStyle w:val="href"/>
        </w:rPr>
        <w:t>175</w:t>
      </w:r>
      <w:r w:rsidRPr="00FE2CFF">
        <w:rPr>
          <w:lang w:val="en-GB"/>
        </w:rPr>
        <w:t xml:space="preserve"> (WRC-19)</w:t>
      </w:r>
      <w:bookmarkEnd w:id="1"/>
      <w:bookmarkEnd w:id="2"/>
    </w:p>
    <w:p w14:paraId="33E29092" w14:textId="77777777" w:rsidR="0009130C" w:rsidRPr="00FE2CFF" w:rsidRDefault="0009130C" w:rsidP="005C3943">
      <w:pPr>
        <w:pStyle w:val="Restitle"/>
        <w:rPr>
          <w:rtl/>
        </w:rPr>
      </w:pPr>
      <w:bookmarkStart w:id="3" w:name="_Toc36038332"/>
      <w:bookmarkStart w:id="4" w:name="_Toc40075771"/>
      <w:r w:rsidRPr="00FE2CFF">
        <w:rPr>
          <w:rFonts w:hint="cs"/>
          <w:rtl/>
        </w:rPr>
        <w:t>استعمال أنظمة الاتصالات المتنقلة الدولية للنطاق العريض اللاسلكي الثابت</w:t>
      </w:r>
      <w:r w:rsidRPr="00FE2CFF">
        <w:rPr>
          <w:rtl/>
        </w:rPr>
        <w:br/>
      </w:r>
      <w:r w:rsidRPr="00FE2CFF">
        <w:rPr>
          <w:rFonts w:hint="cs"/>
          <w:rtl/>
        </w:rPr>
        <w:t>في نطاقات التردد الموزعة على أساس أولي للخدمة الثابتة</w:t>
      </w:r>
      <w:bookmarkEnd w:id="3"/>
      <w:bookmarkEnd w:id="4"/>
    </w:p>
    <w:p w14:paraId="0DC6A07E" w14:textId="29F0F36E" w:rsidR="00A5270B" w:rsidRDefault="0009130C" w:rsidP="007C7EFF">
      <w:pPr>
        <w:pStyle w:val="Reasons"/>
        <w:rPr>
          <w:b w:val="0"/>
          <w:bCs w:val="0"/>
          <w:lang w:bidi="ar-SY"/>
        </w:rPr>
      </w:pPr>
      <w:r>
        <w:rPr>
          <w:rtl/>
        </w:rPr>
        <w:t>الأسباب:</w:t>
      </w:r>
      <w:r>
        <w:tab/>
      </w:r>
      <w:r w:rsidR="007C7EFF" w:rsidRPr="003D4B07">
        <w:rPr>
          <w:rFonts w:hint="cs"/>
          <w:b w:val="0"/>
          <w:bCs w:val="0"/>
          <w:rtl/>
          <w:lang w:bidi="ar-SY"/>
        </w:rPr>
        <w:t>يرى</w:t>
      </w:r>
      <w:r w:rsidR="00DB0455" w:rsidRPr="00DB0455">
        <w:rPr>
          <w:rFonts w:hint="cs"/>
          <w:b w:val="0"/>
          <w:bCs w:val="0"/>
          <w:rtl/>
          <w:lang w:bidi="ar-SY"/>
        </w:rPr>
        <w:t xml:space="preserve"> المؤتمر الأوروبي لإدارات البريد والاتصالات</w:t>
      </w:r>
      <w:r w:rsidR="00DB0455">
        <w:rPr>
          <w:rFonts w:hint="cs"/>
          <w:b w:val="0"/>
          <w:bCs w:val="0"/>
          <w:rtl/>
          <w:lang w:bidi="ar-SY"/>
        </w:rPr>
        <w:t xml:space="preserve"> أن استعمال تكنولوجيات الاتصالات المتنقلة الدولية والتكنولوجيات الأخرى لتطبيقات النطاق العريض اللاسلكي الثابت في نطاقات التردد الموزعة للخدمة الثابتة يمكن معالجته</w:t>
      </w:r>
      <w:r w:rsidR="00244D0C">
        <w:rPr>
          <w:rFonts w:hint="cs"/>
          <w:b w:val="0"/>
          <w:bCs w:val="0"/>
          <w:rtl/>
          <w:lang w:bidi="ar-SY"/>
        </w:rPr>
        <w:t xml:space="preserve"> </w:t>
      </w:r>
      <w:r w:rsidR="00244D0C" w:rsidRPr="003D4B07">
        <w:rPr>
          <w:rFonts w:hint="cs"/>
          <w:b w:val="0"/>
          <w:bCs w:val="0"/>
          <w:rtl/>
          <w:lang w:bidi="ar-SY"/>
        </w:rPr>
        <w:t>بشكل كافٍ</w:t>
      </w:r>
      <w:r w:rsidR="00DB0455">
        <w:rPr>
          <w:rFonts w:hint="cs"/>
          <w:b w:val="0"/>
          <w:bCs w:val="0"/>
          <w:rtl/>
          <w:lang w:bidi="ar-SY"/>
        </w:rPr>
        <w:t xml:space="preserve">، حسب اللزوم، </w:t>
      </w:r>
      <w:r w:rsidR="00DB0455" w:rsidRPr="00DB0455">
        <w:rPr>
          <w:rFonts w:hint="cs"/>
          <w:b w:val="0"/>
          <w:bCs w:val="0"/>
          <w:rtl/>
          <w:lang w:bidi="ar-SY"/>
        </w:rPr>
        <w:t xml:space="preserve">من خلال تحديث التوصيات/التقارير/الكتيبات المناسبة الحالية لقطاع الاتصالات الراديوية التي تندرج في نطاق اختصاص فرقتي العمل </w:t>
      </w:r>
      <w:r w:rsidR="00DB0455" w:rsidRPr="00DB0455">
        <w:rPr>
          <w:b w:val="0"/>
          <w:bCs w:val="0"/>
          <w:lang w:bidi="ar-SY"/>
        </w:rPr>
        <w:t>5A</w:t>
      </w:r>
      <w:r w:rsidR="00DB0455" w:rsidRPr="00DB0455">
        <w:rPr>
          <w:rFonts w:hint="cs"/>
          <w:b w:val="0"/>
          <w:bCs w:val="0"/>
          <w:rtl/>
          <w:lang w:bidi="ar-SY"/>
        </w:rPr>
        <w:t xml:space="preserve"> و</w:t>
      </w:r>
      <w:r w:rsidR="00DB0455" w:rsidRPr="00DB0455">
        <w:rPr>
          <w:b w:val="0"/>
          <w:bCs w:val="0"/>
          <w:lang w:bidi="ar-SY"/>
        </w:rPr>
        <w:t>5C</w:t>
      </w:r>
      <w:r w:rsidR="00DB0455" w:rsidRPr="00DB0455">
        <w:rPr>
          <w:rFonts w:hint="cs"/>
          <w:b w:val="0"/>
          <w:bCs w:val="0"/>
          <w:rtl/>
          <w:lang w:bidi="ar-SY"/>
        </w:rPr>
        <w:t xml:space="preserve"> لقطاع الاتصالات الراديوية.</w:t>
      </w:r>
      <w:r w:rsidR="006E5057">
        <w:rPr>
          <w:rFonts w:hint="cs"/>
          <w:b w:val="0"/>
          <w:bCs w:val="0"/>
          <w:rtl/>
          <w:lang w:bidi="ar-SY"/>
        </w:rPr>
        <w:t xml:space="preserve"> ولذلك يرى </w:t>
      </w:r>
      <w:r w:rsidR="006E5057" w:rsidRPr="00DB0455">
        <w:rPr>
          <w:rFonts w:hint="cs"/>
          <w:b w:val="0"/>
          <w:bCs w:val="0"/>
          <w:rtl/>
          <w:lang w:bidi="ar-SY"/>
        </w:rPr>
        <w:t>المؤتمر الأوروبي لإدارات البريد والاتصالات</w:t>
      </w:r>
      <w:r w:rsidR="006E5057">
        <w:rPr>
          <w:rFonts w:hint="cs"/>
          <w:b w:val="0"/>
          <w:bCs w:val="0"/>
          <w:rtl/>
          <w:lang w:bidi="ar-SY"/>
        </w:rPr>
        <w:t xml:space="preserve"> أن أي عمل على هذا الموضوع في المستقبل، يمكن الاضطلاع به، إذا لزم الأمر، في إطار فرقتي العمل هاتين، مثلاً في إطار مسائل الدراسة ذات الصلة لقطاع الاتصالات الراديوية، وبالتالي يمكن إلغاء القرار </w:t>
      </w:r>
      <w:r w:rsidR="006E5057" w:rsidRPr="00E74D92">
        <w:t>175 (WRC-19)</w:t>
      </w:r>
      <w:r w:rsidR="006E5057">
        <w:rPr>
          <w:rFonts w:hint="cs"/>
          <w:b w:val="0"/>
          <w:bCs w:val="0"/>
          <w:rtl/>
          <w:lang w:bidi="ar-SY"/>
        </w:rPr>
        <w:t>.</w:t>
      </w:r>
    </w:p>
    <w:p w14:paraId="204665E7" w14:textId="2DE63A52" w:rsidR="00D50A8C" w:rsidRPr="00D50A8C" w:rsidRDefault="00D50A8C" w:rsidP="00D50A8C">
      <w:pPr>
        <w:spacing w:before="600"/>
        <w:jc w:val="center"/>
        <w:rPr>
          <w:rtl/>
          <w:lang w:bidi="ar-SY"/>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D50A8C" w:rsidRPr="00D50A8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2D23" w14:textId="77777777" w:rsidR="001A6F04" w:rsidRDefault="001A6F04" w:rsidP="002919E1">
      <w:r>
        <w:separator/>
      </w:r>
    </w:p>
    <w:p w14:paraId="3B0D8436" w14:textId="77777777" w:rsidR="001A6F04" w:rsidRDefault="001A6F04" w:rsidP="002919E1"/>
    <w:p w14:paraId="1095E60F" w14:textId="77777777" w:rsidR="001A6F04" w:rsidRDefault="001A6F04" w:rsidP="002919E1"/>
    <w:p w14:paraId="61A78A24" w14:textId="77777777" w:rsidR="001A6F04" w:rsidRDefault="001A6F04"/>
    <w:p w14:paraId="736B65DC" w14:textId="77777777" w:rsidR="001A6F04" w:rsidRDefault="001A6F04"/>
  </w:endnote>
  <w:endnote w:type="continuationSeparator" w:id="0">
    <w:p w14:paraId="102D712C" w14:textId="77777777" w:rsidR="001A6F04" w:rsidRDefault="001A6F04" w:rsidP="002919E1">
      <w:r>
        <w:continuationSeparator/>
      </w:r>
    </w:p>
    <w:p w14:paraId="3A5B65A6" w14:textId="77777777" w:rsidR="001A6F04" w:rsidRDefault="001A6F04" w:rsidP="002919E1"/>
    <w:p w14:paraId="5F5761C7" w14:textId="77777777" w:rsidR="001A6F04" w:rsidRDefault="001A6F04" w:rsidP="002919E1"/>
    <w:p w14:paraId="364EEC48" w14:textId="77777777" w:rsidR="001A6F04" w:rsidRDefault="001A6F04"/>
    <w:p w14:paraId="0CCB4998"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C6D5" w14:textId="0B26B173"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09130C">
      <w:rPr>
        <w:sz w:val="16"/>
        <w:szCs w:val="16"/>
        <w:lang w:val="en-GB"/>
      </w:rPr>
      <w:instrText xml:space="preserve"> FILENAME \p \* MERGEFORMAT </w:instrText>
    </w:r>
    <w:r w:rsidRPr="0026373E">
      <w:rPr>
        <w:sz w:val="16"/>
        <w:szCs w:val="16"/>
        <w:lang w:val="fr-FR"/>
      </w:rPr>
      <w:fldChar w:fldCharType="separate"/>
    </w:r>
    <w:r w:rsidR="00BA2B7C">
      <w:rPr>
        <w:noProof/>
        <w:sz w:val="16"/>
        <w:szCs w:val="16"/>
        <w:lang w:val="en-GB"/>
      </w:rPr>
      <w:t>P:\ARA\ITU-R\CONF-R\CMR23\000\065ADD24ADD03A.docx</w:t>
    </w:r>
    <w:r w:rsidRPr="0026373E">
      <w:rPr>
        <w:sz w:val="16"/>
        <w:szCs w:val="16"/>
      </w:rPr>
      <w:fldChar w:fldCharType="end"/>
    </w:r>
    <w:r w:rsidRPr="0026373E">
      <w:rPr>
        <w:sz w:val="16"/>
        <w:szCs w:val="16"/>
      </w:rPr>
      <w:t xml:space="preserve">  </w:t>
    </w:r>
    <w:r w:rsidRPr="0009130C">
      <w:rPr>
        <w:sz w:val="16"/>
        <w:szCs w:val="16"/>
        <w:lang w:val="en-GB"/>
      </w:rPr>
      <w:t xml:space="preserve"> (</w:t>
    </w:r>
    <w:r w:rsidR="0009130C" w:rsidRPr="0009130C">
      <w:rPr>
        <w:sz w:val="16"/>
        <w:szCs w:val="16"/>
        <w:lang w:val="en-GB"/>
      </w:rPr>
      <w:t>528861</w:t>
    </w:r>
    <w:r w:rsidRPr="0009130C">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84B" w14:textId="754BD06E" w:rsidR="00F65EDF" w:rsidRPr="00D63A6F" w:rsidRDefault="00F65EDF" w:rsidP="00F65EDF">
    <w:pPr>
      <w:pStyle w:val="Footer"/>
      <w:tabs>
        <w:tab w:val="center" w:pos="5103"/>
        <w:tab w:val="right" w:pos="9639"/>
      </w:tabs>
      <w:bidi w:val="0"/>
      <w:spacing w:before="120"/>
      <w:rPr>
        <w:sz w:val="16"/>
        <w:szCs w:val="16"/>
      </w:rPr>
    </w:pPr>
    <w:r w:rsidRPr="0026373E">
      <w:rPr>
        <w:sz w:val="16"/>
        <w:szCs w:val="16"/>
        <w:lang w:val="fr-FR"/>
      </w:rPr>
      <w:fldChar w:fldCharType="begin"/>
    </w:r>
    <w:r w:rsidRPr="0009130C">
      <w:rPr>
        <w:sz w:val="16"/>
        <w:szCs w:val="16"/>
        <w:lang w:val="en-GB"/>
      </w:rPr>
      <w:instrText xml:space="preserve"> FILENAME \p \* MERGEFORMAT </w:instrText>
    </w:r>
    <w:r w:rsidRPr="0026373E">
      <w:rPr>
        <w:sz w:val="16"/>
        <w:szCs w:val="16"/>
        <w:lang w:val="fr-FR"/>
      </w:rPr>
      <w:fldChar w:fldCharType="separate"/>
    </w:r>
    <w:r w:rsidR="00BA2B7C">
      <w:rPr>
        <w:noProof/>
        <w:sz w:val="16"/>
        <w:szCs w:val="16"/>
        <w:lang w:val="en-GB"/>
      </w:rPr>
      <w:t>P:\ARA\ITU-R\CONF-R\CMR23\000\065ADD24ADD03A.docx</w:t>
    </w:r>
    <w:r w:rsidRPr="0026373E">
      <w:rPr>
        <w:sz w:val="16"/>
        <w:szCs w:val="16"/>
      </w:rPr>
      <w:fldChar w:fldCharType="end"/>
    </w:r>
    <w:r w:rsidRPr="0026373E">
      <w:rPr>
        <w:sz w:val="16"/>
        <w:szCs w:val="16"/>
      </w:rPr>
      <w:t xml:space="preserve">  </w:t>
    </w:r>
    <w:r w:rsidRPr="0009130C">
      <w:rPr>
        <w:sz w:val="16"/>
        <w:szCs w:val="16"/>
        <w:lang w:val="en-GB"/>
      </w:rPr>
      <w:t xml:space="preserve"> (528861)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6605" w14:textId="60E5F322" w:rsidR="0009130C" w:rsidRPr="00D63A6F" w:rsidRDefault="0009130C" w:rsidP="0009130C">
    <w:pPr>
      <w:pStyle w:val="Footer"/>
      <w:tabs>
        <w:tab w:val="center" w:pos="5103"/>
        <w:tab w:val="right" w:pos="9639"/>
      </w:tabs>
      <w:bidi w:val="0"/>
      <w:spacing w:before="120"/>
      <w:rPr>
        <w:sz w:val="16"/>
        <w:szCs w:val="16"/>
      </w:rPr>
    </w:pPr>
    <w:r w:rsidRPr="0026373E">
      <w:rPr>
        <w:sz w:val="16"/>
        <w:szCs w:val="16"/>
        <w:lang w:val="fr-FR"/>
      </w:rPr>
      <w:fldChar w:fldCharType="begin"/>
    </w:r>
    <w:r w:rsidRPr="0009130C">
      <w:rPr>
        <w:sz w:val="16"/>
        <w:szCs w:val="16"/>
        <w:lang w:val="en-GB"/>
      </w:rPr>
      <w:instrText xml:space="preserve"> FILENAME \p \* MERGEFORMAT </w:instrText>
    </w:r>
    <w:r w:rsidRPr="0026373E">
      <w:rPr>
        <w:sz w:val="16"/>
        <w:szCs w:val="16"/>
        <w:lang w:val="fr-FR"/>
      </w:rPr>
      <w:fldChar w:fldCharType="separate"/>
    </w:r>
    <w:r w:rsidR="00BA2B7C">
      <w:rPr>
        <w:noProof/>
        <w:sz w:val="16"/>
        <w:szCs w:val="16"/>
        <w:lang w:val="en-GB"/>
      </w:rPr>
      <w:t>P:\ARA\ITU-R\CONF-R\CMR23\000\065ADD24ADD03A.docx</w:t>
    </w:r>
    <w:r w:rsidRPr="0026373E">
      <w:rPr>
        <w:sz w:val="16"/>
        <w:szCs w:val="16"/>
      </w:rPr>
      <w:fldChar w:fldCharType="end"/>
    </w:r>
    <w:r w:rsidRPr="0026373E">
      <w:rPr>
        <w:sz w:val="16"/>
        <w:szCs w:val="16"/>
      </w:rPr>
      <w:t xml:space="preserve">  </w:t>
    </w:r>
    <w:r w:rsidRPr="0009130C">
      <w:rPr>
        <w:sz w:val="16"/>
        <w:szCs w:val="16"/>
        <w:lang w:val="en-GB"/>
      </w:rPr>
      <w:t xml:space="preserve"> (528861)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8F0B" w14:textId="77777777" w:rsidR="001A6F04" w:rsidRDefault="001A6F04" w:rsidP="00C45930">
      <w:r>
        <w:separator/>
      </w:r>
    </w:p>
  </w:footnote>
  <w:footnote w:type="continuationSeparator" w:id="0">
    <w:p w14:paraId="0BC32E5A" w14:textId="77777777" w:rsidR="001A6F04" w:rsidRDefault="001A6F04" w:rsidP="002919E1">
      <w:r>
        <w:continuationSeparator/>
      </w:r>
    </w:p>
    <w:p w14:paraId="59D5D742" w14:textId="77777777" w:rsidR="001A6F04" w:rsidRDefault="001A6F04" w:rsidP="002919E1"/>
    <w:p w14:paraId="7BAFF164" w14:textId="77777777" w:rsidR="001A6F04" w:rsidRDefault="001A6F04" w:rsidP="002919E1"/>
    <w:p w14:paraId="27CC712E" w14:textId="77777777" w:rsidR="001A6F04" w:rsidRDefault="001A6F04"/>
    <w:p w14:paraId="691EC242" w14:textId="77777777" w:rsidR="001A6F04" w:rsidRDefault="001A6F04"/>
  </w:footnote>
  <w:footnote w:id="1">
    <w:p w14:paraId="3BAEA092" w14:textId="292A85ED" w:rsidR="00B86B20" w:rsidRDefault="00B86B20" w:rsidP="00B86B20">
      <w:pPr>
        <w:pStyle w:val="FootnoteText"/>
        <w:tabs>
          <w:tab w:val="clear" w:pos="1134"/>
          <w:tab w:val="left" w:pos="283"/>
        </w:tabs>
        <w:rPr>
          <w:lang w:bidi="ar-EG"/>
        </w:rPr>
      </w:pPr>
      <w:r>
        <w:rPr>
          <w:rStyle w:val="FootnoteReference"/>
        </w:rPr>
        <w:footnoteRef/>
      </w:r>
      <w:r>
        <w:rPr>
          <w:rtl/>
        </w:rPr>
        <w:t xml:space="preserve"> </w:t>
      </w:r>
      <w:r>
        <w:rPr>
          <w:rtl/>
          <w:lang w:bidi="ar-EG"/>
        </w:rPr>
        <w:tab/>
      </w:r>
      <w:r w:rsidR="00835B7C">
        <w:rPr>
          <w:rFonts w:hint="cs"/>
          <w:rtl/>
          <w:lang w:bidi="ar-EG"/>
        </w:rPr>
        <w:t xml:space="preserve">انظر الفقرة </w:t>
      </w:r>
      <w:r w:rsidR="00835B7C" w:rsidRPr="00D8575B">
        <w:rPr>
          <w:rFonts w:hint="cs"/>
          <w:i/>
          <w:iCs/>
          <w:rtl/>
          <w:lang w:bidi="ar-EG"/>
        </w:rPr>
        <w:t>أ)</w:t>
      </w:r>
      <w:r w:rsidR="00835B7C">
        <w:rPr>
          <w:rFonts w:hint="cs"/>
          <w:rtl/>
          <w:lang w:bidi="ar-EG"/>
        </w:rPr>
        <w:t xml:space="preserve"> من </w:t>
      </w:r>
      <w:r w:rsidR="00835B7C" w:rsidRPr="00D8575B">
        <w:rPr>
          <w:rFonts w:hint="cs"/>
          <w:rtl/>
          <w:lang w:bidi="ar-EG"/>
        </w:rPr>
        <w:t>"</w:t>
      </w:r>
      <w:r w:rsidR="00835B7C" w:rsidRPr="00D8575B">
        <w:rPr>
          <w:rFonts w:hint="cs"/>
          <w:i/>
          <w:iCs/>
          <w:rtl/>
          <w:lang w:bidi="ar-EG"/>
        </w:rPr>
        <w:t>إذ تضع في اعتبارها</w:t>
      </w:r>
      <w:r w:rsidR="00835B7C" w:rsidRPr="00D8575B">
        <w:rPr>
          <w:rFonts w:hint="cs"/>
          <w:rtl/>
          <w:lang w:bidi="ar-EG"/>
        </w:rPr>
        <w:t>"</w:t>
      </w:r>
      <w:r w:rsidR="00835B7C">
        <w:rPr>
          <w:rFonts w:hint="cs"/>
          <w:rtl/>
          <w:lang w:bidi="ar-EG"/>
        </w:rPr>
        <w:t xml:space="preserve"> في كل من التوصيتين </w:t>
      </w:r>
      <w:r w:rsidR="00835B7C">
        <w:t>ITU-R M.2012</w:t>
      </w:r>
      <w:r w:rsidR="00835B7C">
        <w:rPr>
          <w:rFonts w:hint="cs"/>
          <w:rtl/>
          <w:lang w:bidi="ar-EG"/>
        </w:rPr>
        <w:t xml:space="preserve"> و</w:t>
      </w:r>
      <w:r w:rsidR="00835B7C">
        <w:t>ITU-R M.2150</w:t>
      </w:r>
      <w:r w:rsidR="00835B7C">
        <w:rPr>
          <w:rFonts w:hint="cs"/>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A71B" w14:textId="7A60C198" w:rsidR="00D63A6F" w:rsidRPr="005E5F16" w:rsidRDefault="005E5F16" w:rsidP="00F65EDF">
    <w:pPr>
      <w:bidi w:val="0"/>
      <w:spacing w:after="360" w:line="240" w:lineRule="auto"/>
      <w:jc w:val="center"/>
    </w:pPr>
    <w:r w:rsidRPr="00F65EDF">
      <w:rPr>
        <w:rStyle w:val="PageNumber"/>
        <w:rFonts w:ascii="Dubai" w:hAnsi="Dubai" w:cs="Dubai"/>
      </w:rPr>
      <w:fldChar w:fldCharType="begin"/>
    </w:r>
    <w:r w:rsidRPr="00F65EDF">
      <w:rPr>
        <w:rStyle w:val="PageNumber"/>
        <w:rFonts w:ascii="Dubai" w:hAnsi="Dubai" w:cs="Dubai"/>
      </w:rPr>
      <w:instrText xml:space="preserve"> PAGE </w:instrText>
    </w:r>
    <w:r w:rsidRPr="00F65EDF">
      <w:rPr>
        <w:rStyle w:val="PageNumber"/>
        <w:rFonts w:ascii="Dubai" w:hAnsi="Dubai" w:cs="Dubai"/>
      </w:rPr>
      <w:fldChar w:fldCharType="separate"/>
    </w:r>
    <w:r w:rsidRPr="00F65EDF">
      <w:rPr>
        <w:rStyle w:val="PageNumber"/>
        <w:rFonts w:ascii="Dubai" w:hAnsi="Dubai" w:cs="Dubai"/>
      </w:rPr>
      <w:t>2</w:t>
    </w:r>
    <w:r w:rsidRPr="00F65EDF">
      <w:rPr>
        <w:rStyle w:val="PageNumber"/>
        <w:rFonts w:ascii="Dubai" w:hAnsi="Dubai" w:cs="Dubai"/>
      </w:rPr>
      <w:fldChar w:fldCharType="end"/>
    </w:r>
    <w:r w:rsidRPr="00F65EDF">
      <w:rPr>
        <w:rStyle w:val="PageNumber"/>
        <w:rFonts w:ascii="Dubai" w:hAnsi="Dubai" w:cs="Dubai"/>
        <w:rtl/>
      </w:rPr>
      <w:br/>
    </w:r>
    <w:r w:rsidR="004F5F29" w:rsidRPr="00F65EDF">
      <w:rPr>
        <w:rStyle w:val="PageNumber"/>
        <w:rFonts w:ascii="Dubai" w:hAnsi="Dubai" w:cs="Dubai"/>
      </w:rPr>
      <w:t>WRC</w:t>
    </w:r>
    <w:r w:rsidRPr="00F65EDF">
      <w:rPr>
        <w:rStyle w:val="PageNumber"/>
        <w:rFonts w:ascii="Dubai" w:hAnsi="Dubai" w:cs="Dubai"/>
      </w:rPr>
      <w:t>23/65(Add.24)(Add.3)-A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7EE5" w14:textId="77777777" w:rsidR="00F65EDF" w:rsidRPr="005E5F16" w:rsidRDefault="00F65EDF" w:rsidP="00F65EDF">
    <w:pPr>
      <w:bidi w:val="0"/>
      <w:spacing w:after="360" w:line="240" w:lineRule="auto"/>
      <w:jc w:val="center"/>
    </w:pPr>
    <w:r w:rsidRPr="00F65EDF">
      <w:rPr>
        <w:rStyle w:val="PageNumber"/>
        <w:rFonts w:ascii="Dubai" w:hAnsi="Dubai" w:cs="Dubai"/>
      </w:rPr>
      <w:fldChar w:fldCharType="begin"/>
    </w:r>
    <w:r w:rsidRPr="00F65EDF">
      <w:rPr>
        <w:rStyle w:val="PageNumber"/>
        <w:rFonts w:ascii="Dubai" w:hAnsi="Dubai" w:cs="Dubai"/>
      </w:rPr>
      <w:instrText xml:space="preserve"> PAGE </w:instrText>
    </w:r>
    <w:r w:rsidRPr="00F65EDF">
      <w:rPr>
        <w:rStyle w:val="PageNumber"/>
        <w:rFonts w:ascii="Dubai" w:hAnsi="Dubai" w:cs="Dubai"/>
      </w:rPr>
      <w:fldChar w:fldCharType="separate"/>
    </w:r>
    <w:r>
      <w:rPr>
        <w:rStyle w:val="PageNumber"/>
        <w:rFonts w:ascii="Dubai" w:hAnsi="Dubai" w:cs="Dubai"/>
      </w:rPr>
      <w:t>2</w:t>
    </w:r>
    <w:r w:rsidRPr="00F65EDF">
      <w:rPr>
        <w:rStyle w:val="PageNumber"/>
        <w:rFonts w:ascii="Dubai" w:hAnsi="Dubai" w:cs="Dubai"/>
      </w:rPr>
      <w:fldChar w:fldCharType="end"/>
    </w:r>
    <w:r w:rsidRPr="00F65EDF">
      <w:rPr>
        <w:rStyle w:val="PageNumber"/>
        <w:rFonts w:ascii="Dubai" w:hAnsi="Dubai" w:cs="Dubai"/>
        <w:rtl/>
      </w:rPr>
      <w:br/>
    </w:r>
    <w:r w:rsidRPr="00F65EDF">
      <w:rPr>
        <w:rStyle w:val="PageNumber"/>
        <w:rFonts w:ascii="Dubai" w:hAnsi="Dubai" w:cs="Dubai"/>
      </w:rPr>
      <w:t>WRC23/65(Add.24)(Add.3)-A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EA33" w14:textId="77777777" w:rsidR="007C7EFF" w:rsidRDefault="007C7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E471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72D7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9EC4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8AC6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8643782">
    <w:abstractNumId w:val="9"/>
  </w:num>
  <w:num w:numId="2" w16cid:durableId="2098212623">
    <w:abstractNumId w:val="13"/>
  </w:num>
  <w:num w:numId="3" w16cid:durableId="98527607">
    <w:abstractNumId w:val="11"/>
  </w:num>
  <w:num w:numId="4" w16cid:durableId="442850085">
    <w:abstractNumId w:val="14"/>
  </w:num>
  <w:num w:numId="5" w16cid:durableId="411051831">
    <w:abstractNumId w:val="7"/>
  </w:num>
  <w:num w:numId="6" w16cid:durableId="1838576671">
    <w:abstractNumId w:val="6"/>
  </w:num>
  <w:num w:numId="7" w16cid:durableId="672146834">
    <w:abstractNumId w:val="5"/>
  </w:num>
  <w:num w:numId="8" w16cid:durableId="779295566">
    <w:abstractNumId w:val="4"/>
  </w:num>
  <w:num w:numId="9" w16cid:durableId="1991980277">
    <w:abstractNumId w:val="8"/>
  </w:num>
  <w:num w:numId="10" w16cid:durableId="862745253">
    <w:abstractNumId w:val="3"/>
  </w:num>
  <w:num w:numId="11" w16cid:durableId="1724021507">
    <w:abstractNumId w:val="2"/>
  </w:num>
  <w:num w:numId="12" w16cid:durableId="290403133">
    <w:abstractNumId w:val="1"/>
  </w:num>
  <w:num w:numId="13" w16cid:durableId="1624732103">
    <w:abstractNumId w:val="0"/>
  </w:num>
  <w:num w:numId="14" w16cid:durableId="121005163">
    <w:abstractNumId w:val="10"/>
  </w:num>
  <w:num w:numId="15" w16cid:durableId="1785229672">
    <w:abstractNumId w:val="15"/>
  </w:num>
  <w:num w:numId="16" w16cid:durableId="11303359">
    <w:abstractNumId w:val="12"/>
  </w:num>
  <w:num w:numId="17" w16cid:durableId="1733894494">
    <w:abstractNumId w:val="6"/>
  </w:num>
  <w:num w:numId="18" w16cid:durableId="1901399620">
    <w:abstractNumId w:val="5"/>
  </w:num>
  <w:num w:numId="19" w16cid:durableId="122508064">
    <w:abstractNumId w:val="3"/>
  </w:num>
  <w:num w:numId="20" w16cid:durableId="176578118">
    <w:abstractNumId w:val="2"/>
  </w:num>
  <w:num w:numId="21" w16cid:durableId="1934317898">
    <w:abstractNumId w:val="6"/>
  </w:num>
  <w:num w:numId="22" w16cid:durableId="493758887">
    <w:abstractNumId w:val="5"/>
  </w:num>
  <w:num w:numId="23" w16cid:durableId="1098913442">
    <w:abstractNumId w:val="3"/>
  </w:num>
  <w:num w:numId="24" w16cid:durableId="194123067">
    <w:abstractNumId w:val="2"/>
  </w:num>
  <w:num w:numId="25" w16cid:durableId="649402044">
    <w:abstractNumId w:val="6"/>
  </w:num>
  <w:num w:numId="26" w16cid:durableId="2000690830">
    <w:abstractNumId w:val="5"/>
  </w:num>
  <w:num w:numId="27" w16cid:durableId="873276226">
    <w:abstractNumId w:val="3"/>
  </w:num>
  <w:num w:numId="28" w16cid:durableId="987201316">
    <w:abstractNumId w:val="2"/>
  </w:num>
  <w:num w:numId="29" w16cid:durableId="559679557">
    <w:abstractNumId w:val="6"/>
  </w:num>
  <w:num w:numId="30" w16cid:durableId="1041175366">
    <w:abstractNumId w:val="5"/>
  </w:num>
  <w:num w:numId="31" w16cid:durableId="887689610">
    <w:abstractNumId w:val="3"/>
  </w:num>
  <w:num w:numId="32" w16cid:durableId="1079136772">
    <w:abstractNumId w:val="2"/>
  </w:num>
  <w:num w:numId="33" w16cid:durableId="1892956625">
    <w:abstractNumId w:val="6"/>
  </w:num>
  <w:num w:numId="34" w16cid:durableId="1461725958">
    <w:abstractNumId w:val="5"/>
  </w:num>
  <w:num w:numId="35" w16cid:durableId="60949674">
    <w:abstractNumId w:val="3"/>
  </w:num>
  <w:num w:numId="36" w16cid:durableId="1604069869">
    <w:abstractNumId w:val="2"/>
  </w:num>
  <w:num w:numId="37" w16cid:durableId="1250499666">
    <w:abstractNumId w:val="6"/>
  </w:num>
  <w:num w:numId="38" w16cid:durableId="1575554627">
    <w:abstractNumId w:val="5"/>
  </w:num>
  <w:num w:numId="39" w16cid:durableId="833644305">
    <w:abstractNumId w:val="3"/>
  </w:num>
  <w:num w:numId="40" w16cid:durableId="1573001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614F"/>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130C"/>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4851"/>
    <w:rsid w:val="001464F2"/>
    <w:rsid w:val="00146A76"/>
    <w:rsid w:val="0016459B"/>
    <w:rsid w:val="00164B28"/>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44D0C"/>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0598B"/>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1D6E"/>
    <w:rsid w:val="003C35CB"/>
    <w:rsid w:val="003C3A13"/>
    <w:rsid w:val="003C4A01"/>
    <w:rsid w:val="003C50F4"/>
    <w:rsid w:val="003C6F3A"/>
    <w:rsid w:val="003D1938"/>
    <w:rsid w:val="003D4B07"/>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01EA"/>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E5057"/>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B4E74"/>
    <w:rsid w:val="007C12CE"/>
    <w:rsid w:val="007C2C12"/>
    <w:rsid w:val="007C3CFA"/>
    <w:rsid w:val="007C7603"/>
    <w:rsid w:val="007C7EFF"/>
    <w:rsid w:val="007D173C"/>
    <w:rsid w:val="007D2E6C"/>
    <w:rsid w:val="007D66A4"/>
    <w:rsid w:val="007E0E8B"/>
    <w:rsid w:val="007E48CC"/>
    <w:rsid w:val="007E6847"/>
    <w:rsid w:val="007E6B0A"/>
    <w:rsid w:val="007E7696"/>
    <w:rsid w:val="007F08CA"/>
    <w:rsid w:val="007F450A"/>
    <w:rsid w:val="007F4998"/>
    <w:rsid w:val="007F6A4D"/>
    <w:rsid w:val="007F7FC3"/>
    <w:rsid w:val="00800790"/>
    <w:rsid w:val="00810482"/>
    <w:rsid w:val="008150D6"/>
    <w:rsid w:val="0081659C"/>
    <w:rsid w:val="00816F17"/>
    <w:rsid w:val="00817568"/>
    <w:rsid w:val="008204AC"/>
    <w:rsid w:val="008261C2"/>
    <w:rsid w:val="00830D96"/>
    <w:rsid w:val="00835B7C"/>
    <w:rsid w:val="00844DE0"/>
    <w:rsid w:val="00845A31"/>
    <w:rsid w:val="00851E79"/>
    <w:rsid w:val="0085569D"/>
    <w:rsid w:val="00855B59"/>
    <w:rsid w:val="00855F07"/>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270B"/>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557F"/>
    <w:rsid w:val="00AC5D39"/>
    <w:rsid w:val="00AC7395"/>
    <w:rsid w:val="00AD0B2C"/>
    <w:rsid w:val="00AD10F3"/>
    <w:rsid w:val="00AD1267"/>
    <w:rsid w:val="00AD162B"/>
    <w:rsid w:val="00AD4C62"/>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B20"/>
    <w:rsid w:val="00B86C44"/>
    <w:rsid w:val="00B97131"/>
    <w:rsid w:val="00B9727C"/>
    <w:rsid w:val="00BA2033"/>
    <w:rsid w:val="00BA2B7C"/>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05C01"/>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0A8C"/>
    <w:rsid w:val="00D51132"/>
    <w:rsid w:val="00D51BB8"/>
    <w:rsid w:val="00D525F5"/>
    <w:rsid w:val="00D535D0"/>
    <w:rsid w:val="00D577D8"/>
    <w:rsid w:val="00D62C78"/>
    <w:rsid w:val="00D63A6F"/>
    <w:rsid w:val="00D64529"/>
    <w:rsid w:val="00D645CF"/>
    <w:rsid w:val="00D81703"/>
    <w:rsid w:val="00D82929"/>
    <w:rsid w:val="00D84010"/>
    <w:rsid w:val="00D84214"/>
    <w:rsid w:val="00D8575B"/>
    <w:rsid w:val="00D92B71"/>
    <w:rsid w:val="00D943E5"/>
    <w:rsid w:val="00D9665F"/>
    <w:rsid w:val="00DA10E0"/>
    <w:rsid w:val="00DA1AE0"/>
    <w:rsid w:val="00DA595D"/>
    <w:rsid w:val="00DA601D"/>
    <w:rsid w:val="00DA7B65"/>
    <w:rsid w:val="00DB045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15122"/>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84A"/>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5EDF"/>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2615A"/>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3a33631-5830-41bb-82fc-6f4f154b3c2c" targetNamespace="http://schemas.microsoft.com/office/2006/metadata/properties" ma:root="true" ma:fieldsID="d41af5c836d734370eb92e7ee5f83852" ns2:_="" ns3:_="">
    <xsd:import namespace="996b2e75-67fd-4955-a3b0-5ab9934cb50b"/>
    <xsd:import namespace="43a33631-5830-41bb-82fc-6f4f154b3c2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3a33631-5830-41bb-82fc-6f4f154b3c2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Author xmlns="43a33631-5830-41bb-82fc-6f4f154b3c2c">DPM</DPM_x0020_Author>
    <DPM_x0020_File_x0020_name xmlns="43a33631-5830-41bb-82fc-6f4f154b3c2c">R23-WRC23-C-0065!A24-A3!MSW-A</DPM_x0020_File_x0020_name>
    <DPM_x0020_Version xmlns="43a33631-5830-41bb-82fc-6f4f154b3c2c">DPM_2022.05.12.01</DPM_x0020_Version>
  </documentManagement>
</p:properties>
</file>

<file path=customXml/item6.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3a33631-5830-41bb-82fc-6f4f154b3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4.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5.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33631-5830-41bb-82fc-6f4f154b3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523</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R23-WRC23-C-0065!A24-A3!MSW-A</vt:lpstr>
    </vt:vector>
  </TitlesOfParts>
  <Manager>General Secretariat - Pool</Manager>
  <Company>International Telecommunication Union (ITU)</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R23-WRC23-C-0065!A24-A3!MSW-A</dc:title>
  <dc:creator>Documents Proposals Manager (DPM)</dc:creator>
  <cp:keywords>DPM_v2023.8.1.1_prod</cp:keywords>
  <cp:lastModifiedBy>Arabic-IR</cp:lastModifiedBy>
  <cp:revision>6</cp:revision>
  <cp:lastPrinted>2020-08-11T14:28:00Z</cp:lastPrinted>
  <dcterms:created xsi:type="dcterms:W3CDTF">2023-11-01T12:51:00Z</dcterms:created>
  <dcterms:modified xsi:type="dcterms:W3CDTF">2023-11-02T22:14:00Z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