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74D92" w14:paraId="4D35D0F1" w14:textId="77777777" w:rsidTr="00F320AA">
        <w:trPr>
          <w:cantSplit/>
        </w:trPr>
        <w:tc>
          <w:tcPr>
            <w:tcW w:w="1418" w:type="dxa"/>
            <w:vAlign w:val="center"/>
          </w:tcPr>
          <w:p w14:paraId="7816B506" w14:textId="77777777" w:rsidR="00F320AA" w:rsidRPr="00E74D92" w:rsidRDefault="00F320AA" w:rsidP="00F320AA">
            <w:pPr>
              <w:spacing w:before="0"/>
              <w:rPr>
                <w:rFonts w:ascii="Verdana" w:hAnsi="Verdana"/>
                <w:position w:val="6"/>
              </w:rPr>
            </w:pPr>
            <w:r w:rsidRPr="00E74D92">
              <w:drawing>
                <wp:inline distT="0" distB="0" distL="0" distR="0" wp14:anchorId="3DAB527A" wp14:editId="7087D8F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A2BA895" w14:textId="77777777" w:rsidR="00F320AA" w:rsidRPr="00E74D92" w:rsidRDefault="00F320AA" w:rsidP="00F320AA">
            <w:pPr>
              <w:spacing w:before="400" w:after="48" w:line="240" w:lineRule="atLeast"/>
              <w:rPr>
                <w:rFonts w:ascii="Verdana" w:hAnsi="Verdana"/>
                <w:position w:val="6"/>
              </w:rPr>
            </w:pPr>
            <w:r w:rsidRPr="00E74D92">
              <w:rPr>
                <w:rFonts w:ascii="Verdana" w:hAnsi="Verdana" w:cs="Times"/>
                <w:b/>
                <w:position w:val="6"/>
                <w:sz w:val="22"/>
                <w:szCs w:val="22"/>
              </w:rPr>
              <w:t>World Radiocommunication Conference (WRC-23)</w:t>
            </w:r>
            <w:r w:rsidRPr="00E74D92">
              <w:rPr>
                <w:rFonts w:ascii="Verdana" w:hAnsi="Verdana" w:cs="Times"/>
                <w:b/>
                <w:position w:val="6"/>
                <w:sz w:val="26"/>
                <w:szCs w:val="26"/>
              </w:rPr>
              <w:br/>
            </w:r>
            <w:r w:rsidRPr="00E74D92">
              <w:rPr>
                <w:rFonts w:ascii="Verdana" w:hAnsi="Verdana"/>
                <w:b/>
                <w:bCs/>
                <w:position w:val="6"/>
                <w:sz w:val="18"/>
                <w:szCs w:val="18"/>
              </w:rPr>
              <w:t>Dubai, 20 November - 15 December 2023</w:t>
            </w:r>
          </w:p>
        </w:tc>
        <w:tc>
          <w:tcPr>
            <w:tcW w:w="1951" w:type="dxa"/>
            <w:vAlign w:val="center"/>
          </w:tcPr>
          <w:p w14:paraId="17EF2A48" w14:textId="77777777" w:rsidR="00F320AA" w:rsidRPr="00E74D92" w:rsidRDefault="00EB0812" w:rsidP="00F320AA">
            <w:pPr>
              <w:spacing w:before="0" w:line="240" w:lineRule="atLeast"/>
            </w:pPr>
            <w:r w:rsidRPr="00E74D92">
              <w:drawing>
                <wp:inline distT="0" distB="0" distL="0" distR="0" wp14:anchorId="269BD3AD" wp14:editId="43145A35">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74D92" w14:paraId="5A52E89A" w14:textId="77777777">
        <w:trPr>
          <w:cantSplit/>
        </w:trPr>
        <w:tc>
          <w:tcPr>
            <w:tcW w:w="6911" w:type="dxa"/>
            <w:gridSpan w:val="2"/>
            <w:tcBorders>
              <w:bottom w:val="single" w:sz="12" w:space="0" w:color="auto"/>
            </w:tcBorders>
          </w:tcPr>
          <w:p w14:paraId="249D7DA7" w14:textId="77777777" w:rsidR="00A066F1" w:rsidRPr="00E74D92"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48EA29D0" w14:textId="77777777" w:rsidR="00A066F1" w:rsidRPr="00E74D92" w:rsidRDefault="00A066F1" w:rsidP="00A066F1">
            <w:pPr>
              <w:spacing w:before="0" w:line="240" w:lineRule="atLeast"/>
              <w:rPr>
                <w:rFonts w:ascii="Verdana" w:hAnsi="Verdana"/>
                <w:szCs w:val="24"/>
              </w:rPr>
            </w:pPr>
          </w:p>
        </w:tc>
      </w:tr>
      <w:tr w:rsidR="00A066F1" w:rsidRPr="00E74D92" w14:paraId="18A9C2C0" w14:textId="77777777">
        <w:trPr>
          <w:cantSplit/>
        </w:trPr>
        <w:tc>
          <w:tcPr>
            <w:tcW w:w="6911" w:type="dxa"/>
            <w:gridSpan w:val="2"/>
            <w:tcBorders>
              <w:top w:val="single" w:sz="12" w:space="0" w:color="auto"/>
            </w:tcBorders>
          </w:tcPr>
          <w:p w14:paraId="39B24632" w14:textId="77777777" w:rsidR="00A066F1" w:rsidRPr="00E74D9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73BB55F" w14:textId="77777777" w:rsidR="00A066F1" w:rsidRPr="00E74D92" w:rsidRDefault="00A066F1" w:rsidP="00A066F1">
            <w:pPr>
              <w:spacing w:before="0" w:line="240" w:lineRule="atLeast"/>
              <w:rPr>
                <w:rFonts w:ascii="Verdana" w:hAnsi="Verdana"/>
                <w:sz w:val="20"/>
              </w:rPr>
            </w:pPr>
          </w:p>
        </w:tc>
      </w:tr>
      <w:tr w:rsidR="00A066F1" w:rsidRPr="00E74D92" w14:paraId="2DF09899" w14:textId="77777777">
        <w:trPr>
          <w:cantSplit/>
          <w:trHeight w:val="23"/>
        </w:trPr>
        <w:tc>
          <w:tcPr>
            <w:tcW w:w="6911" w:type="dxa"/>
            <w:gridSpan w:val="2"/>
            <w:shd w:val="clear" w:color="auto" w:fill="auto"/>
          </w:tcPr>
          <w:p w14:paraId="43A0ECEF" w14:textId="77777777" w:rsidR="00A066F1" w:rsidRPr="00E74D92"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74D92">
              <w:rPr>
                <w:rFonts w:ascii="Verdana" w:hAnsi="Verdana"/>
                <w:sz w:val="20"/>
                <w:szCs w:val="20"/>
              </w:rPr>
              <w:t>PLENARY MEETING</w:t>
            </w:r>
          </w:p>
        </w:tc>
        <w:tc>
          <w:tcPr>
            <w:tcW w:w="3120" w:type="dxa"/>
            <w:gridSpan w:val="2"/>
          </w:tcPr>
          <w:p w14:paraId="0FAE549C" w14:textId="77777777" w:rsidR="00A066F1" w:rsidRPr="00E74D92" w:rsidRDefault="00E55816" w:rsidP="00AA666F">
            <w:pPr>
              <w:tabs>
                <w:tab w:val="left" w:pos="851"/>
              </w:tabs>
              <w:spacing w:before="0" w:line="240" w:lineRule="atLeast"/>
              <w:rPr>
                <w:rFonts w:ascii="Verdana" w:hAnsi="Verdana"/>
                <w:sz w:val="20"/>
              </w:rPr>
            </w:pPr>
            <w:r w:rsidRPr="00E74D92">
              <w:rPr>
                <w:rFonts w:ascii="Verdana" w:hAnsi="Verdana"/>
                <w:b/>
                <w:sz w:val="20"/>
              </w:rPr>
              <w:t>Addendum 3 to</w:t>
            </w:r>
            <w:r w:rsidRPr="00E74D92">
              <w:rPr>
                <w:rFonts w:ascii="Verdana" w:hAnsi="Verdana"/>
                <w:b/>
                <w:sz w:val="20"/>
              </w:rPr>
              <w:br/>
              <w:t>Document 65(Add.24)</w:t>
            </w:r>
            <w:r w:rsidR="00A066F1" w:rsidRPr="00E74D92">
              <w:rPr>
                <w:rFonts w:ascii="Verdana" w:hAnsi="Verdana"/>
                <w:b/>
                <w:sz w:val="20"/>
              </w:rPr>
              <w:t>-</w:t>
            </w:r>
            <w:r w:rsidR="005E10C9" w:rsidRPr="00E74D92">
              <w:rPr>
                <w:rFonts w:ascii="Verdana" w:hAnsi="Verdana"/>
                <w:b/>
                <w:sz w:val="20"/>
              </w:rPr>
              <w:t>E</w:t>
            </w:r>
          </w:p>
        </w:tc>
      </w:tr>
      <w:tr w:rsidR="00A066F1" w:rsidRPr="00E74D92" w14:paraId="75D9C58F" w14:textId="77777777">
        <w:trPr>
          <w:cantSplit/>
          <w:trHeight w:val="23"/>
        </w:trPr>
        <w:tc>
          <w:tcPr>
            <w:tcW w:w="6911" w:type="dxa"/>
            <w:gridSpan w:val="2"/>
            <w:shd w:val="clear" w:color="auto" w:fill="auto"/>
          </w:tcPr>
          <w:p w14:paraId="021AFAB4" w14:textId="77777777" w:rsidR="00A066F1" w:rsidRPr="00E74D92"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60108C0D" w14:textId="77777777" w:rsidR="00A066F1" w:rsidRPr="00E74D92" w:rsidRDefault="00420873" w:rsidP="00A066F1">
            <w:pPr>
              <w:tabs>
                <w:tab w:val="left" w:pos="993"/>
              </w:tabs>
              <w:spacing w:before="0"/>
              <w:rPr>
                <w:rFonts w:ascii="Verdana" w:hAnsi="Verdana"/>
                <w:sz w:val="20"/>
              </w:rPr>
            </w:pPr>
            <w:r w:rsidRPr="00E74D92">
              <w:rPr>
                <w:rFonts w:ascii="Verdana" w:hAnsi="Verdana"/>
                <w:b/>
                <w:sz w:val="20"/>
              </w:rPr>
              <w:t>29 September 2023</w:t>
            </w:r>
          </w:p>
        </w:tc>
      </w:tr>
      <w:tr w:rsidR="00A066F1" w:rsidRPr="00E74D92" w14:paraId="189C4152" w14:textId="77777777">
        <w:trPr>
          <w:cantSplit/>
          <w:trHeight w:val="23"/>
        </w:trPr>
        <w:tc>
          <w:tcPr>
            <w:tcW w:w="6911" w:type="dxa"/>
            <w:gridSpan w:val="2"/>
            <w:shd w:val="clear" w:color="auto" w:fill="auto"/>
          </w:tcPr>
          <w:p w14:paraId="3E7CF2F0" w14:textId="77777777" w:rsidR="00A066F1" w:rsidRPr="00E74D92"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A80C1EB" w14:textId="77777777" w:rsidR="00A066F1" w:rsidRPr="00E74D92" w:rsidRDefault="00E55816" w:rsidP="00A066F1">
            <w:pPr>
              <w:tabs>
                <w:tab w:val="left" w:pos="993"/>
              </w:tabs>
              <w:spacing w:before="0"/>
              <w:rPr>
                <w:rFonts w:ascii="Verdana" w:hAnsi="Verdana"/>
                <w:b/>
                <w:sz w:val="20"/>
              </w:rPr>
            </w:pPr>
            <w:r w:rsidRPr="00E74D92">
              <w:rPr>
                <w:rFonts w:ascii="Verdana" w:hAnsi="Verdana"/>
                <w:b/>
                <w:sz w:val="20"/>
              </w:rPr>
              <w:t>Original: English</w:t>
            </w:r>
          </w:p>
        </w:tc>
      </w:tr>
      <w:tr w:rsidR="00A066F1" w:rsidRPr="00E74D92" w14:paraId="57002D64" w14:textId="77777777" w:rsidTr="00025864">
        <w:trPr>
          <w:cantSplit/>
          <w:trHeight w:val="23"/>
        </w:trPr>
        <w:tc>
          <w:tcPr>
            <w:tcW w:w="10031" w:type="dxa"/>
            <w:gridSpan w:val="4"/>
            <w:shd w:val="clear" w:color="auto" w:fill="auto"/>
          </w:tcPr>
          <w:p w14:paraId="3D829E50" w14:textId="77777777" w:rsidR="00A066F1" w:rsidRPr="00E74D92" w:rsidRDefault="00A066F1" w:rsidP="00A066F1">
            <w:pPr>
              <w:tabs>
                <w:tab w:val="left" w:pos="993"/>
              </w:tabs>
              <w:spacing w:before="0"/>
              <w:rPr>
                <w:rFonts w:ascii="Verdana" w:hAnsi="Verdana"/>
                <w:b/>
                <w:sz w:val="20"/>
              </w:rPr>
            </w:pPr>
          </w:p>
        </w:tc>
      </w:tr>
      <w:tr w:rsidR="00E55816" w:rsidRPr="00E74D92" w14:paraId="1A6449E1" w14:textId="77777777" w:rsidTr="00025864">
        <w:trPr>
          <w:cantSplit/>
          <w:trHeight w:val="23"/>
        </w:trPr>
        <w:tc>
          <w:tcPr>
            <w:tcW w:w="10031" w:type="dxa"/>
            <w:gridSpan w:val="4"/>
            <w:shd w:val="clear" w:color="auto" w:fill="auto"/>
          </w:tcPr>
          <w:p w14:paraId="3CDA365C" w14:textId="77777777" w:rsidR="00E55816" w:rsidRPr="00E74D92" w:rsidRDefault="00884D60" w:rsidP="00E55816">
            <w:pPr>
              <w:pStyle w:val="Source"/>
            </w:pPr>
            <w:r w:rsidRPr="00E74D92">
              <w:t>European Common Proposals</w:t>
            </w:r>
          </w:p>
        </w:tc>
      </w:tr>
      <w:tr w:rsidR="00E55816" w:rsidRPr="00E74D92" w14:paraId="1C58D2E8" w14:textId="77777777" w:rsidTr="00025864">
        <w:trPr>
          <w:cantSplit/>
          <w:trHeight w:val="23"/>
        </w:trPr>
        <w:tc>
          <w:tcPr>
            <w:tcW w:w="10031" w:type="dxa"/>
            <w:gridSpan w:val="4"/>
            <w:shd w:val="clear" w:color="auto" w:fill="auto"/>
          </w:tcPr>
          <w:p w14:paraId="14730A24" w14:textId="77777777" w:rsidR="00E55816" w:rsidRPr="00E74D92" w:rsidRDefault="007D5320" w:rsidP="00E55816">
            <w:pPr>
              <w:pStyle w:val="Title1"/>
            </w:pPr>
            <w:r w:rsidRPr="00E74D92">
              <w:t>PROPOSALS FOR THE WORK OF THE CONFERENCE</w:t>
            </w:r>
          </w:p>
        </w:tc>
      </w:tr>
      <w:tr w:rsidR="00E55816" w:rsidRPr="00E74D92" w14:paraId="0E904AD6" w14:textId="77777777" w:rsidTr="00025864">
        <w:trPr>
          <w:cantSplit/>
          <w:trHeight w:val="23"/>
        </w:trPr>
        <w:tc>
          <w:tcPr>
            <w:tcW w:w="10031" w:type="dxa"/>
            <w:gridSpan w:val="4"/>
            <w:shd w:val="clear" w:color="auto" w:fill="auto"/>
          </w:tcPr>
          <w:p w14:paraId="169FE13B" w14:textId="77777777" w:rsidR="00E55816" w:rsidRPr="00E74D92" w:rsidRDefault="00E55816" w:rsidP="00E55816">
            <w:pPr>
              <w:pStyle w:val="Title2"/>
            </w:pPr>
          </w:p>
        </w:tc>
      </w:tr>
      <w:tr w:rsidR="00A538A6" w:rsidRPr="00E74D92" w14:paraId="4AC5298D" w14:textId="77777777" w:rsidTr="00025864">
        <w:trPr>
          <w:cantSplit/>
          <w:trHeight w:val="23"/>
        </w:trPr>
        <w:tc>
          <w:tcPr>
            <w:tcW w:w="10031" w:type="dxa"/>
            <w:gridSpan w:val="4"/>
            <w:shd w:val="clear" w:color="auto" w:fill="auto"/>
          </w:tcPr>
          <w:p w14:paraId="5093A246" w14:textId="77777777" w:rsidR="00A538A6" w:rsidRPr="00E74D92" w:rsidRDefault="004B13CB" w:rsidP="004B13CB">
            <w:pPr>
              <w:pStyle w:val="Agendaitem"/>
              <w:rPr>
                <w:lang w:val="en-GB"/>
              </w:rPr>
            </w:pPr>
            <w:r w:rsidRPr="00E74D92">
              <w:rPr>
                <w:lang w:val="en-GB"/>
              </w:rPr>
              <w:t>Agenda item 9.1(9.1-c)</w:t>
            </w:r>
          </w:p>
        </w:tc>
      </w:tr>
    </w:tbl>
    <w:bookmarkEnd w:id="5"/>
    <w:bookmarkEnd w:id="6"/>
    <w:p w14:paraId="08D7E310" w14:textId="77777777" w:rsidR="00187BD9" w:rsidRPr="00E74D92" w:rsidRDefault="00185882" w:rsidP="006965F8">
      <w:r w:rsidRPr="00E74D92">
        <w:t>9</w:t>
      </w:r>
      <w:r w:rsidRPr="00E74D92">
        <w:tab/>
        <w:t>to consider and approve the Report of the Director of the Radiocommunication Bureau, in accordance with Article 7 of the ITU Convention</w:t>
      </w:r>
      <w:r w:rsidRPr="00E74D92">
        <w:rPr>
          <w:bCs/>
        </w:rPr>
        <w:t>;</w:t>
      </w:r>
    </w:p>
    <w:p w14:paraId="5D2E924F" w14:textId="77777777" w:rsidR="00187BD9" w:rsidRPr="00E74D92" w:rsidRDefault="00185882" w:rsidP="00570495">
      <w:r w:rsidRPr="00E74D92">
        <w:t>9.1</w:t>
      </w:r>
      <w:r w:rsidRPr="00E74D92">
        <w:tab/>
        <w:t>on the activities of the ITU Radiocommunication Sector since WRC</w:t>
      </w:r>
      <w:r w:rsidRPr="00E74D92">
        <w:noBreakHyphen/>
        <w:t>19:</w:t>
      </w:r>
    </w:p>
    <w:p w14:paraId="5EAFD510" w14:textId="2BD6B87D" w:rsidR="00185882" w:rsidRPr="00E74D92" w:rsidRDefault="00185882" w:rsidP="001555AD">
      <w:pPr>
        <w:jc w:val="both"/>
      </w:pPr>
      <w:r w:rsidRPr="00E74D92">
        <w:t>(9.1-c)</w:t>
      </w:r>
      <w:r w:rsidRPr="00E74D92">
        <w:tab/>
      </w:r>
      <w:r w:rsidRPr="00E74D92">
        <w:rPr>
          <w:bCs/>
          <w:lang w:eastAsia="nl-NL"/>
        </w:rPr>
        <w:t>S</w:t>
      </w:r>
      <w:r w:rsidRPr="00E74D92">
        <w:rPr>
          <w:rFonts w:cstheme="minorHAnsi"/>
          <w:szCs w:val="24"/>
        </w:rPr>
        <w:t>tudy the use of International Mobile Telecommunication systems for fixed wireless broadband in the frequency bands allocated to the fixed service on a primary basis, in accordance with Resolution</w:t>
      </w:r>
      <w:r w:rsidR="0078170E" w:rsidRPr="00E74D92">
        <w:rPr>
          <w:rFonts w:cstheme="minorHAnsi"/>
          <w:szCs w:val="24"/>
        </w:rPr>
        <w:t> </w:t>
      </w:r>
      <w:r w:rsidRPr="00E74D92">
        <w:rPr>
          <w:b/>
          <w:bCs/>
        </w:rPr>
        <w:t>175</w:t>
      </w:r>
      <w:r w:rsidR="0078170E" w:rsidRPr="00E74D92">
        <w:rPr>
          <w:rFonts w:cstheme="minorHAnsi"/>
          <w:b/>
          <w:bCs/>
          <w:szCs w:val="24"/>
        </w:rPr>
        <w:t> </w:t>
      </w:r>
      <w:r w:rsidRPr="00E74D92">
        <w:rPr>
          <w:rFonts w:cstheme="minorHAnsi"/>
          <w:b/>
          <w:bCs/>
          <w:szCs w:val="24"/>
        </w:rPr>
        <w:t>(WRC</w:t>
      </w:r>
      <w:r w:rsidRPr="00E74D92">
        <w:rPr>
          <w:rFonts w:cstheme="minorHAnsi"/>
          <w:b/>
          <w:bCs/>
          <w:szCs w:val="24"/>
        </w:rPr>
        <w:noBreakHyphen/>
        <w:t>19)</w:t>
      </w:r>
      <w:r w:rsidRPr="00E74D92">
        <w:rPr>
          <w:rFonts w:cstheme="minorHAnsi"/>
          <w:szCs w:val="24"/>
        </w:rPr>
        <w:t>;</w:t>
      </w:r>
    </w:p>
    <w:p w14:paraId="1A8DA407" w14:textId="774BA14B" w:rsidR="00187BD9" w:rsidRPr="00E74D92" w:rsidRDefault="00185882" w:rsidP="001555AD">
      <w:pPr>
        <w:jc w:val="both"/>
      </w:pPr>
      <w:r w:rsidRPr="00E74D92">
        <w:t>Resolution</w:t>
      </w:r>
      <w:r w:rsidR="0078170E" w:rsidRPr="00E74D92">
        <w:t> </w:t>
      </w:r>
      <w:r w:rsidRPr="00E74D92">
        <w:rPr>
          <w:b/>
          <w:bCs/>
        </w:rPr>
        <w:t>175</w:t>
      </w:r>
      <w:r w:rsidR="0078170E" w:rsidRPr="00E74D92">
        <w:rPr>
          <w:b/>
          <w:bCs/>
        </w:rPr>
        <w:t> </w:t>
      </w:r>
      <w:r w:rsidRPr="00E74D92">
        <w:rPr>
          <w:b/>
          <w:bCs/>
        </w:rPr>
        <w:t>(WRC-19)</w:t>
      </w:r>
      <w:r w:rsidRPr="00E74D92">
        <w:t xml:space="preserve"> – Use of International Mobile Telecommunication systems for fixed wireless broadband in the frequency bands allocated to the fixed service on primary basis</w:t>
      </w:r>
    </w:p>
    <w:p w14:paraId="03565F67" w14:textId="77777777" w:rsidR="00FA168B" w:rsidRPr="00E74D92" w:rsidRDefault="00FA168B" w:rsidP="00FA168B">
      <w:pPr>
        <w:pStyle w:val="Headingb"/>
        <w:rPr>
          <w:lang w:val="en-GB"/>
        </w:rPr>
      </w:pPr>
      <w:r w:rsidRPr="00E74D92">
        <w:rPr>
          <w:lang w:val="en-GB"/>
        </w:rPr>
        <w:t>Introduction</w:t>
      </w:r>
    </w:p>
    <w:p w14:paraId="2396A79E" w14:textId="7D94511A" w:rsidR="00FA168B" w:rsidRPr="00E74D92" w:rsidRDefault="00FA168B" w:rsidP="00FA168B">
      <w:pPr>
        <w:rPr>
          <w:b/>
          <w:bCs/>
        </w:rPr>
      </w:pPr>
      <w:r w:rsidRPr="00E74D92">
        <w:t>Resolution</w:t>
      </w:r>
      <w:r w:rsidR="0078170E" w:rsidRPr="00E74D92">
        <w:t> </w:t>
      </w:r>
      <w:r w:rsidRPr="00E74D92">
        <w:rPr>
          <w:b/>
          <w:bCs/>
        </w:rPr>
        <w:t>175</w:t>
      </w:r>
      <w:r w:rsidR="0078170E" w:rsidRPr="00E74D92">
        <w:rPr>
          <w:b/>
          <w:bCs/>
        </w:rPr>
        <w:t> </w:t>
      </w:r>
      <w:r w:rsidRPr="00E74D92">
        <w:rPr>
          <w:b/>
          <w:bCs/>
        </w:rPr>
        <w:t>(WRC-19)</w:t>
      </w:r>
      <w:r w:rsidRPr="00E74D92">
        <w:t xml:space="preserve"> </w:t>
      </w:r>
      <w:r w:rsidRPr="00E74D92">
        <w:rPr>
          <w:i/>
          <w:iCs/>
        </w:rPr>
        <w:t>resolves to invite the ITU Radiocommunication Sector</w:t>
      </w:r>
      <w:r w:rsidRPr="00E74D92">
        <w:t xml:space="preserve"> to conduct any necessary studies on the use of IMT systems for fixed wireless broadband in the frequency bands allocated to the fixed service on primary basis, </w:t>
      </w:r>
      <w:proofErr w:type="gramStart"/>
      <w:r w:rsidRPr="00E74D92">
        <w:t>taking into account</w:t>
      </w:r>
      <w:proofErr w:type="gramEnd"/>
      <w:r w:rsidRPr="00E74D92">
        <w:t xml:space="preserve"> the relevant ITU-R studies, Handbooks, Recommendations and Reports. </w:t>
      </w:r>
    </w:p>
    <w:p w14:paraId="65A930E3" w14:textId="52F2D6B4" w:rsidR="00FA168B" w:rsidRPr="00E74D92" w:rsidRDefault="00FA168B" w:rsidP="00FA168B">
      <w:r w:rsidRPr="00E74D92">
        <w:t xml:space="preserve">CEPT is of the view that the current radio regulatory provisions applicable to the fixed service already allow fixed wireless broadband applications using IMT technology as well as other technologies in the bands allocated to the fixed service. </w:t>
      </w:r>
      <w:proofErr w:type="gramStart"/>
      <w:r w:rsidRPr="00E74D92">
        <w:t>Taking into account</w:t>
      </w:r>
      <w:proofErr w:type="gramEnd"/>
      <w:r w:rsidRPr="00E74D92">
        <w:t xml:space="preserve"> this </w:t>
      </w:r>
      <w:r w:rsidRPr="00E74D92">
        <w:rPr>
          <w:rFonts w:cs="Calibri"/>
        </w:rPr>
        <w:t>existing flexible international regulatory framework, there is no need to study specific bands or develop new/additional regulatory provisions in the radio regulations for fixed wireless broadband applications that use IMT technology.</w:t>
      </w:r>
      <w:r w:rsidRPr="00E74D92">
        <w:t xml:space="preserve"> Therefore, CEPT supports suppression of Resolution</w:t>
      </w:r>
      <w:r w:rsidR="0078170E" w:rsidRPr="00E74D92">
        <w:t> </w:t>
      </w:r>
      <w:r w:rsidRPr="00E74D92">
        <w:rPr>
          <w:b/>
          <w:bCs/>
        </w:rPr>
        <w:t>175</w:t>
      </w:r>
      <w:r w:rsidR="0078170E" w:rsidRPr="00E74D92">
        <w:rPr>
          <w:b/>
          <w:bCs/>
        </w:rPr>
        <w:t> </w:t>
      </w:r>
      <w:r w:rsidRPr="00E74D92">
        <w:rPr>
          <w:b/>
          <w:bCs/>
        </w:rPr>
        <w:t>(WRC-19)</w:t>
      </w:r>
      <w:r w:rsidRPr="00E74D92">
        <w:t xml:space="preserve"> and is opposed to any other changes to the Radio Regulations under WRC-23 agenda</w:t>
      </w:r>
      <w:r w:rsidR="000B0123" w:rsidRPr="00E74D92">
        <w:t xml:space="preserve"> item</w:t>
      </w:r>
      <w:r w:rsidR="00CF4B28" w:rsidRPr="00E74D92">
        <w:t> </w:t>
      </w:r>
      <w:r w:rsidRPr="00E74D92">
        <w:t xml:space="preserve">9.1 </w:t>
      </w:r>
      <w:r w:rsidR="00CF4B28" w:rsidRPr="00E74D92">
        <w:t xml:space="preserve">topic </w:t>
      </w:r>
      <w:r w:rsidRPr="00E74D92">
        <w:t>c</w:t>
      </w:r>
      <w:r w:rsidR="00CF4B28" w:rsidRPr="00E74D92">
        <w:t>)</w:t>
      </w:r>
      <w:r w:rsidRPr="00E74D92">
        <w:t xml:space="preserve">. </w:t>
      </w:r>
    </w:p>
    <w:p w14:paraId="26C56229" w14:textId="77777777" w:rsidR="00FA168B" w:rsidRPr="00E74D92" w:rsidRDefault="00FA168B" w:rsidP="00FA168B">
      <w:r w:rsidRPr="00E74D92">
        <w:t xml:space="preserve">CEPT is of the view that the work should instead focus on consideration of broadband fixed wireless access (BFWA) that use IMT technologies under the existing regulatory framework of the fixed service. This work can be adequately addressed, if necessary, through an update of appropriate existing ITU-R Recommendations/Reports/Handbooks, which falls under the scope of ITU-R Working Parties 5A and 5C. </w:t>
      </w:r>
    </w:p>
    <w:p w14:paraId="7D5395BC" w14:textId="78777EC9" w:rsidR="00FA168B" w:rsidRPr="00E74D92" w:rsidRDefault="00FA168B" w:rsidP="00FA168B">
      <w:r w:rsidRPr="00E74D92">
        <w:lastRenderedPageBreak/>
        <w:t>The usage of</w:t>
      </w:r>
      <w:r w:rsidR="00E74D92" w:rsidRPr="00E74D92">
        <w:t xml:space="preserve"> the</w:t>
      </w:r>
      <w:r w:rsidRPr="00E74D92">
        <w:t xml:space="preserve"> term </w:t>
      </w:r>
      <w:r w:rsidR="00E74D92" w:rsidRPr="00E74D92">
        <w:t>"</w:t>
      </w:r>
      <w:r w:rsidRPr="00E74D92">
        <w:t>IMT systems</w:t>
      </w:r>
      <w:r w:rsidR="00E74D92" w:rsidRPr="00E74D92">
        <w:t>"</w:t>
      </w:r>
      <w:r w:rsidRPr="00E74D92">
        <w:t>, which are commonly understood as mobile broadband systems</w:t>
      </w:r>
      <w:r w:rsidRPr="00E74D92">
        <w:rPr>
          <w:position w:val="6"/>
          <w:sz w:val="18"/>
        </w:rPr>
        <w:footnoteReference w:id="1"/>
      </w:r>
      <w:r w:rsidRPr="00E74D92">
        <w:t xml:space="preserve">, is not appropriate in the fixed service allocation and therefore not compliant with the Radio Regulations applicable to the fixed service. </w:t>
      </w:r>
    </w:p>
    <w:p w14:paraId="0AA43B25" w14:textId="77777777" w:rsidR="00FA168B" w:rsidRPr="00E74D92" w:rsidRDefault="00FA168B" w:rsidP="00FA168B">
      <w:pPr>
        <w:pStyle w:val="Headingb"/>
        <w:rPr>
          <w:lang w:val="en-GB"/>
        </w:rPr>
      </w:pPr>
      <w:r w:rsidRPr="00E74D92">
        <w:rPr>
          <w:lang w:val="en-GB"/>
        </w:rPr>
        <w:t>Proposals</w:t>
      </w:r>
    </w:p>
    <w:p w14:paraId="46DA5285" w14:textId="77777777" w:rsidR="00241FA2" w:rsidRPr="00E74D92" w:rsidRDefault="00241FA2" w:rsidP="00EB54B2"/>
    <w:p w14:paraId="409C9813" w14:textId="77777777" w:rsidR="00187BD9" w:rsidRPr="00E74D92" w:rsidRDefault="00187BD9" w:rsidP="00187BD9">
      <w:pPr>
        <w:tabs>
          <w:tab w:val="clear" w:pos="1134"/>
          <w:tab w:val="clear" w:pos="1871"/>
          <w:tab w:val="clear" w:pos="2268"/>
        </w:tabs>
        <w:overflowPunct/>
        <w:autoSpaceDE/>
        <w:autoSpaceDN/>
        <w:adjustRightInd/>
        <w:spacing w:before="0"/>
        <w:textAlignment w:val="auto"/>
      </w:pPr>
      <w:r w:rsidRPr="00E74D92">
        <w:br w:type="page"/>
      </w:r>
    </w:p>
    <w:p w14:paraId="5282EFFC" w14:textId="77777777" w:rsidR="00E928F2" w:rsidRPr="00E74D92" w:rsidRDefault="00185882">
      <w:pPr>
        <w:pStyle w:val="Proposal"/>
      </w:pPr>
      <w:r w:rsidRPr="00E74D92">
        <w:rPr>
          <w:u w:val="single"/>
        </w:rPr>
        <w:lastRenderedPageBreak/>
        <w:t>NOC</w:t>
      </w:r>
      <w:r w:rsidRPr="00E74D92">
        <w:tab/>
        <w:t>EUR/65A24A3/1</w:t>
      </w:r>
    </w:p>
    <w:p w14:paraId="043D83A5" w14:textId="77777777" w:rsidR="00185882" w:rsidRPr="00E74D92" w:rsidRDefault="00185882" w:rsidP="005410BF">
      <w:pPr>
        <w:pStyle w:val="Volumetitle"/>
      </w:pPr>
      <w:bookmarkStart w:id="7" w:name="_Toc451865278"/>
      <w:bookmarkStart w:id="8" w:name="_Toc42842370"/>
      <w:r w:rsidRPr="00E74D92">
        <w:t>ARTICLES</w:t>
      </w:r>
      <w:bookmarkEnd w:id="7"/>
      <w:bookmarkEnd w:id="8"/>
    </w:p>
    <w:p w14:paraId="46F01666" w14:textId="77777777" w:rsidR="00E928F2" w:rsidRPr="00E74D92" w:rsidRDefault="00E928F2">
      <w:pPr>
        <w:pStyle w:val="Reasons"/>
      </w:pPr>
    </w:p>
    <w:p w14:paraId="03982F82" w14:textId="77777777" w:rsidR="00E928F2" w:rsidRPr="00E74D92" w:rsidRDefault="00185882">
      <w:pPr>
        <w:pStyle w:val="Proposal"/>
      </w:pPr>
      <w:r w:rsidRPr="00E74D92">
        <w:rPr>
          <w:u w:val="single"/>
        </w:rPr>
        <w:t>NOC</w:t>
      </w:r>
      <w:r w:rsidRPr="00E74D92">
        <w:tab/>
        <w:t>EUR/65A24A3/2</w:t>
      </w:r>
    </w:p>
    <w:p w14:paraId="006349A6" w14:textId="77777777" w:rsidR="00185882" w:rsidRPr="00E74D92" w:rsidRDefault="00185882" w:rsidP="008A5CB3">
      <w:pPr>
        <w:pStyle w:val="Volumetitle"/>
      </w:pPr>
      <w:r w:rsidRPr="00E74D92">
        <w:t>APPENDICES</w:t>
      </w:r>
    </w:p>
    <w:p w14:paraId="7C0D1A5A" w14:textId="77777777" w:rsidR="00E928F2" w:rsidRPr="00E74D92" w:rsidRDefault="00E928F2">
      <w:pPr>
        <w:pStyle w:val="Reasons"/>
      </w:pPr>
    </w:p>
    <w:p w14:paraId="1DB8DF9E" w14:textId="77777777" w:rsidR="00E928F2" w:rsidRPr="00E74D92" w:rsidRDefault="00185882">
      <w:pPr>
        <w:pStyle w:val="Proposal"/>
      </w:pPr>
      <w:r w:rsidRPr="00E74D92">
        <w:rPr>
          <w:u w:val="single"/>
        </w:rPr>
        <w:t>NOC</w:t>
      </w:r>
      <w:r w:rsidRPr="00E74D92">
        <w:tab/>
        <w:t>EUR/65A24A3/3</w:t>
      </w:r>
    </w:p>
    <w:p w14:paraId="58676812" w14:textId="77777777" w:rsidR="00185882" w:rsidRPr="00E74D92" w:rsidRDefault="00185882" w:rsidP="00ED7637">
      <w:pPr>
        <w:pStyle w:val="Volumetitle"/>
      </w:pPr>
      <w:bookmarkStart w:id="9" w:name="_Toc35789446"/>
      <w:bookmarkStart w:id="10" w:name="_Toc35857143"/>
      <w:bookmarkStart w:id="11" w:name="_Toc35877778"/>
      <w:bookmarkStart w:id="12" w:name="_Toc35963722"/>
      <w:r w:rsidRPr="00E74D92">
        <w:t>RECOMMENDATIONS</w:t>
      </w:r>
      <w:bookmarkEnd w:id="9"/>
      <w:bookmarkEnd w:id="10"/>
      <w:bookmarkEnd w:id="11"/>
      <w:bookmarkEnd w:id="12"/>
    </w:p>
    <w:p w14:paraId="121052CF" w14:textId="0241A139" w:rsidR="00E928F2" w:rsidRPr="00E74D92" w:rsidRDefault="00185882">
      <w:pPr>
        <w:pStyle w:val="Reasons"/>
      </w:pPr>
      <w:r w:rsidRPr="00E74D92">
        <w:rPr>
          <w:b/>
        </w:rPr>
        <w:t>Reasons:</w:t>
      </w:r>
      <w:r w:rsidRPr="00E74D92">
        <w:tab/>
      </w:r>
      <w:r w:rsidR="005B15EE" w:rsidRPr="00E74D92">
        <w:t>The existing regulatory framework of the fixed service within the 2020 version of the Radio Regulations is sufficient for the use of fixed wireless broadband applications, including those that use IMT technology.</w:t>
      </w:r>
    </w:p>
    <w:p w14:paraId="174581A1" w14:textId="77777777" w:rsidR="00E928F2" w:rsidRPr="00E74D92" w:rsidRDefault="00185882">
      <w:pPr>
        <w:pStyle w:val="Proposal"/>
      </w:pPr>
      <w:r w:rsidRPr="00E74D92">
        <w:t>SUP</w:t>
      </w:r>
      <w:r w:rsidRPr="00E74D92">
        <w:tab/>
        <w:t>EUR/65A24A3/4</w:t>
      </w:r>
    </w:p>
    <w:p w14:paraId="608ABA54" w14:textId="77777777" w:rsidR="00185882" w:rsidRPr="00E74D92" w:rsidRDefault="00185882" w:rsidP="00FE25A3">
      <w:pPr>
        <w:pStyle w:val="ResNo"/>
      </w:pPr>
      <w:bookmarkStart w:id="13" w:name="_Toc39649415"/>
      <w:r w:rsidRPr="00E74D92">
        <w:t xml:space="preserve">RESOLUTION </w:t>
      </w:r>
      <w:r w:rsidRPr="00E74D92">
        <w:rPr>
          <w:rStyle w:val="href"/>
        </w:rPr>
        <w:t>175</w:t>
      </w:r>
      <w:r w:rsidRPr="00E74D92">
        <w:t xml:space="preserve"> (WRC</w:t>
      </w:r>
      <w:r w:rsidRPr="00E74D92">
        <w:noBreakHyphen/>
        <w:t>19)</w:t>
      </w:r>
      <w:bookmarkEnd w:id="13"/>
    </w:p>
    <w:p w14:paraId="451B153D" w14:textId="77777777" w:rsidR="00185882" w:rsidRPr="00E74D92" w:rsidRDefault="00185882" w:rsidP="00FE25A3">
      <w:pPr>
        <w:pStyle w:val="Restitle"/>
      </w:pPr>
      <w:bookmarkStart w:id="14" w:name="_Toc35789299"/>
      <w:bookmarkStart w:id="15" w:name="_Toc35856996"/>
      <w:bookmarkStart w:id="16" w:name="_Toc35877631"/>
      <w:bookmarkStart w:id="17" w:name="_Toc35963574"/>
      <w:bookmarkStart w:id="18" w:name="_Toc39649416"/>
      <w:r w:rsidRPr="00E74D92">
        <w:t xml:space="preserve">Use of International Mobile Telecommunications systems for fixed </w:t>
      </w:r>
      <w:r w:rsidRPr="00E74D92">
        <w:br/>
        <w:t xml:space="preserve">wireless broadband in the frequency bands allocated to the </w:t>
      </w:r>
      <w:r w:rsidRPr="00E74D92">
        <w:br/>
        <w:t>fixed service on a primary basis</w:t>
      </w:r>
      <w:bookmarkEnd w:id="14"/>
      <w:bookmarkEnd w:id="15"/>
      <w:bookmarkEnd w:id="16"/>
      <w:bookmarkEnd w:id="17"/>
      <w:bookmarkEnd w:id="18"/>
    </w:p>
    <w:p w14:paraId="1EFBD1C6" w14:textId="2CC65E17" w:rsidR="00E928F2" w:rsidRDefault="00185882">
      <w:pPr>
        <w:pStyle w:val="Reasons"/>
      </w:pPr>
      <w:r w:rsidRPr="00E74D92">
        <w:rPr>
          <w:b/>
        </w:rPr>
        <w:t>Reasons:</w:t>
      </w:r>
      <w:r w:rsidRPr="00E74D92">
        <w:tab/>
        <w:t>CEPT considers that use of IMT technologies as well as other technologies for fixed wireless broadband applications in the frequency bands allocated to the fixed service can be adequately addressed, if necessary, through an update of appropriate existing ITU-R Recommendations/Reports/Handbooks, which falls under the scope of ITU-R Working Parties 5A and 5C. Therefore, CEPT considers that any future work on this topic, if required, can take place within these Working Parties, e.g. under relevant ITU-R Study Questions, and therefore Resolution </w:t>
      </w:r>
      <w:r w:rsidRPr="00E74D92">
        <w:rPr>
          <w:b/>
          <w:bCs/>
        </w:rPr>
        <w:t>175</w:t>
      </w:r>
      <w:r w:rsidR="00727D4E" w:rsidRPr="00E74D92">
        <w:rPr>
          <w:b/>
          <w:bCs/>
        </w:rPr>
        <w:t> </w:t>
      </w:r>
      <w:r w:rsidRPr="00E74D92">
        <w:rPr>
          <w:b/>
          <w:bCs/>
        </w:rPr>
        <w:t xml:space="preserve">(WRC-19) </w:t>
      </w:r>
      <w:r w:rsidRPr="00E74D92">
        <w:t>can be suppressed.</w:t>
      </w:r>
    </w:p>
    <w:p w14:paraId="0A7F5183" w14:textId="54ED0C61" w:rsidR="00185882" w:rsidRDefault="00185882" w:rsidP="00185882">
      <w:pPr>
        <w:jc w:val="center"/>
      </w:pPr>
      <w:r>
        <w:t>_____________</w:t>
      </w:r>
    </w:p>
    <w:sectPr w:rsidR="00185882">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C67E" w14:textId="77777777" w:rsidR="005B232F" w:rsidRDefault="005B232F">
      <w:r>
        <w:separator/>
      </w:r>
    </w:p>
  </w:endnote>
  <w:endnote w:type="continuationSeparator" w:id="0">
    <w:p w14:paraId="5102E40B" w14:textId="77777777" w:rsidR="005B232F" w:rsidRDefault="005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98E2" w14:textId="77777777" w:rsidR="00E45D05" w:rsidRDefault="00E45D05">
    <w:pPr>
      <w:framePr w:wrap="around" w:vAnchor="text" w:hAnchor="margin" w:xAlign="right" w:y="1"/>
    </w:pPr>
    <w:r>
      <w:fldChar w:fldCharType="begin"/>
    </w:r>
    <w:r>
      <w:instrText xml:space="preserve">PAGE  </w:instrText>
    </w:r>
    <w:r>
      <w:fldChar w:fldCharType="end"/>
    </w:r>
  </w:p>
  <w:p w14:paraId="4B73EA52" w14:textId="51C4361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74D92">
      <w:rPr>
        <w:noProof/>
      </w:rPr>
      <w:t>05.10.23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D84D" w14:textId="42E633D7" w:rsidR="00E45D05" w:rsidRDefault="00E45D05" w:rsidP="009B1EA1">
    <w:pPr>
      <w:pStyle w:val="Footer"/>
    </w:pPr>
    <w:r>
      <w:fldChar w:fldCharType="begin"/>
    </w:r>
    <w:r w:rsidRPr="0041348E">
      <w:rPr>
        <w:lang w:val="en-US"/>
      </w:rPr>
      <w:instrText xml:space="preserve"> FILENAME \p  \* MERGEFORMAT </w:instrText>
    </w:r>
    <w:r>
      <w:fldChar w:fldCharType="separate"/>
    </w:r>
    <w:r w:rsidR="00E74D92">
      <w:rPr>
        <w:lang w:val="en-US"/>
      </w:rPr>
      <w:t>P:\ENG\ITU-R\CONF-R\CMR23\000\065ADD24ADD03E.docx</w:t>
    </w:r>
    <w:r>
      <w:fldChar w:fldCharType="end"/>
    </w:r>
    <w:r w:rsidR="0078170E">
      <w:t xml:space="preserve"> (528861)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1DF4" w14:textId="4C3FDB68" w:rsidR="00E74D92" w:rsidRDefault="00E74D92">
    <w:pPr>
      <w:pStyle w:val="Footer"/>
    </w:pPr>
    <w:r>
      <w:fldChar w:fldCharType="begin"/>
    </w:r>
    <w:r w:rsidRPr="0041348E">
      <w:rPr>
        <w:lang w:val="en-US"/>
      </w:rPr>
      <w:instrText xml:space="preserve"> FILENAME \p  \* MERGEFORMAT </w:instrText>
    </w:r>
    <w:r>
      <w:fldChar w:fldCharType="separate"/>
    </w:r>
    <w:r>
      <w:rPr>
        <w:lang w:val="en-US"/>
      </w:rPr>
      <w:t>P:\ENG\ITU-R\CONF-R\CMR23\000\065ADD24ADD03E.docx</w:t>
    </w:r>
    <w:r>
      <w:fldChar w:fldCharType="end"/>
    </w:r>
    <w:r>
      <w:t xml:space="preserve"> (528861)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6C8" w14:textId="77777777" w:rsidR="005B232F" w:rsidRDefault="005B232F">
      <w:r>
        <w:rPr>
          <w:b/>
        </w:rPr>
        <w:t>_______________</w:t>
      </w:r>
    </w:p>
  </w:footnote>
  <w:footnote w:type="continuationSeparator" w:id="0">
    <w:p w14:paraId="75FE94C4" w14:textId="77777777" w:rsidR="005B232F" w:rsidRDefault="005B232F">
      <w:r>
        <w:continuationSeparator/>
      </w:r>
    </w:p>
  </w:footnote>
  <w:footnote w:id="1">
    <w:p w14:paraId="597DB901" w14:textId="49576812" w:rsidR="00FA168B" w:rsidRPr="00E75D31" w:rsidRDefault="00FA168B" w:rsidP="00FA168B">
      <w:pPr>
        <w:pStyle w:val="FootnoteText"/>
        <w:rPr>
          <w:lang w:val="en-US"/>
        </w:rPr>
      </w:pPr>
      <w:r>
        <w:rPr>
          <w:rStyle w:val="FootnoteReference"/>
        </w:rPr>
        <w:footnoteRef/>
      </w:r>
      <w:r>
        <w:t xml:space="preserve"> </w:t>
      </w:r>
      <w:r w:rsidR="00DB11DF">
        <w:tab/>
      </w:r>
      <w:r>
        <w:rPr>
          <w:lang w:val="en-US"/>
        </w:rPr>
        <w:t xml:space="preserve">Refer to </w:t>
      </w:r>
      <w:r w:rsidRPr="00E75D31">
        <w:rPr>
          <w:i/>
          <w:iCs/>
          <w:lang w:val="en-US"/>
        </w:rPr>
        <w:t>considering</w:t>
      </w:r>
      <w:r>
        <w:rPr>
          <w:lang w:val="en-US"/>
        </w:rPr>
        <w:t xml:space="preserve"> </w:t>
      </w:r>
      <w:r w:rsidRPr="00DB11DF">
        <w:rPr>
          <w:i/>
          <w:iCs/>
          <w:lang w:val="en-US"/>
        </w:rPr>
        <w:t>a)</w:t>
      </w:r>
      <w:r>
        <w:rPr>
          <w:lang w:val="en-US"/>
        </w:rPr>
        <w:t xml:space="preserve"> in Recommendations ITU-R M.2012 and </w:t>
      </w:r>
      <w:r w:rsidR="00DB11DF">
        <w:rPr>
          <w:lang w:val="en-US"/>
        </w:rPr>
        <w:t xml:space="preserve">ITU-R </w:t>
      </w:r>
      <w:r>
        <w:rPr>
          <w:lang w:val="en-US"/>
        </w:rPr>
        <w:t>M.2150</w:t>
      </w:r>
      <w:r w:rsidR="00DB11D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569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119B9E5" w14:textId="77777777" w:rsidR="00A066F1" w:rsidRPr="00A066F1" w:rsidRDefault="00BC75DE" w:rsidP="00241FA2">
    <w:pPr>
      <w:pStyle w:val="Header"/>
    </w:pPr>
    <w:r>
      <w:t>WRC</w:t>
    </w:r>
    <w:r w:rsidR="006D70B0">
      <w:t>23</w:t>
    </w:r>
    <w:r w:rsidR="00A066F1">
      <w:t>/</w:t>
    </w:r>
    <w:bookmarkStart w:id="19" w:name="OLE_LINK1"/>
    <w:bookmarkStart w:id="20" w:name="OLE_LINK2"/>
    <w:bookmarkStart w:id="21" w:name="OLE_LINK3"/>
    <w:r w:rsidR="00EB55C6">
      <w:t>65(Add.24)(Add.3)</w:t>
    </w:r>
    <w:bookmarkEnd w:id="19"/>
    <w:bookmarkEnd w:id="20"/>
    <w:bookmarkEnd w:id="2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77380723">
    <w:abstractNumId w:val="0"/>
  </w:num>
  <w:num w:numId="2" w16cid:durableId="3676064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0123"/>
    <w:rsid w:val="000D154B"/>
    <w:rsid w:val="000D2DAF"/>
    <w:rsid w:val="000E463E"/>
    <w:rsid w:val="000F73FF"/>
    <w:rsid w:val="00114CF7"/>
    <w:rsid w:val="00116C7A"/>
    <w:rsid w:val="00123B68"/>
    <w:rsid w:val="00126F2E"/>
    <w:rsid w:val="00146F6F"/>
    <w:rsid w:val="00161F26"/>
    <w:rsid w:val="00185882"/>
    <w:rsid w:val="00187BD9"/>
    <w:rsid w:val="00190B55"/>
    <w:rsid w:val="001C3B5F"/>
    <w:rsid w:val="001D058F"/>
    <w:rsid w:val="001E60C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61D7"/>
    <w:rsid w:val="005964AB"/>
    <w:rsid w:val="005B15EE"/>
    <w:rsid w:val="005B232F"/>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27D4E"/>
    <w:rsid w:val="00733A30"/>
    <w:rsid w:val="00745AEE"/>
    <w:rsid w:val="00750F10"/>
    <w:rsid w:val="00757B9C"/>
    <w:rsid w:val="007742CA"/>
    <w:rsid w:val="0077435C"/>
    <w:rsid w:val="0078170E"/>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4B28"/>
    <w:rsid w:val="00D14CE0"/>
    <w:rsid w:val="00D255D4"/>
    <w:rsid w:val="00D268B3"/>
    <w:rsid w:val="00D52FD6"/>
    <w:rsid w:val="00D54009"/>
    <w:rsid w:val="00D5651D"/>
    <w:rsid w:val="00D57A34"/>
    <w:rsid w:val="00D74898"/>
    <w:rsid w:val="00D801ED"/>
    <w:rsid w:val="00D936BC"/>
    <w:rsid w:val="00D96530"/>
    <w:rsid w:val="00DA1CB1"/>
    <w:rsid w:val="00DB11DF"/>
    <w:rsid w:val="00DD44AF"/>
    <w:rsid w:val="00DE2AC3"/>
    <w:rsid w:val="00DE5692"/>
    <w:rsid w:val="00DE6300"/>
    <w:rsid w:val="00DF4BC6"/>
    <w:rsid w:val="00DF78E0"/>
    <w:rsid w:val="00E03C94"/>
    <w:rsid w:val="00E205BC"/>
    <w:rsid w:val="00E26226"/>
    <w:rsid w:val="00E45D05"/>
    <w:rsid w:val="00E55816"/>
    <w:rsid w:val="00E55AEF"/>
    <w:rsid w:val="00E74D92"/>
    <w:rsid w:val="00E928F2"/>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A168B"/>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FB4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R23-WRC23-C-0065!A24-A3!MSW-E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9F403D-5679-4FC2-9F02-0E54D720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BE43E-8ADC-4EE9-8345-8C35D79B3F30}">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6DCDF5F0-0710-44DA-A8CD-D3157AB40212}">
  <ds:schemaRefs>
    <ds:schemaRef ds:uri="http://schemas.openxmlformats.org/officeDocument/2006/bibliography"/>
  </ds:schemaRefs>
</ds:datastoreItem>
</file>

<file path=customXml/itemProps4.xml><?xml version="1.0" encoding="utf-8"?>
<ds:datastoreItem xmlns:ds="http://schemas.openxmlformats.org/officeDocument/2006/customXml" ds:itemID="{1A2BEF67-E263-4320-B0B2-84D8DB28AE15}">
  <ds:schemaRefs>
    <ds:schemaRef ds:uri="http://schemas.microsoft.com/sharepoint/v3/contenttype/forms"/>
  </ds:schemaRefs>
</ds:datastoreItem>
</file>

<file path=customXml/itemProps5.xml><?xml version="1.0" encoding="utf-8"?>
<ds:datastoreItem xmlns:ds="http://schemas.openxmlformats.org/officeDocument/2006/customXml" ds:itemID="{43A53C69-4821-4BAE-9115-BC255108B0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530</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R23-WRC23-C-0065!A24-A3!MSW-E</vt:lpstr>
    </vt:vector>
  </TitlesOfParts>
  <Manager>General Secretariat - Pool</Manager>
  <Company>International Telecommunication Union (ITU)</Company>
  <LinksUpToDate>false</LinksUpToDate>
  <CharactersWithSpaces>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2023-10-05T08:47:00Z</dcterms:created>
  <dcterms:modified xsi:type="dcterms:W3CDTF">2023-10-05T09:23:00Z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