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1ED02B58" w14:textId="77777777" w:rsidTr="00752552">
        <w:trPr>
          <w:cantSplit/>
          <w:trHeight w:val="20"/>
        </w:trPr>
        <w:tc>
          <w:tcPr>
            <w:tcW w:w="1589" w:type="dxa"/>
            <w:vAlign w:val="center"/>
          </w:tcPr>
          <w:p w14:paraId="29C17462"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42D1D6E" wp14:editId="61CEFA4C">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7D9A978F"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2EB53F7D"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7A515FAB" w14:textId="77777777" w:rsidR="00752552" w:rsidRPr="000D1EE4" w:rsidRDefault="00752552" w:rsidP="00752552">
            <w:pPr>
              <w:jc w:val="right"/>
              <w:rPr>
                <w:rtl/>
                <w:lang w:bidi="ar-EG"/>
              </w:rPr>
            </w:pPr>
            <w:bookmarkStart w:id="0" w:name="ditulogo"/>
            <w:bookmarkEnd w:id="0"/>
            <w:r>
              <w:rPr>
                <w:noProof/>
              </w:rPr>
              <w:drawing>
                <wp:inline distT="0" distB="0" distL="0" distR="0" wp14:anchorId="5C6520AE" wp14:editId="2EA3A2B5">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4AB21DB3" w14:textId="77777777" w:rsidTr="00752552">
        <w:trPr>
          <w:cantSplit/>
          <w:trHeight w:val="20"/>
        </w:trPr>
        <w:tc>
          <w:tcPr>
            <w:tcW w:w="6696" w:type="dxa"/>
            <w:gridSpan w:val="2"/>
            <w:tcBorders>
              <w:bottom w:val="single" w:sz="12" w:space="0" w:color="auto"/>
            </w:tcBorders>
          </w:tcPr>
          <w:p w14:paraId="331B8B23" w14:textId="77777777" w:rsidR="000D1EE4" w:rsidRPr="000D1EE4" w:rsidRDefault="000D1EE4" w:rsidP="000D1EE4">
            <w:pPr>
              <w:rPr>
                <w:rtl/>
                <w:lang w:bidi="ar-EG"/>
              </w:rPr>
            </w:pPr>
          </w:p>
        </w:tc>
        <w:tc>
          <w:tcPr>
            <w:tcW w:w="2970" w:type="dxa"/>
            <w:gridSpan w:val="2"/>
            <w:tcBorders>
              <w:bottom w:val="single" w:sz="12" w:space="0" w:color="auto"/>
            </w:tcBorders>
          </w:tcPr>
          <w:p w14:paraId="42B59216" w14:textId="77777777" w:rsidR="000D1EE4" w:rsidRPr="000D1EE4" w:rsidRDefault="000D1EE4" w:rsidP="000D1EE4">
            <w:pPr>
              <w:rPr>
                <w:lang w:val="en-GB" w:bidi="ar-EG"/>
              </w:rPr>
            </w:pPr>
          </w:p>
        </w:tc>
      </w:tr>
      <w:tr w:rsidR="000D1EE4" w:rsidRPr="000D1EE4" w14:paraId="4B71C1B1" w14:textId="77777777" w:rsidTr="00752552">
        <w:trPr>
          <w:cantSplit/>
          <w:trHeight w:val="20"/>
        </w:trPr>
        <w:tc>
          <w:tcPr>
            <w:tcW w:w="6696" w:type="dxa"/>
            <w:gridSpan w:val="2"/>
            <w:tcBorders>
              <w:top w:val="single" w:sz="12" w:space="0" w:color="auto"/>
            </w:tcBorders>
          </w:tcPr>
          <w:p w14:paraId="2E2A2F59" w14:textId="77777777" w:rsidR="000D1EE4" w:rsidRPr="000D1EE4" w:rsidRDefault="000D1EE4" w:rsidP="000D1EE4">
            <w:pPr>
              <w:rPr>
                <w:b/>
                <w:bCs/>
                <w:rtl/>
                <w:lang w:bidi="ar-EG"/>
              </w:rPr>
            </w:pPr>
          </w:p>
        </w:tc>
        <w:tc>
          <w:tcPr>
            <w:tcW w:w="2970" w:type="dxa"/>
            <w:gridSpan w:val="2"/>
            <w:tcBorders>
              <w:top w:val="single" w:sz="12" w:space="0" w:color="auto"/>
            </w:tcBorders>
          </w:tcPr>
          <w:p w14:paraId="23674293" w14:textId="77777777" w:rsidR="000D1EE4" w:rsidRPr="000D1EE4" w:rsidRDefault="000D1EE4" w:rsidP="000D1EE4">
            <w:pPr>
              <w:rPr>
                <w:b/>
                <w:bCs/>
                <w:lang w:bidi="ar-EG"/>
              </w:rPr>
            </w:pPr>
          </w:p>
        </w:tc>
      </w:tr>
      <w:tr w:rsidR="000D1EE4" w:rsidRPr="000D1EE4" w14:paraId="7A221EAA" w14:textId="77777777" w:rsidTr="00752552">
        <w:trPr>
          <w:cantSplit/>
        </w:trPr>
        <w:tc>
          <w:tcPr>
            <w:tcW w:w="6696" w:type="dxa"/>
            <w:gridSpan w:val="2"/>
          </w:tcPr>
          <w:p w14:paraId="6620774B" w14:textId="77777777" w:rsidR="000D1EE4" w:rsidRPr="00876210" w:rsidRDefault="00E50850" w:rsidP="00876210">
            <w:pPr>
              <w:spacing w:before="60" w:after="60" w:line="260" w:lineRule="exact"/>
              <w:jc w:val="left"/>
              <w:rPr>
                <w:rFonts w:hint="cs"/>
                <w:b/>
                <w:bCs/>
                <w:rtl/>
                <w:lang w:bidi="ar-EG"/>
              </w:rPr>
            </w:pPr>
            <w:r w:rsidRPr="00876210">
              <w:rPr>
                <w:b/>
                <w:bCs/>
                <w:rtl/>
                <w:lang w:bidi="ar-EG"/>
              </w:rPr>
              <w:t>الجلسة العامة</w:t>
            </w:r>
          </w:p>
        </w:tc>
        <w:tc>
          <w:tcPr>
            <w:tcW w:w="2970" w:type="dxa"/>
            <w:gridSpan w:val="2"/>
          </w:tcPr>
          <w:p w14:paraId="068D69D7" w14:textId="77777777" w:rsidR="000D1EE4" w:rsidRPr="00876210" w:rsidRDefault="00E50850" w:rsidP="00876210">
            <w:pPr>
              <w:spacing w:before="60" w:after="60" w:line="260" w:lineRule="exact"/>
              <w:jc w:val="left"/>
              <w:rPr>
                <w:b/>
                <w:bCs/>
                <w:rtl/>
                <w:lang w:bidi="ar-EG"/>
              </w:rPr>
            </w:pPr>
            <w:r w:rsidRPr="00876210">
              <w:rPr>
                <w:rFonts w:eastAsia="SimSun"/>
                <w:b/>
                <w:bCs/>
                <w:rtl/>
                <w:lang w:bidi="ar-EG"/>
              </w:rPr>
              <w:t>الإضافة 5</w:t>
            </w:r>
            <w:r w:rsidRPr="00876210">
              <w:rPr>
                <w:rFonts w:eastAsia="SimSun"/>
                <w:b/>
                <w:bCs/>
                <w:rtl/>
                <w:lang w:bidi="ar-EG"/>
              </w:rPr>
              <w:br/>
              <w:t xml:space="preserve">للوثيقة </w:t>
            </w:r>
            <w:r w:rsidRPr="00876210">
              <w:rPr>
                <w:rFonts w:eastAsia="SimSun"/>
                <w:b/>
                <w:bCs/>
              </w:rPr>
              <w:t>65(Add.24)-A</w:t>
            </w:r>
          </w:p>
        </w:tc>
      </w:tr>
      <w:tr w:rsidR="000D1EE4" w:rsidRPr="000D1EE4" w14:paraId="68AB9C5F" w14:textId="77777777" w:rsidTr="00752552">
        <w:trPr>
          <w:cantSplit/>
        </w:trPr>
        <w:tc>
          <w:tcPr>
            <w:tcW w:w="6696" w:type="dxa"/>
            <w:gridSpan w:val="2"/>
          </w:tcPr>
          <w:p w14:paraId="09FF5D7E" w14:textId="77777777" w:rsidR="000D1EE4" w:rsidRPr="00876210" w:rsidRDefault="000D1EE4" w:rsidP="00876210">
            <w:pPr>
              <w:spacing w:before="60" w:after="60" w:line="260" w:lineRule="exact"/>
              <w:jc w:val="left"/>
              <w:rPr>
                <w:b/>
                <w:bCs/>
                <w:rtl/>
                <w:lang w:bidi="ar-EG"/>
              </w:rPr>
            </w:pPr>
          </w:p>
        </w:tc>
        <w:tc>
          <w:tcPr>
            <w:tcW w:w="2970" w:type="dxa"/>
            <w:gridSpan w:val="2"/>
          </w:tcPr>
          <w:p w14:paraId="24B25675" w14:textId="77777777" w:rsidR="000D1EE4" w:rsidRPr="00876210" w:rsidRDefault="00E50850" w:rsidP="00876210">
            <w:pPr>
              <w:spacing w:before="60" w:after="60" w:line="260" w:lineRule="exact"/>
              <w:jc w:val="left"/>
              <w:rPr>
                <w:b/>
                <w:bCs/>
                <w:rtl/>
                <w:lang w:bidi="ar-EG"/>
              </w:rPr>
            </w:pPr>
            <w:r w:rsidRPr="00876210">
              <w:rPr>
                <w:rFonts w:eastAsia="SimSun"/>
                <w:b/>
                <w:bCs/>
              </w:rPr>
              <w:t>29</w:t>
            </w:r>
            <w:r w:rsidRPr="00876210">
              <w:rPr>
                <w:rFonts w:eastAsia="SimSun"/>
                <w:b/>
                <w:bCs/>
                <w:rtl/>
              </w:rPr>
              <w:t xml:space="preserve"> سبتمبر </w:t>
            </w:r>
            <w:r w:rsidRPr="00876210">
              <w:rPr>
                <w:rFonts w:eastAsia="SimSun"/>
                <w:b/>
                <w:bCs/>
              </w:rPr>
              <w:t>2023</w:t>
            </w:r>
          </w:p>
        </w:tc>
      </w:tr>
      <w:tr w:rsidR="000D1EE4" w:rsidRPr="000D1EE4" w14:paraId="10878293" w14:textId="77777777" w:rsidTr="00752552">
        <w:trPr>
          <w:cantSplit/>
        </w:trPr>
        <w:tc>
          <w:tcPr>
            <w:tcW w:w="6696" w:type="dxa"/>
            <w:gridSpan w:val="2"/>
          </w:tcPr>
          <w:p w14:paraId="1A9AC87F" w14:textId="77777777" w:rsidR="000D1EE4" w:rsidRPr="00876210" w:rsidRDefault="000D1EE4" w:rsidP="00876210">
            <w:pPr>
              <w:spacing w:before="60" w:after="60" w:line="260" w:lineRule="exact"/>
              <w:jc w:val="left"/>
              <w:rPr>
                <w:b/>
                <w:bCs/>
                <w:rtl/>
                <w:lang w:bidi="ar-EG"/>
              </w:rPr>
            </w:pPr>
          </w:p>
        </w:tc>
        <w:tc>
          <w:tcPr>
            <w:tcW w:w="2970" w:type="dxa"/>
            <w:gridSpan w:val="2"/>
          </w:tcPr>
          <w:p w14:paraId="3F0A7DC3" w14:textId="77777777" w:rsidR="000D1EE4" w:rsidRPr="00876210" w:rsidRDefault="00E50850" w:rsidP="00876210">
            <w:pPr>
              <w:spacing w:before="60" w:after="60" w:line="260" w:lineRule="exact"/>
              <w:jc w:val="left"/>
              <w:rPr>
                <w:b/>
                <w:bCs/>
                <w:lang w:bidi="ar-EG"/>
              </w:rPr>
            </w:pPr>
            <w:r w:rsidRPr="00876210">
              <w:rPr>
                <w:b/>
                <w:bCs/>
                <w:rtl/>
                <w:lang w:bidi="ar-EG"/>
              </w:rPr>
              <w:t>الأصل: بالإنكليزية</w:t>
            </w:r>
          </w:p>
        </w:tc>
      </w:tr>
      <w:tr w:rsidR="000D1EE4" w:rsidRPr="000D1EE4" w14:paraId="24A42C6F" w14:textId="77777777" w:rsidTr="00752552">
        <w:trPr>
          <w:cantSplit/>
        </w:trPr>
        <w:tc>
          <w:tcPr>
            <w:tcW w:w="9666" w:type="dxa"/>
            <w:gridSpan w:val="4"/>
          </w:tcPr>
          <w:p w14:paraId="39A907FC" w14:textId="77777777" w:rsidR="000D1EE4" w:rsidRPr="000D1EE4" w:rsidRDefault="000D1EE4" w:rsidP="000D1EE4">
            <w:pPr>
              <w:rPr>
                <w:b/>
                <w:bCs/>
                <w:lang w:bidi="ar-EG"/>
              </w:rPr>
            </w:pPr>
          </w:p>
        </w:tc>
      </w:tr>
      <w:tr w:rsidR="000D1EE4" w:rsidRPr="000D1EE4" w14:paraId="2040AFB4" w14:textId="77777777" w:rsidTr="00752552">
        <w:trPr>
          <w:cantSplit/>
        </w:trPr>
        <w:tc>
          <w:tcPr>
            <w:tcW w:w="9666" w:type="dxa"/>
            <w:gridSpan w:val="4"/>
          </w:tcPr>
          <w:p w14:paraId="494968A7" w14:textId="77777777" w:rsidR="000D1EE4" w:rsidRPr="000D1EE4" w:rsidRDefault="000D1EE4" w:rsidP="000D1EE4">
            <w:pPr>
              <w:pStyle w:val="Source"/>
              <w:rPr>
                <w:rtl/>
                <w:lang w:bidi="ar-SA"/>
              </w:rPr>
            </w:pPr>
            <w:r w:rsidRPr="000D1EE4">
              <w:rPr>
                <w:rtl/>
              </w:rPr>
              <w:t>مقترحات أوروبية مشتركة</w:t>
            </w:r>
          </w:p>
        </w:tc>
      </w:tr>
      <w:tr w:rsidR="000D1EE4" w:rsidRPr="000D1EE4" w14:paraId="02668A74" w14:textId="77777777" w:rsidTr="00752552">
        <w:trPr>
          <w:cantSplit/>
        </w:trPr>
        <w:tc>
          <w:tcPr>
            <w:tcW w:w="9666" w:type="dxa"/>
            <w:gridSpan w:val="4"/>
          </w:tcPr>
          <w:p w14:paraId="6CA1487B" w14:textId="788A2535" w:rsidR="000D1EE4" w:rsidRPr="000D1EE4" w:rsidRDefault="00876210" w:rsidP="000D1EE4">
            <w:pPr>
              <w:pStyle w:val="Title1"/>
              <w:rPr>
                <w:rtl/>
              </w:rPr>
            </w:pPr>
            <w:r>
              <w:rPr>
                <w:rFonts w:hint="cs"/>
                <w:rtl/>
              </w:rPr>
              <w:t>مقترحات بشأن أعمال المؤتمر</w:t>
            </w:r>
          </w:p>
        </w:tc>
      </w:tr>
      <w:tr w:rsidR="000D1EE4" w:rsidRPr="000D1EE4" w14:paraId="767DD220" w14:textId="77777777" w:rsidTr="00752552">
        <w:trPr>
          <w:cantSplit/>
        </w:trPr>
        <w:tc>
          <w:tcPr>
            <w:tcW w:w="9666" w:type="dxa"/>
            <w:gridSpan w:val="4"/>
          </w:tcPr>
          <w:p w14:paraId="32DA29AE" w14:textId="77777777" w:rsidR="000D1EE4" w:rsidRPr="000D1EE4" w:rsidRDefault="000D1EE4" w:rsidP="000D1EE4">
            <w:pPr>
              <w:pStyle w:val="Title2"/>
              <w:rPr>
                <w:rtl/>
              </w:rPr>
            </w:pPr>
          </w:p>
        </w:tc>
      </w:tr>
      <w:tr w:rsidR="00E50850" w:rsidRPr="000D1EE4" w14:paraId="2D1DF46B" w14:textId="77777777" w:rsidTr="00752552">
        <w:trPr>
          <w:cantSplit/>
        </w:trPr>
        <w:tc>
          <w:tcPr>
            <w:tcW w:w="9666" w:type="dxa"/>
            <w:gridSpan w:val="4"/>
          </w:tcPr>
          <w:p w14:paraId="53F30544" w14:textId="1E01CCA0" w:rsidR="00E50850" w:rsidRPr="000D1EE4" w:rsidRDefault="00E50850" w:rsidP="00E50850">
            <w:pPr>
              <w:pStyle w:val="Agendaitem"/>
            </w:pPr>
            <w:r>
              <w:rPr>
                <w:rtl/>
              </w:rPr>
              <w:t>بند جدول الأعمال</w:t>
            </w:r>
            <w:r w:rsidR="00876210">
              <w:rPr>
                <w:rFonts w:hint="cs"/>
                <w:rtl/>
              </w:rPr>
              <w:t xml:space="preserve"> </w:t>
            </w:r>
            <w:r w:rsidR="00876210">
              <w:rPr>
                <w:rtl/>
              </w:rPr>
              <w:t>1.9</w:t>
            </w:r>
          </w:p>
        </w:tc>
      </w:tr>
    </w:tbl>
    <w:p w14:paraId="71368A3B" w14:textId="77777777" w:rsidR="00A87055" w:rsidRPr="00FE2CFF" w:rsidRDefault="00A87055" w:rsidP="00447522">
      <w:pPr>
        <w:spacing w:line="180" w:lineRule="auto"/>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w:t>
      </w:r>
      <w:proofErr w:type="gramStart"/>
      <w:r w:rsidRPr="00FE2CFF">
        <w:rPr>
          <w:rFonts w:hint="cs"/>
          <w:rtl/>
        </w:rPr>
        <w:t>الاتحاد؛</w:t>
      </w:r>
      <w:proofErr w:type="gramEnd"/>
    </w:p>
    <w:p w14:paraId="49D020B5" w14:textId="77777777" w:rsidR="00A87055" w:rsidRPr="00FE2CFF" w:rsidRDefault="00A87055" w:rsidP="001D42C8">
      <w:pPr>
        <w:spacing w:line="180" w:lineRule="auto"/>
      </w:pPr>
      <w:r w:rsidRPr="0035641C">
        <w:t>1.9</w:t>
      </w:r>
      <w:r w:rsidRPr="0035641C">
        <w:rPr>
          <w:rFonts w:hint="cs"/>
          <w:rtl/>
        </w:rPr>
        <w:tab/>
      </w:r>
      <w:r w:rsidRPr="00FE2CFF">
        <w:rPr>
          <w:rFonts w:hint="cs"/>
          <w:rtl/>
        </w:rPr>
        <w:t xml:space="preserve">بشأن أنشطة قطاع الاتصالات الراديوية بالاتحاد منذ المؤتمر العالمي للاتصالات الراديوية لعام </w:t>
      </w:r>
      <w:r w:rsidRPr="00FE2CFF">
        <w:t>2019</w:t>
      </w:r>
      <w:r w:rsidRPr="00FE2CFF">
        <w:rPr>
          <w:rFonts w:hint="cs"/>
          <w:rtl/>
        </w:rPr>
        <w:t>:</w:t>
      </w:r>
    </w:p>
    <w:p w14:paraId="5083A68E" w14:textId="6C913837" w:rsidR="00A87055" w:rsidRDefault="00876210" w:rsidP="00876210">
      <w:pPr>
        <w:pStyle w:val="Headingb"/>
      </w:pPr>
      <w:r>
        <w:rPr>
          <w:rFonts w:hint="cs"/>
          <w:rtl/>
        </w:rPr>
        <w:t>مقدمة</w:t>
      </w:r>
    </w:p>
    <w:p w14:paraId="50ADB0D3" w14:textId="1B760102" w:rsidR="00876210" w:rsidRDefault="00D872D0" w:rsidP="00876210">
      <w:pPr>
        <w:rPr>
          <w:rtl/>
          <w:lang w:bidi="ar-EG"/>
        </w:rPr>
      </w:pPr>
      <w:r w:rsidRPr="00B42412">
        <w:rPr>
          <w:rFonts w:hint="cs"/>
          <w:rtl/>
          <w:lang w:bidi="ar-EG"/>
        </w:rPr>
        <w:t>قرر المؤتمر العالمي للاتصالات الراديوية</w:t>
      </w:r>
      <w:r>
        <w:rPr>
          <w:rFonts w:hint="cs"/>
          <w:rtl/>
          <w:lang w:bidi="ar-EG"/>
        </w:rPr>
        <w:t xml:space="preserve"> بموجب </w:t>
      </w:r>
      <w:r w:rsidR="00876210">
        <w:rPr>
          <w:rFonts w:hint="cs"/>
          <w:rtl/>
          <w:lang w:bidi="ar-EG"/>
        </w:rPr>
        <w:t xml:space="preserve">القرار </w:t>
      </w:r>
      <w:r w:rsidR="00876210" w:rsidRPr="00876210">
        <w:rPr>
          <w:b/>
          <w:bCs/>
          <w:lang w:bidi="ar-EG"/>
        </w:rPr>
        <w:t>427 (WRC-19)</w:t>
      </w:r>
      <w:r w:rsidR="00876210">
        <w:rPr>
          <w:rFonts w:hint="cs"/>
          <w:rtl/>
          <w:lang w:bidi="ar-EG"/>
        </w:rPr>
        <w:t xml:space="preserve"> بشأن "</w:t>
      </w:r>
      <w:r w:rsidR="00876210" w:rsidRPr="00876210">
        <w:rPr>
          <w:rtl/>
          <w:lang w:bidi="ar-EG"/>
        </w:rPr>
        <w:t>تحديث الأحكام المتعلقة بخدمات الطيران في لوائح الراديو</w:t>
      </w:r>
      <w:r w:rsidR="00876210">
        <w:rPr>
          <w:rFonts w:hint="cs"/>
          <w:rtl/>
          <w:lang w:bidi="ar-EG"/>
        </w:rPr>
        <w:t>"</w:t>
      </w:r>
      <w:r>
        <w:rPr>
          <w:rFonts w:hint="cs"/>
          <w:i/>
          <w:iCs/>
          <w:rtl/>
          <w:lang w:bidi="ar-EG"/>
        </w:rPr>
        <w:t xml:space="preserve"> </w:t>
      </w:r>
      <w:r w:rsidR="00876210" w:rsidRPr="00876210">
        <w:rPr>
          <w:i/>
          <w:iCs/>
          <w:rtl/>
          <w:lang w:bidi="ar-EG"/>
        </w:rPr>
        <w:t>أن يدعو قطاع الاتصالات الراديوية</w:t>
      </w:r>
      <w:r w:rsidR="00876210" w:rsidRPr="00876210">
        <w:rPr>
          <w:rFonts w:hint="cs"/>
          <w:i/>
          <w:iCs/>
          <w:rtl/>
          <w:lang w:bidi="ar-EG"/>
        </w:rPr>
        <w:t xml:space="preserve"> بالاتحاد</w:t>
      </w:r>
    </w:p>
    <w:p w14:paraId="3FF17032" w14:textId="0D930DBB" w:rsidR="00876210" w:rsidRPr="00876210" w:rsidRDefault="00876210" w:rsidP="00876210">
      <w:pPr>
        <w:ind w:left="1134" w:hanging="1134"/>
        <w:rPr>
          <w:spacing w:val="2"/>
          <w:rtl/>
          <w:lang w:bidi="ar-SY"/>
        </w:rPr>
      </w:pPr>
      <w:r>
        <w:rPr>
          <w:rtl/>
          <w:lang w:bidi="ar-SY"/>
        </w:rPr>
        <w:tab/>
      </w:r>
      <w:r w:rsidRPr="00876210">
        <w:rPr>
          <w:spacing w:val="2"/>
          <w:rtl/>
          <w:lang w:bidi="ar-SY"/>
        </w:rPr>
        <w:t>إلى</w:t>
      </w:r>
      <w:r w:rsidRPr="00876210">
        <w:rPr>
          <w:spacing w:val="2"/>
          <w:rtl/>
          <w:lang w:bidi="ar-EG"/>
        </w:rPr>
        <w:t xml:space="preserve"> دراسة </w:t>
      </w:r>
      <w:r w:rsidRPr="00876210">
        <w:rPr>
          <w:spacing w:val="2"/>
          <w:rtl/>
          <w:lang w:bidi="ar-SY"/>
        </w:rPr>
        <w:t xml:space="preserve">مواد </w:t>
      </w:r>
      <w:r w:rsidRPr="00876210">
        <w:rPr>
          <w:rFonts w:hint="cs"/>
          <w:spacing w:val="2"/>
          <w:rtl/>
          <w:lang w:bidi="ar-EG"/>
        </w:rPr>
        <w:t xml:space="preserve">لوائح الراديو، </w:t>
      </w:r>
      <w:r w:rsidRPr="00876210">
        <w:rPr>
          <w:spacing w:val="2"/>
          <w:rtl/>
          <w:lang w:bidi="ar-SY"/>
        </w:rPr>
        <w:t xml:space="preserve">بالاقتصار على الفصول </w:t>
      </w:r>
      <w:r w:rsidRPr="00876210">
        <w:rPr>
          <w:spacing w:val="2"/>
          <w:lang w:val="fr-CH" w:bidi="ar-EG"/>
        </w:rPr>
        <w:t>IV</w:t>
      </w:r>
      <w:r w:rsidRPr="00876210">
        <w:rPr>
          <w:spacing w:val="2"/>
          <w:rtl/>
          <w:lang w:bidi="ar-SY"/>
        </w:rPr>
        <w:t xml:space="preserve"> و</w:t>
      </w:r>
      <w:r w:rsidRPr="00876210">
        <w:rPr>
          <w:spacing w:val="2"/>
          <w:lang w:val="fr-CH" w:bidi="ar-EG"/>
        </w:rPr>
        <w:t>V</w:t>
      </w:r>
      <w:r w:rsidRPr="00876210">
        <w:rPr>
          <w:spacing w:val="2"/>
          <w:rtl/>
          <w:lang w:bidi="ar-SY"/>
        </w:rPr>
        <w:t xml:space="preserve"> و</w:t>
      </w:r>
      <w:r w:rsidRPr="00876210">
        <w:rPr>
          <w:spacing w:val="2"/>
          <w:lang w:bidi="ar-EG"/>
        </w:rPr>
        <w:t>VI</w:t>
      </w:r>
      <w:r w:rsidRPr="00876210">
        <w:rPr>
          <w:spacing w:val="2"/>
          <w:rtl/>
          <w:lang w:bidi="ar-SY"/>
        </w:rPr>
        <w:t xml:space="preserve"> و</w:t>
      </w:r>
      <w:r w:rsidRPr="00876210">
        <w:rPr>
          <w:spacing w:val="2"/>
          <w:lang w:bidi="ar-EG"/>
        </w:rPr>
        <w:t>VIII</w:t>
      </w:r>
      <w:r w:rsidRPr="00876210">
        <w:rPr>
          <w:spacing w:val="2"/>
          <w:rtl/>
          <w:lang w:bidi="ar-SY"/>
        </w:rPr>
        <w:t xml:space="preserve"> من المجلد </w:t>
      </w:r>
      <w:r w:rsidRPr="00876210">
        <w:rPr>
          <w:spacing w:val="2"/>
          <w:lang w:val="fr-CH" w:bidi="ar-EG"/>
        </w:rPr>
        <w:t>I</w:t>
      </w:r>
      <w:r w:rsidRPr="00876210">
        <w:rPr>
          <w:rFonts w:hint="cs"/>
          <w:spacing w:val="2"/>
          <w:rtl/>
          <w:lang w:bidi="ar-SY"/>
        </w:rPr>
        <w:t>،</w:t>
      </w:r>
      <w:r w:rsidRPr="00876210">
        <w:rPr>
          <w:spacing w:val="2"/>
          <w:rtl/>
          <w:lang w:bidi="ar-SY"/>
        </w:rPr>
        <w:t xml:space="preserve"> وما يرتبط بها من </w:t>
      </w:r>
      <w:proofErr w:type="spellStart"/>
      <w:r w:rsidRPr="00876210">
        <w:rPr>
          <w:spacing w:val="2"/>
          <w:rtl/>
          <w:lang w:bidi="ar-SY"/>
        </w:rPr>
        <w:t>تذييلات</w:t>
      </w:r>
      <w:proofErr w:type="spellEnd"/>
      <w:r w:rsidRPr="00876210">
        <w:rPr>
          <w:spacing w:val="2"/>
          <w:rtl/>
          <w:lang w:bidi="ar-SY"/>
        </w:rPr>
        <w:t xml:space="preserve">، حسب الاقتضاء، من أجل تحديد الأحكام المتقادمة المتعلقة بالطيران فيما يتعلق </w:t>
      </w:r>
      <w:r w:rsidRPr="00876210">
        <w:rPr>
          <w:rFonts w:hint="cs"/>
          <w:spacing w:val="2"/>
          <w:rtl/>
          <w:lang w:bidi="ar-SY"/>
        </w:rPr>
        <w:t>بالمعايير</w:t>
      </w:r>
      <w:r w:rsidRPr="00876210">
        <w:rPr>
          <w:spacing w:val="2"/>
          <w:rtl/>
          <w:lang w:bidi="ar-SY"/>
        </w:rPr>
        <w:t xml:space="preserve"> والممارسات </w:t>
      </w:r>
      <w:proofErr w:type="spellStart"/>
      <w:r w:rsidRPr="00876210">
        <w:rPr>
          <w:spacing w:val="2"/>
          <w:rtl/>
          <w:lang w:bidi="ar-SY"/>
        </w:rPr>
        <w:t>الموصى</w:t>
      </w:r>
      <w:proofErr w:type="spellEnd"/>
      <w:r w:rsidRPr="00876210">
        <w:rPr>
          <w:spacing w:val="2"/>
          <w:rtl/>
          <w:lang w:bidi="ar-SY"/>
        </w:rPr>
        <w:t xml:space="preserve"> بها</w:t>
      </w:r>
      <w:r w:rsidRPr="00876210">
        <w:rPr>
          <w:rFonts w:hint="cs"/>
          <w:spacing w:val="2"/>
          <w:rtl/>
          <w:lang w:bidi="ar-SY"/>
        </w:rPr>
        <w:t xml:space="preserve"> التي حددتها </w:t>
      </w:r>
      <w:r w:rsidRPr="00876210">
        <w:rPr>
          <w:spacing w:val="2"/>
          <w:rtl/>
          <w:lang w:bidi="ar-SY"/>
        </w:rPr>
        <w:t>منظمة الطيران المدني الدولي، وإعداد أمثلة للنصوص التنظيمية لتحديث هذه الأحكام، مع ضمان ألا يكون للتغييرات المحتمل إدخالها على هذه الأحكام أي تأثير على أي أنظمة أو خدمات أخرى تعمل وفقاً للوائح الراديو،</w:t>
      </w:r>
    </w:p>
    <w:p w14:paraId="0E379D29" w14:textId="59AFBA68" w:rsidR="00876210" w:rsidRDefault="00D872D0" w:rsidP="008B7875">
      <w:pPr>
        <w:rPr>
          <w:rtl/>
          <w:lang w:bidi="ar-SY"/>
        </w:rPr>
      </w:pPr>
      <w:r>
        <w:rPr>
          <w:rFonts w:hint="cs"/>
          <w:rtl/>
          <w:lang w:bidi="ar-SY"/>
        </w:rPr>
        <w:t>يفيد هذا المقترح الأوروبي المشترك بأن من غير المتوقع اتخاذ أي إجراء بشأن لوائح الراديو في المؤتمر العالمي للاتصالات الراديوية لعام 2023.</w:t>
      </w:r>
    </w:p>
    <w:p w14:paraId="2B982EA6" w14:textId="6BA31407" w:rsidR="00C45930" w:rsidRPr="007579F6" w:rsidRDefault="00876210" w:rsidP="00876210">
      <w:pPr>
        <w:pStyle w:val="Headingb"/>
      </w:pPr>
      <w:r>
        <w:rPr>
          <w:rFonts w:hint="cs"/>
          <w:rtl/>
        </w:rPr>
        <w:t>المقترحات</w:t>
      </w:r>
    </w:p>
    <w:p w14:paraId="084266A2" w14:textId="77777777" w:rsidR="004C67F1" w:rsidRDefault="004C67F1" w:rsidP="00FD7BB8">
      <w:pPr>
        <w:tabs>
          <w:tab w:val="clear" w:pos="1134"/>
          <w:tab w:val="clear" w:pos="1871"/>
          <w:tab w:val="clear" w:pos="2268"/>
        </w:tabs>
        <w:bidi w:val="0"/>
        <w:spacing w:before="0" w:line="240" w:lineRule="auto"/>
        <w:jc w:val="left"/>
        <w:rPr>
          <w:rtl/>
          <w:lang w:val="en-GB" w:bidi="ar-EG"/>
        </w:rPr>
      </w:pPr>
      <w:r>
        <w:rPr>
          <w:rtl/>
          <w:lang w:val="en-GB" w:bidi="ar-EG"/>
        </w:rPr>
        <w:br w:type="page"/>
      </w:r>
    </w:p>
    <w:p w14:paraId="5F0BA7C8" w14:textId="77777777" w:rsidR="00A83313" w:rsidRDefault="00A87055">
      <w:pPr>
        <w:pStyle w:val="Proposal"/>
      </w:pPr>
      <w:r>
        <w:rPr>
          <w:u w:val="single"/>
        </w:rPr>
        <w:lastRenderedPageBreak/>
        <w:t>NOC</w:t>
      </w:r>
      <w:r>
        <w:tab/>
        <w:t>EUR/65A24A5/1</w:t>
      </w:r>
    </w:p>
    <w:p w14:paraId="5D309612" w14:textId="77777777" w:rsidR="00D9665F" w:rsidRDefault="002160EC" w:rsidP="00E95CCD">
      <w:pPr>
        <w:pStyle w:val="ChapNo"/>
        <w:keepNext w:val="0"/>
        <w:keepLines w:val="0"/>
        <w:spacing w:before="240"/>
        <w:rPr>
          <w:b/>
          <w:bCs/>
          <w:caps/>
          <w:sz w:val="22"/>
          <w:szCs w:val="30"/>
        </w:rPr>
      </w:pPr>
      <w:bookmarkStart w:id="1" w:name="_Toc454442719"/>
      <w:bookmarkStart w:id="2" w:name="_Toc331055752"/>
      <w:r w:rsidRPr="00921CBB">
        <w:rPr>
          <w:rtl/>
        </w:rPr>
        <w:t xml:space="preserve">الفصـل </w:t>
      </w:r>
      <w:r w:rsidRPr="00921CBB">
        <w:t>IV</w:t>
      </w:r>
      <w:bookmarkEnd w:id="1"/>
      <w:bookmarkEnd w:id="2"/>
    </w:p>
    <w:p w14:paraId="2BFA1864" w14:textId="77777777" w:rsidR="00D9665F" w:rsidRDefault="002160EC" w:rsidP="00D9665F">
      <w:pPr>
        <w:pStyle w:val="Chaptitle"/>
      </w:pPr>
      <w:bookmarkStart w:id="3" w:name="_Toc454442720"/>
      <w:bookmarkStart w:id="4" w:name="_Toc331055753"/>
      <w:r>
        <w:rPr>
          <w:rtl/>
        </w:rPr>
        <w:t>التداخـلات</w:t>
      </w:r>
      <w:bookmarkEnd w:id="3"/>
      <w:bookmarkEnd w:id="4"/>
    </w:p>
    <w:p w14:paraId="348684BA" w14:textId="77777777" w:rsidR="00A83313" w:rsidRDefault="00A83313">
      <w:pPr>
        <w:pStyle w:val="Reasons"/>
      </w:pPr>
    </w:p>
    <w:p w14:paraId="279EA997" w14:textId="77777777" w:rsidR="00A83313" w:rsidRDefault="00A87055">
      <w:pPr>
        <w:pStyle w:val="Proposal"/>
      </w:pPr>
      <w:r>
        <w:rPr>
          <w:u w:val="single"/>
        </w:rPr>
        <w:t>NOC</w:t>
      </w:r>
      <w:r>
        <w:tab/>
        <w:t>EUR/65A24A5/2</w:t>
      </w:r>
    </w:p>
    <w:p w14:paraId="0CDCCD6A" w14:textId="77777777" w:rsidR="00D9665F" w:rsidRDefault="002160EC" w:rsidP="00E95CCD">
      <w:pPr>
        <w:pStyle w:val="ChapNo"/>
        <w:keepNext w:val="0"/>
        <w:keepLines w:val="0"/>
        <w:spacing w:before="240"/>
        <w:rPr>
          <w:b/>
          <w:bCs/>
          <w:caps/>
          <w:sz w:val="22"/>
          <w:szCs w:val="30"/>
        </w:rPr>
      </w:pPr>
      <w:bookmarkStart w:id="5" w:name="_Toc454442725"/>
      <w:bookmarkStart w:id="6" w:name="_Toc331055758"/>
      <w:r w:rsidRPr="00921CBB">
        <w:rPr>
          <w:rtl/>
        </w:rPr>
        <w:t xml:space="preserve">الفصـل </w:t>
      </w:r>
      <w:r w:rsidRPr="00921CBB">
        <w:t>V</w:t>
      </w:r>
      <w:bookmarkEnd w:id="5"/>
      <w:bookmarkEnd w:id="6"/>
    </w:p>
    <w:p w14:paraId="0DC120E5" w14:textId="77777777" w:rsidR="00D9665F" w:rsidRDefault="002160EC" w:rsidP="00372EF3">
      <w:pPr>
        <w:pStyle w:val="Chaptitle"/>
        <w:keepNext w:val="0"/>
      </w:pPr>
      <w:bookmarkStart w:id="7" w:name="_Toc454442726"/>
      <w:bookmarkStart w:id="8" w:name="_Toc331055759"/>
      <w:r>
        <w:rPr>
          <w:rtl/>
        </w:rPr>
        <w:t>أحـكام إداريـة</w:t>
      </w:r>
      <w:bookmarkEnd w:id="7"/>
      <w:bookmarkEnd w:id="8"/>
    </w:p>
    <w:p w14:paraId="4517AC4F" w14:textId="77777777" w:rsidR="00A83313" w:rsidRDefault="00A83313">
      <w:pPr>
        <w:pStyle w:val="Reasons"/>
      </w:pPr>
    </w:p>
    <w:p w14:paraId="383A389A" w14:textId="77777777" w:rsidR="00A83313" w:rsidRDefault="00A87055">
      <w:pPr>
        <w:pStyle w:val="Proposal"/>
      </w:pPr>
      <w:r>
        <w:rPr>
          <w:u w:val="single"/>
        </w:rPr>
        <w:t>NOC</w:t>
      </w:r>
      <w:r>
        <w:tab/>
        <w:t>EUR/65A24A5/3</w:t>
      </w:r>
    </w:p>
    <w:p w14:paraId="2C9A46FC" w14:textId="77777777" w:rsidR="00D9665F" w:rsidRPr="00480ABB" w:rsidRDefault="002160EC" w:rsidP="00E95CCD">
      <w:pPr>
        <w:pStyle w:val="ChapNo"/>
        <w:keepNext w:val="0"/>
        <w:keepLines w:val="0"/>
        <w:spacing w:before="240"/>
      </w:pPr>
      <w:bookmarkStart w:id="9" w:name="_Toc454442735"/>
      <w:bookmarkStart w:id="10" w:name="_Toc331055768"/>
      <w:r w:rsidRPr="00480ABB">
        <w:rPr>
          <w:rtl/>
        </w:rPr>
        <w:t xml:space="preserve">الفصـل </w:t>
      </w:r>
      <w:r w:rsidRPr="00480ABB">
        <w:t>VI</w:t>
      </w:r>
      <w:bookmarkEnd w:id="9"/>
      <w:bookmarkEnd w:id="10"/>
    </w:p>
    <w:p w14:paraId="35A1FFA0" w14:textId="77777777" w:rsidR="00D9665F" w:rsidRDefault="002160EC" w:rsidP="00D9665F">
      <w:pPr>
        <w:pStyle w:val="Chaptitle"/>
      </w:pPr>
      <w:bookmarkStart w:id="11" w:name="_Toc454442736"/>
      <w:bookmarkStart w:id="12" w:name="_Toc331055769"/>
      <w:r w:rsidRPr="00480ABB">
        <w:rPr>
          <w:rtl/>
        </w:rPr>
        <w:t>أحكام خاصة بالخدمات والمحطات</w:t>
      </w:r>
      <w:bookmarkEnd w:id="11"/>
      <w:bookmarkEnd w:id="12"/>
    </w:p>
    <w:p w14:paraId="22D85AF1" w14:textId="77777777" w:rsidR="00A83313" w:rsidRDefault="00A83313">
      <w:pPr>
        <w:pStyle w:val="Reasons"/>
      </w:pPr>
    </w:p>
    <w:p w14:paraId="6125A3C5" w14:textId="77777777" w:rsidR="00A83313" w:rsidRDefault="00A87055">
      <w:pPr>
        <w:pStyle w:val="Proposal"/>
      </w:pPr>
      <w:r>
        <w:rPr>
          <w:u w:val="single"/>
        </w:rPr>
        <w:t>NOC</w:t>
      </w:r>
      <w:r>
        <w:tab/>
        <w:t>EUR/65A24A5/4</w:t>
      </w:r>
    </w:p>
    <w:p w14:paraId="7C089CB2" w14:textId="77777777" w:rsidR="00D9665F" w:rsidRPr="00CF0F3D" w:rsidRDefault="002160EC" w:rsidP="00E95CCD">
      <w:pPr>
        <w:pStyle w:val="ChapNo"/>
        <w:keepNext w:val="0"/>
        <w:keepLines w:val="0"/>
        <w:spacing w:before="240"/>
        <w:rPr>
          <w:rtl/>
        </w:rPr>
      </w:pPr>
      <w:bookmarkStart w:id="13" w:name="_Toc454442769"/>
      <w:r w:rsidRPr="00CF0F3D">
        <w:rPr>
          <w:rtl/>
        </w:rPr>
        <w:t xml:space="preserve">الفصـل </w:t>
      </w:r>
      <w:r w:rsidRPr="00CF0F3D">
        <w:t>VIII</w:t>
      </w:r>
      <w:bookmarkEnd w:id="13"/>
    </w:p>
    <w:p w14:paraId="71705A96" w14:textId="77777777" w:rsidR="00D9665F" w:rsidRDefault="002160EC" w:rsidP="00D9665F">
      <w:pPr>
        <w:pStyle w:val="Chaptitle"/>
      </w:pPr>
      <w:bookmarkStart w:id="14" w:name="_Toc454442770"/>
      <w:bookmarkStart w:id="15" w:name="_Toc331055802"/>
      <w:r w:rsidRPr="00CF0F3D">
        <w:rPr>
          <w:rtl/>
        </w:rPr>
        <w:t>خدمات الطيران</w:t>
      </w:r>
      <w:bookmarkEnd w:id="14"/>
      <w:bookmarkEnd w:id="15"/>
    </w:p>
    <w:p w14:paraId="7E502B7E" w14:textId="5F0E0052" w:rsidR="00A83313" w:rsidRDefault="00A87055" w:rsidP="00876210">
      <w:pPr>
        <w:pStyle w:val="Reasons"/>
        <w:rPr>
          <w:rtl/>
          <w:lang w:bidi="ar-EG"/>
        </w:rPr>
      </w:pPr>
      <w:r>
        <w:rPr>
          <w:rtl/>
        </w:rPr>
        <w:t>الأسباب:</w:t>
      </w:r>
      <w:r>
        <w:tab/>
      </w:r>
      <w:r w:rsidR="00876210" w:rsidRPr="00876210">
        <w:rPr>
          <w:b w:val="0"/>
          <w:bCs w:val="0"/>
          <w:rtl/>
        </w:rPr>
        <w:t>بدأت الدراسات استجابة</w:t>
      </w:r>
      <w:r w:rsidR="00793395">
        <w:rPr>
          <w:rFonts w:hint="cs"/>
          <w:b w:val="0"/>
          <w:bCs w:val="0"/>
          <w:rtl/>
        </w:rPr>
        <w:t>ً</w:t>
      </w:r>
      <w:r w:rsidR="00876210" w:rsidRPr="00876210">
        <w:rPr>
          <w:b w:val="0"/>
          <w:bCs w:val="0"/>
          <w:rtl/>
        </w:rPr>
        <w:t xml:space="preserve"> للقرار </w:t>
      </w:r>
      <w:r w:rsidR="00876210" w:rsidRPr="00876210">
        <w:rPr>
          <w:rtl/>
        </w:rPr>
        <w:t>(</w:t>
      </w:r>
      <w:r w:rsidR="00876210" w:rsidRPr="00876210">
        <w:rPr>
          <w:lang w:bidi="ar-EG"/>
        </w:rPr>
        <w:t>WRC-19</w:t>
      </w:r>
      <w:r w:rsidR="00876210" w:rsidRPr="00876210">
        <w:rPr>
          <w:rtl/>
        </w:rPr>
        <w:t>) 427</w:t>
      </w:r>
      <w:r w:rsidR="00876210" w:rsidRPr="00876210">
        <w:rPr>
          <w:rFonts w:hint="eastAsia"/>
          <w:b w:val="0"/>
          <w:bCs w:val="0"/>
          <w:rtl/>
        </w:rPr>
        <w:t>،</w:t>
      </w:r>
      <w:r w:rsidR="00876210" w:rsidRPr="00876210">
        <w:rPr>
          <w:b w:val="0"/>
          <w:bCs w:val="0"/>
          <w:rtl/>
        </w:rPr>
        <w:t xml:space="preserve"> داخل قطاع الاتصالات الراديوية في نوفمبر 2022</w:t>
      </w:r>
      <w:r w:rsidR="00876210" w:rsidRPr="00876210">
        <w:rPr>
          <w:rFonts w:hint="eastAsia"/>
          <w:b w:val="0"/>
          <w:bCs w:val="0"/>
          <w:rtl/>
        </w:rPr>
        <w:t>،</w:t>
      </w:r>
      <w:r w:rsidR="00876210" w:rsidRPr="00876210">
        <w:rPr>
          <w:b w:val="0"/>
          <w:bCs w:val="0"/>
          <w:rtl/>
        </w:rPr>
        <w:t xml:space="preserve"> </w:t>
      </w:r>
      <w:r w:rsidR="00876210" w:rsidRPr="00876210">
        <w:rPr>
          <w:rFonts w:hint="eastAsia"/>
          <w:b w:val="0"/>
          <w:bCs w:val="0"/>
          <w:rtl/>
        </w:rPr>
        <w:t>لكنها</w:t>
      </w:r>
      <w:r w:rsidR="00876210" w:rsidRPr="00876210">
        <w:rPr>
          <w:b w:val="0"/>
          <w:bCs w:val="0"/>
          <w:rtl/>
        </w:rPr>
        <w:t xml:space="preserve"> </w:t>
      </w:r>
      <w:r w:rsidR="00876210" w:rsidRPr="00876210">
        <w:rPr>
          <w:rFonts w:hint="eastAsia"/>
          <w:b w:val="0"/>
          <w:bCs w:val="0"/>
          <w:rtl/>
        </w:rPr>
        <w:t>لم</w:t>
      </w:r>
      <w:r w:rsidR="00876210" w:rsidRPr="00876210">
        <w:rPr>
          <w:b w:val="0"/>
          <w:bCs w:val="0"/>
          <w:rtl/>
        </w:rPr>
        <w:t xml:space="preserve"> </w:t>
      </w:r>
      <w:r w:rsidR="00876210" w:rsidRPr="00876210">
        <w:rPr>
          <w:rFonts w:hint="eastAsia"/>
          <w:b w:val="0"/>
          <w:bCs w:val="0"/>
          <w:rtl/>
        </w:rPr>
        <w:t>تبدأ</w:t>
      </w:r>
      <w:r w:rsidR="00876210" w:rsidRPr="00876210">
        <w:rPr>
          <w:b w:val="0"/>
          <w:bCs w:val="0"/>
          <w:rtl/>
        </w:rPr>
        <w:t xml:space="preserve"> </w:t>
      </w:r>
      <w:r w:rsidR="00876210" w:rsidRPr="00876210">
        <w:rPr>
          <w:rFonts w:hint="eastAsia"/>
          <w:b w:val="0"/>
          <w:bCs w:val="0"/>
          <w:rtl/>
        </w:rPr>
        <w:t>بعد</w:t>
      </w:r>
      <w:r w:rsidR="00876210" w:rsidRPr="00876210">
        <w:rPr>
          <w:b w:val="0"/>
          <w:bCs w:val="0"/>
          <w:rtl/>
        </w:rPr>
        <w:t xml:space="preserve"> </w:t>
      </w:r>
      <w:r w:rsidR="00876210" w:rsidRPr="00876210">
        <w:rPr>
          <w:rFonts w:hint="eastAsia"/>
          <w:b w:val="0"/>
          <w:bCs w:val="0"/>
          <w:rtl/>
        </w:rPr>
        <w:t>في</w:t>
      </w:r>
      <w:r w:rsidR="00876210" w:rsidRPr="00876210">
        <w:rPr>
          <w:b w:val="0"/>
          <w:bCs w:val="0"/>
          <w:rtl/>
        </w:rPr>
        <w:t xml:space="preserve"> منظمة الطيران المدني الدولي، وبالتالي </w:t>
      </w:r>
      <w:r w:rsidR="00D872D0">
        <w:rPr>
          <w:rFonts w:hint="cs"/>
          <w:b w:val="0"/>
          <w:bCs w:val="0"/>
          <w:rtl/>
        </w:rPr>
        <w:t>لم تصل الدراسات إلى درجة</w:t>
      </w:r>
      <w:r w:rsidR="00876210" w:rsidRPr="00876210">
        <w:rPr>
          <w:b w:val="0"/>
          <w:bCs w:val="0"/>
          <w:rtl/>
        </w:rPr>
        <w:t xml:space="preserve"> </w:t>
      </w:r>
      <w:r w:rsidR="00D872D0">
        <w:rPr>
          <w:rFonts w:hint="cs"/>
          <w:b w:val="0"/>
          <w:bCs w:val="0"/>
          <w:rtl/>
        </w:rPr>
        <w:t>ال</w:t>
      </w:r>
      <w:r w:rsidR="00876210" w:rsidRPr="00876210">
        <w:rPr>
          <w:b w:val="0"/>
          <w:bCs w:val="0"/>
          <w:rtl/>
        </w:rPr>
        <w:t xml:space="preserve">نضج </w:t>
      </w:r>
      <w:r w:rsidR="00D872D0">
        <w:rPr>
          <w:rFonts w:hint="cs"/>
          <w:b w:val="0"/>
          <w:bCs w:val="0"/>
          <w:rtl/>
        </w:rPr>
        <w:t>الكافي</w:t>
      </w:r>
      <w:r w:rsidR="00876210" w:rsidRPr="00876210">
        <w:rPr>
          <w:b w:val="0"/>
          <w:bCs w:val="0"/>
          <w:rtl/>
        </w:rPr>
        <w:t xml:space="preserve"> لتبرير أي تغيير خلال المؤتمر </w:t>
      </w:r>
      <w:r w:rsidR="00876210" w:rsidRPr="00876210">
        <w:rPr>
          <w:b w:val="0"/>
          <w:bCs w:val="0"/>
          <w:lang w:bidi="ar-EG"/>
        </w:rPr>
        <w:t>WRC</w:t>
      </w:r>
      <w:r w:rsidR="003346EA">
        <w:rPr>
          <w:b w:val="0"/>
          <w:bCs w:val="0"/>
          <w:lang w:bidi="ar-EG"/>
        </w:rPr>
        <w:noBreakHyphen/>
      </w:r>
      <w:r w:rsidR="00876210" w:rsidRPr="00876210">
        <w:rPr>
          <w:b w:val="0"/>
          <w:bCs w:val="0"/>
          <w:lang w:bidi="ar-EG"/>
        </w:rPr>
        <w:t>23</w:t>
      </w:r>
      <w:r w:rsidR="00D872D0">
        <w:rPr>
          <w:rFonts w:hint="cs"/>
          <w:b w:val="0"/>
          <w:bCs w:val="0"/>
          <w:rtl/>
          <w:lang w:bidi="ar-EG"/>
        </w:rPr>
        <w:t>.</w:t>
      </w:r>
    </w:p>
    <w:p w14:paraId="64A17C7A" w14:textId="77777777" w:rsidR="00A83313" w:rsidRDefault="00A87055">
      <w:pPr>
        <w:pStyle w:val="Proposal"/>
      </w:pPr>
      <w:r>
        <w:t>SUP</w:t>
      </w:r>
      <w:r>
        <w:tab/>
        <w:t>EUR/65A24A5/5</w:t>
      </w:r>
    </w:p>
    <w:p w14:paraId="22315054" w14:textId="77777777" w:rsidR="00A87055" w:rsidRPr="00FE2CFF" w:rsidRDefault="00A87055" w:rsidP="00CC2AA9">
      <w:pPr>
        <w:pStyle w:val="ResNo"/>
      </w:pPr>
      <w:bookmarkStart w:id="16" w:name="_Toc36038387"/>
      <w:bookmarkStart w:id="17" w:name="_Toc40075862"/>
      <w:r w:rsidRPr="00FE2CFF">
        <w:rPr>
          <w:rFonts w:hint="cs"/>
          <w:rtl/>
        </w:rPr>
        <w:t xml:space="preserve">القرار </w:t>
      </w:r>
      <w:r>
        <w:rPr>
          <w:rStyle w:val="href"/>
        </w:rPr>
        <w:t>427</w:t>
      </w:r>
      <w:r w:rsidRPr="00FE2CFF">
        <w:rPr>
          <w:lang w:val="en-GB"/>
        </w:rPr>
        <w:t xml:space="preserve"> (WRC-19)</w:t>
      </w:r>
      <w:bookmarkEnd w:id="16"/>
      <w:bookmarkEnd w:id="17"/>
    </w:p>
    <w:p w14:paraId="58E37198" w14:textId="77777777" w:rsidR="00A87055" w:rsidRPr="00FE2CFF" w:rsidRDefault="00A87055" w:rsidP="00CC2AA9">
      <w:pPr>
        <w:pStyle w:val="Restitle"/>
        <w:rPr>
          <w:lang w:bidi="ar-EG"/>
        </w:rPr>
      </w:pPr>
      <w:bookmarkStart w:id="18" w:name="_Toc36038388"/>
      <w:bookmarkStart w:id="19" w:name="_Toc40075863"/>
      <w:r w:rsidRPr="00FE2CFF">
        <w:rPr>
          <w:rtl/>
          <w:lang w:bidi="ar-EG"/>
        </w:rPr>
        <w:t>تحديث الأحكام المتعلقة بخدمات الطيران في لوائح الراديو</w:t>
      </w:r>
      <w:bookmarkEnd w:id="18"/>
      <w:bookmarkEnd w:id="19"/>
    </w:p>
    <w:p w14:paraId="44ED06DD" w14:textId="43950DF0" w:rsidR="00A83313" w:rsidRDefault="00A87055" w:rsidP="00876210">
      <w:pPr>
        <w:pStyle w:val="Reasons"/>
        <w:rPr>
          <w:b w:val="0"/>
          <w:bCs w:val="0"/>
          <w:rtl/>
        </w:rPr>
      </w:pPr>
      <w:r>
        <w:rPr>
          <w:rtl/>
        </w:rPr>
        <w:t>الأسباب:</w:t>
      </w:r>
      <w:r>
        <w:tab/>
      </w:r>
      <w:r w:rsidR="00D872D0" w:rsidRPr="00D872D0">
        <w:rPr>
          <w:rFonts w:hint="cs"/>
          <w:b w:val="0"/>
          <w:bCs w:val="0"/>
          <w:rtl/>
        </w:rPr>
        <w:t>يمكن النظر في</w:t>
      </w:r>
      <w:r w:rsidR="00D872D0">
        <w:rPr>
          <w:rFonts w:hint="cs"/>
          <w:rtl/>
        </w:rPr>
        <w:t xml:space="preserve"> </w:t>
      </w:r>
      <w:r w:rsidR="00876210" w:rsidRPr="00876210">
        <w:rPr>
          <w:b w:val="0"/>
          <w:bCs w:val="0"/>
          <w:rtl/>
        </w:rPr>
        <w:t xml:space="preserve">وضع قرار جديد </w:t>
      </w:r>
      <w:r w:rsidR="00876210" w:rsidRPr="00876210">
        <w:rPr>
          <w:rFonts w:hint="eastAsia"/>
          <w:b w:val="0"/>
          <w:bCs w:val="0"/>
          <w:rtl/>
        </w:rPr>
        <w:t>بشأن</w:t>
      </w:r>
      <w:r w:rsidR="00876210" w:rsidRPr="00876210">
        <w:rPr>
          <w:b w:val="0"/>
          <w:bCs w:val="0"/>
          <w:rtl/>
        </w:rPr>
        <w:t xml:space="preserve"> بند جديد محتمل في جدول أعمال المؤتمر </w:t>
      </w:r>
      <w:r w:rsidR="00876210" w:rsidRPr="00876210">
        <w:rPr>
          <w:b w:val="0"/>
          <w:bCs w:val="0"/>
        </w:rPr>
        <w:t>WRC-27</w:t>
      </w:r>
      <w:r w:rsidR="00876210" w:rsidRPr="00876210">
        <w:rPr>
          <w:rFonts w:hint="eastAsia"/>
          <w:b w:val="0"/>
          <w:bCs w:val="0"/>
          <w:rtl/>
        </w:rPr>
        <w:t>،</w:t>
      </w:r>
      <w:r w:rsidR="00876210" w:rsidRPr="00876210">
        <w:rPr>
          <w:b w:val="0"/>
          <w:bCs w:val="0"/>
          <w:rtl/>
        </w:rPr>
        <w:t xml:space="preserve"> ليحل محل القرار </w:t>
      </w:r>
      <w:r w:rsidR="00876210" w:rsidRPr="00876210">
        <w:rPr>
          <w:rtl/>
        </w:rPr>
        <w:t>(</w:t>
      </w:r>
      <w:r w:rsidR="00876210" w:rsidRPr="00876210">
        <w:t>WRC-19</w:t>
      </w:r>
      <w:r w:rsidR="00876210" w:rsidRPr="00876210">
        <w:rPr>
          <w:rtl/>
        </w:rPr>
        <w:t>) 427</w:t>
      </w:r>
      <w:r w:rsidR="00876210" w:rsidRPr="00876210">
        <w:rPr>
          <w:b w:val="0"/>
          <w:bCs w:val="0"/>
          <w:rtl/>
        </w:rPr>
        <w:t xml:space="preserve"> بنطاق أكثر تركيز</w:t>
      </w:r>
      <w:r w:rsidR="00876210" w:rsidRPr="00876210">
        <w:rPr>
          <w:rFonts w:hint="eastAsia"/>
          <w:b w:val="0"/>
          <w:bCs w:val="0"/>
          <w:rtl/>
        </w:rPr>
        <w:t>اً</w:t>
      </w:r>
      <w:r w:rsidR="00876210" w:rsidRPr="00876210">
        <w:rPr>
          <w:b w:val="0"/>
          <w:bCs w:val="0"/>
          <w:rtl/>
        </w:rPr>
        <w:t xml:space="preserve"> مع مراعاة التقدم المحرز في الدراسات التي يُضطلع بها داخل قطاع الاتصالات الراديوية.</w:t>
      </w:r>
    </w:p>
    <w:p w14:paraId="76BB3E08" w14:textId="58FF8924" w:rsidR="00876210" w:rsidRPr="008B7875" w:rsidRDefault="008B7875" w:rsidP="003346EA">
      <w:pPr>
        <w:tabs>
          <w:tab w:val="clear" w:pos="1134"/>
          <w:tab w:val="clear" w:pos="1871"/>
          <w:tab w:val="clear" w:pos="2268"/>
          <w:tab w:val="left" w:pos="794"/>
        </w:tabs>
        <w:spacing w:before="600"/>
        <w:jc w:val="center"/>
        <w:rPr>
          <w:rFonts w:eastAsia="SimSun"/>
          <w:lang w:eastAsia="zh-CN" w:bidi="ar-EG"/>
        </w:rPr>
      </w:pPr>
      <w:r w:rsidRPr="008B7875">
        <w:rPr>
          <w:rFonts w:eastAsia="SimSun" w:hint="cs"/>
          <w:rtl/>
          <w:lang w:eastAsia="zh-CN" w:bidi="ar-EG"/>
        </w:rPr>
        <w:t>ــــــــــــــــــــــــــــــــــــــــــــــــــــــــــــــــــــــــــــــــــــــــــــــــ</w:t>
      </w:r>
    </w:p>
    <w:sectPr w:rsidR="00876210" w:rsidRPr="008B787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C16B" w14:textId="77777777" w:rsidR="001A6F04" w:rsidRDefault="001A6F04" w:rsidP="002919E1">
      <w:r>
        <w:separator/>
      </w:r>
    </w:p>
    <w:p w14:paraId="084AF6F2" w14:textId="77777777" w:rsidR="001A6F04" w:rsidRDefault="001A6F04" w:rsidP="002919E1"/>
    <w:p w14:paraId="3EF069EC" w14:textId="77777777" w:rsidR="001A6F04" w:rsidRDefault="001A6F04" w:rsidP="002919E1"/>
    <w:p w14:paraId="281C4B91" w14:textId="77777777" w:rsidR="001A6F04" w:rsidRDefault="001A6F04"/>
    <w:p w14:paraId="608BC26E" w14:textId="77777777" w:rsidR="001A6F04" w:rsidRDefault="001A6F04"/>
  </w:endnote>
  <w:endnote w:type="continuationSeparator" w:id="0">
    <w:p w14:paraId="0B8BC472" w14:textId="77777777" w:rsidR="001A6F04" w:rsidRDefault="001A6F04" w:rsidP="002919E1">
      <w:r>
        <w:continuationSeparator/>
      </w:r>
    </w:p>
    <w:p w14:paraId="0BFC0F07" w14:textId="77777777" w:rsidR="001A6F04" w:rsidRDefault="001A6F04" w:rsidP="002919E1"/>
    <w:p w14:paraId="5FD92934" w14:textId="77777777" w:rsidR="001A6F04" w:rsidRDefault="001A6F04" w:rsidP="002919E1"/>
    <w:p w14:paraId="290E896F" w14:textId="77777777" w:rsidR="001A6F04" w:rsidRDefault="001A6F04"/>
    <w:p w14:paraId="2DBB1D20"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6AE5" w14:textId="38147FE4" w:rsidR="00D63A6F" w:rsidRPr="00D63A6F" w:rsidRDefault="00D63A6F" w:rsidP="008B7875">
    <w:pPr>
      <w:pStyle w:val="Footer"/>
      <w:tabs>
        <w:tab w:val="center" w:pos="5103"/>
        <w:tab w:val="right" w:pos="9639"/>
      </w:tabs>
      <w:bidi w:val="0"/>
      <w:spacing w:before="120"/>
      <w:rPr>
        <w:sz w:val="16"/>
        <w:szCs w:val="16"/>
      </w:rPr>
    </w:pPr>
    <w:r w:rsidRPr="0026373E">
      <w:rPr>
        <w:sz w:val="16"/>
        <w:szCs w:val="16"/>
        <w:lang w:val="fr-FR"/>
      </w:rPr>
      <w:fldChar w:fldCharType="begin"/>
    </w:r>
    <w:r w:rsidRPr="00A87055">
      <w:rPr>
        <w:sz w:val="16"/>
        <w:szCs w:val="16"/>
        <w:lang w:val="en-GB"/>
      </w:rPr>
      <w:instrText xml:space="preserve"> FILENAME \p \* MERGEFORMAT </w:instrText>
    </w:r>
    <w:r w:rsidRPr="0026373E">
      <w:rPr>
        <w:sz w:val="16"/>
        <w:szCs w:val="16"/>
        <w:lang w:val="fr-FR"/>
      </w:rPr>
      <w:fldChar w:fldCharType="separate"/>
    </w:r>
    <w:r w:rsidR="008B7875">
      <w:rPr>
        <w:noProof/>
        <w:sz w:val="16"/>
        <w:szCs w:val="16"/>
        <w:lang w:val="en-GB"/>
      </w:rPr>
      <w:t>P:\ARA\ITU-R\CONF-R\CMR23\000\065ADD24ADD05A.docx</w:t>
    </w:r>
    <w:r w:rsidRPr="0026373E">
      <w:rPr>
        <w:sz w:val="16"/>
        <w:szCs w:val="16"/>
      </w:rPr>
      <w:fldChar w:fldCharType="end"/>
    </w:r>
    <w:proofErr w:type="gramStart"/>
    <w:r w:rsidRPr="0026373E">
      <w:rPr>
        <w:sz w:val="16"/>
        <w:szCs w:val="16"/>
      </w:rPr>
      <w:t xml:space="preserve">  </w:t>
    </w:r>
    <w:r w:rsidRPr="00A87055">
      <w:rPr>
        <w:sz w:val="16"/>
        <w:szCs w:val="16"/>
        <w:lang w:val="en-GB"/>
      </w:rPr>
      <w:t xml:space="preserve"> (</w:t>
    </w:r>
    <w:proofErr w:type="gramEnd"/>
    <w:r w:rsidR="008B7875" w:rsidRPr="008B7875">
      <w:rPr>
        <w:sz w:val="16"/>
        <w:szCs w:val="16"/>
        <w:lang w:val="en-GB"/>
      </w:rPr>
      <w:t>528863</w:t>
    </w:r>
    <w:r w:rsidRPr="00A87055">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049D" w14:textId="77777777" w:rsidR="004D77BE" w:rsidRDefault="004D7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0EDF" w14:textId="53C9EB5D" w:rsidR="00A87055" w:rsidRPr="00D63A6F" w:rsidRDefault="00A87055" w:rsidP="00A87055">
    <w:pPr>
      <w:pStyle w:val="Footer"/>
      <w:tabs>
        <w:tab w:val="center" w:pos="5103"/>
        <w:tab w:val="right" w:pos="9639"/>
      </w:tabs>
      <w:bidi w:val="0"/>
      <w:spacing w:before="120"/>
      <w:rPr>
        <w:sz w:val="16"/>
        <w:szCs w:val="16"/>
      </w:rPr>
    </w:pPr>
    <w:r w:rsidRPr="0026373E">
      <w:rPr>
        <w:sz w:val="16"/>
        <w:szCs w:val="16"/>
        <w:lang w:val="fr-FR"/>
      </w:rPr>
      <w:fldChar w:fldCharType="begin"/>
    </w:r>
    <w:r w:rsidRPr="00A87055">
      <w:rPr>
        <w:sz w:val="16"/>
        <w:szCs w:val="16"/>
        <w:lang w:val="en-GB"/>
      </w:rPr>
      <w:instrText xml:space="preserve"> FILENAME \p \* MERGEFORMAT </w:instrText>
    </w:r>
    <w:r w:rsidRPr="0026373E">
      <w:rPr>
        <w:sz w:val="16"/>
        <w:szCs w:val="16"/>
        <w:lang w:val="fr-FR"/>
      </w:rPr>
      <w:fldChar w:fldCharType="separate"/>
    </w:r>
    <w:r w:rsidR="00777F50">
      <w:rPr>
        <w:noProof/>
        <w:sz w:val="16"/>
        <w:szCs w:val="16"/>
        <w:lang w:val="en-GB"/>
      </w:rPr>
      <w:t>P:\ARA\ITU-R\CONF-R\CMR23\000\065ADD24ADD05A.docx</w:t>
    </w:r>
    <w:r w:rsidRPr="0026373E">
      <w:rPr>
        <w:sz w:val="16"/>
        <w:szCs w:val="16"/>
      </w:rPr>
      <w:fldChar w:fldCharType="end"/>
    </w:r>
    <w:proofErr w:type="gramStart"/>
    <w:r w:rsidRPr="0026373E">
      <w:rPr>
        <w:sz w:val="16"/>
        <w:szCs w:val="16"/>
      </w:rPr>
      <w:t xml:space="preserve">  </w:t>
    </w:r>
    <w:r w:rsidRPr="00A87055">
      <w:rPr>
        <w:sz w:val="16"/>
        <w:szCs w:val="16"/>
        <w:lang w:val="en-GB"/>
      </w:rPr>
      <w:t xml:space="preserve"> (</w:t>
    </w:r>
    <w:proofErr w:type="gramEnd"/>
    <w:r w:rsidR="008B7875" w:rsidRPr="008B7875">
      <w:rPr>
        <w:sz w:val="16"/>
        <w:szCs w:val="16"/>
        <w:lang w:val="en-GB"/>
      </w:rPr>
      <w:t>528863</w:t>
    </w:r>
    <w:r w:rsidRPr="00A87055">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B805" w14:textId="77777777" w:rsidR="001A6F04" w:rsidRDefault="001A6F04" w:rsidP="00C45930">
      <w:r>
        <w:separator/>
      </w:r>
    </w:p>
  </w:footnote>
  <w:footnote w:type="continuationSeparator" w:id="0">
    <w:p w14:paraId="1C6EAF75" w14:textId="77777777" w:rsidR="001A6F04" w:rsidRDefault="001A6F04" w:rsidP="002919E1">
      <w:r>
        <w:continuationSeparator/>
      </w:r>
    </w:p>
    <w:p w14:paraId="5D4DD2F3" w14:textId="77777777" w:rsidR="001A6F04" w:rsidRDefault="001A6F04" w:rsidP="002919E1"/>
    <w:p w14:paraId="0DA29E01" w14:textId="77777777" w:rsidR="001A6F04" w:rsidRDefault="001A6F04" w:rsidP="002919E1"/>
    <w:p w14:paraId="32944B28" w14:textId="77777777" w:rsidR="001A6F04" w:rsidRDefault="001A6F04"/>
    <w:p w14:paraId="7E13F93F" w14:textId="77777777" w:rsidR="001A6F04" w:rsidRDefault="001A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9FE5" w14:textId="48744AB6" w:rsidR="00D63A6F" w:rsidRPr="008B7875" w:rsidRDefault="005E5F16" w:rsidP="008B7875">
    <w:pPr>
      <w:bidi w:val="0"/>
      <w:spacing w:after="360" w:line="240" w:lineRule="auto"/>
      <w:jc w:val="center"/>
      <w:rPr>
        <w:sz w:val="20"/>
        <w:szCs w:val="20"/>
      </w:rPr>
    </w:pPr>
    <w:r w:rsidRPr="008B7875">
      <w:rPr>
        <w:rStyle w:val="PageNumber"/>
        <w:rFonts w:ascii="Dubai" w:hAnsi="Dubai" w:cs="Dubai"/>
      </w:rPr>
      <w:fldChar w:fldCharType="begin"/>
    </w:r>
    <w:r w:rsidRPr="008B7875">
      <w:rPr>
        <w:rStyle w:val="PageNumber"/>
        <w:rFonts w:ascii="Dubai" w:hAnsi="Dubai" w:cs="Dubai"/>
      </w:rPr>
      <w:instrText xml:space="preserve"> PAGE </w:instrText>
    </w:r>
    <w:r w:rsidRPr="008B7875">
      <w:rPr>
        <w:rStyle w:val="PageNumber"/>
        <w:rFonts w:ascii="Dubai" w:hAnsi="Dubai" w:cs="Dubai"/>
      </w:rPr>
      <w:fldChar w:fldCharType="separate"/>
    </w:r>
    <w:r w:rsidRPr="008B7875">
      <w:rPr>
        <w:rStyle w:val="PageNumber"/>
        <w:rFonts w:ascii="Dubai" w:hAnsi="Dubai" w:cs="Dubai"/>
      </w:rPr>
      <w:t>2</w:t>
    </w:r>
    <w:r w:rsidRPr="008B7875">
      <w:rPr>
        <w:rStyle w:val="PageNumber"/>
        <w:rFonts w:ascii="Dubai" w:hAnsi="Dubai" w:cs="Dubai"/>
      </w:rPr>
      <w:fldChar w:fldCharType="end"/>
    </w:r>
    <w:r w:rsidRPr="008B7875">
      <w:rPr>
        <w:rStyle w:val="PageNumber"/>
        <w:rFonts w:ascii="Dubai" w:hAnsi="Dubai" w:cs="Dubai"/>
        <w:rtl/>
      </w:rPr>
      <w:br/>
    </w:r>
    <w:r w:rsidR="004F5F29" w:rsidRPr="008B7875">
      <w:rPr>
        <w:rStyle w:val="PageNumber"/>
        <w:rFonts w:ascii="Dubai" w:hAnsi="Dubai" w:cs="Dubai"/>
      </w:rPr>
      <w:t>WRC</w:t>
    </w:r>
    <w:r w:rsidRPr="008B7875">
      <w:rPr>
        <w:rStyle w:val="PageNumber"/>
        <w:rFonts w:ascii="Dubai" w:hAnsi="Dubai" w:cs="Dubai"/>
      </w:rPr>
      <w:t>23/65(Add.24)(Add.5)-A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077B" w14:textId="77777777" w:rsidR="004D77BE" w:rsidRDefault="004D7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BD16" w14:textId="77777777" w:rsidR="004D77BE" w:rsidRDefault="004D7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F0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BEF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E4D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6C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42646030">
    <w:abstractNumId w:val="9"/>
  </w:num>
  <w:num w:numId="2" w16cid:durableId="1749813420">
    <w:abstractNumId w:val="13"/>
  </w:num>
  <w:num w:numId="3" w16cid:durableId="1477575167">
    <w:abstractNumId w:val="11"/>
  </w:num>
  <w:num w:numId="4" w16cid:durableId="1340738160">
    <w:abstractNumId w:val="14"/>
  </w:num>
  <w:num w:numId="5" w16cid:durableId="265160677">
    <w:abstractNumId w:val="7"/>
  </w:num>
  <w:num w:numId="6" w16cid:durableId="763262317">
    <w:abstractNumId w:val="6"/>
  </w:num>
  <w:num w:numId="7" w16cid:durableId="1526291269">
    <w:abstractNumId w:val="5"/>
  </w:num>
  <w:num w:numId="8" w16cid:durableId="111872566">
    <w:abstractNumId w:val="4"/>
  </w:num>
  <w:num w:numId="9" w16cid:durableId="1868374326">
    <w:abstractNumId w:val="8"/>
  </w:num>
  <w:num w:numId="10" w16cid:durableId="1518621160">
    <w:abstractNumId w:val="3"/>
  </w:num>
  <w:num w:numId="11" w16cid:durableId="301277380">
    <w:abstractNumId w:val="2"/>
  </w:num>
  <w:num w:numId="12" w16cid:durableId="1703044641">
    <w:abstractNumId w:val="1"/>
  </w:num>
  <w:num w:numId="13" w16cid:durableId="374887391">
    <w:abstractNumId w:val="0"/>
  </w:num>
  <w:num w:numId="14" w16cid:durableId="1550340937">
    <w:abstractNumId w:val="10"/>
  </w:num>
  <w:num w:numId="15" w16cid:durableId="449664873">
    <w:abstractNumId w:val="15"/>
  </w:num>
  <w:num w:numId="16" w16cid:durableId="126628446">
    <w:abstractNumId w:val="12"/>
  </w:num>
  <w:num w:numId="17" w16cid:durableId="827138429">
    <w:abstractNumId w:val="6"/>
  </w:num>
  <w:num w:numId="18" w16cid:durableId="1690445195">
    <w:abstractNumId w:val="5"/>
  </w:num>
  <w:num w:numId="19" w16cid:durableId="1010718779">
    <w:abstractNumId w:val="3"/>
  </w:num>
  <w:num w:numId="20" w16cid:durableId="2124961761">
    <w:abstractNumId w:val="2"/>
  </w:num>
  <w:num w:numId="21" w16cid:durableId="1172179482">
    <w:abstractNumId w:val="6"/>
  </w:num>
  <w:num w:numId="22" w16cid:durableId="797258995">
    <w:abstractNumId w:val="5"/>
  </w:num>
  <w:num w:numId="23" w16cid:durableId="1815029879">
    <w:abstractNumId w:val="3"/>
  </w:num>
  <w:num w:numId="24" w16cid:durableId="1660765487">
    <w:abstractNumId w:val="2"/>
  </w:num>
  <w:num w:numId="25" w16cid:durableId="819035199">
    <w:abstractNumId w:val="6"/>
  </w:num>
  <w:num w:numId="26" w16cid:durableId="780808865">
    <w:abstractNumId w:val="5"/>
  </w:num>
  <w:num w:numId="27" w16cid:durableId="251477207">
    <w:abstractNumId w:val="3"/>
  </w:num>
  <w:num w:numId="28" w16cid:durableId="1906139649">
    <w:abstractNumId w:val="2"/>
  </w:num>
  <w:num w:numId="29" w16cid:durableId="612900520">
    <w:abstractNumId w:val="6"/>
  </w:num>
  <w:num w:numId="30" w16cid:durableId="864756418">
    <w:abstractNumId w:val="5"/>
  </w:num>
  <w:num w:numId="31" w16cid:durableId="1650741792">
    <w:abstractNumId w:val="3"/>
  </w:num>
  <w:num w:numId="32" w16cid:durableId="7870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2FBA"/>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46EA"/>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D77BE"/>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2253"/>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3C7"/>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77F50"/>
    <w:rsid w:val="00780283"/>
    <w:rsid w:val="00786A7E"/>
    <w:rsid w:val="00787D57"/>
    <w:rsid w:val="00791772"/>
    <w:rsid w:val="00791D16"/>
    <w:rsid w:val="00793395"/>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76210"/>
    <w:rsid w:val="00880DBE"/>
    <w:rsid w:val="0088384B"/>
    <w:rsid w:val="008927F5"/>
    <w:rsid w:val="00893E53"/>
    <w:rsid w:val="008A1137"/>
    <w:rsid w:val="008A1788"/>
    <w:rsid w:val="008A3E57"/>
    <w:rsid w:val="008A4185"/>
    <w:rsid w:val="008A6552"/>
    <w:rsid w:val="008B4E93"/>
    <w:rsid w:val="008B52B7"/>
    <w:rsid w:val="008B5C07"/>
    <w:rsid w:val="008B7875"/>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3313"/>
    <w:rsid w:val="00A86B29"/>
    <w:rsid w:val="00A87055"/>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412"/>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1D35"/>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872D0"/>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5CCD"/>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273B5"/>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c7e12e-9db7-4528-9d6d-522d09a59c4a" targetNamespace="http://schemas.microsoft.com/office/2006/metadata/properties" ma:root="true" ma:fieldsID="d41af5c836d734370eb92e7ee5f83852" ns2:_="" ns3:_="">
    <xsd:import namespace="996b2e75-67fd-4955-a3b0-5ab9934cb50b"/>
    <xsd:import namespace="4bc7e12e-9db7-4528-9d6d-522d09a59c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c7e12e-9db7-4528-9d6d-522d09a59c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PM_x0020_Author xmlns="4bc7e12e-9db7-4528-9d6d-522d09a59c4a">DPM</DPM_x0020_Author>
    <DPM_x0020_File_x0020_name xmlns="4bc7e12e-9db7-4528-9d6d-522d09a59c4a">R23-WRC23-C-0065!A24-A5!MSW-A</DPM_x0020_File_x0020_name>
    <DPM_x0020_Version xmlns="4bc7e12e-9db7-4528-9d6d-522d09a59c4a">DPM_2022.05.12.01</DPM_x0020_Version>
  </documentManagement>
</p:properties>
</file>

<file path=customXml/itemProps1.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c7e12e-9db7-4528-9d6d-522d09a59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6.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7e12e-9db7-4528-9d6d-522d09a59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R23-WRC23-C-0065!A24-A5!MSW-A</vt:lpstr>
    </vt:vector>
  </TitlesOfParts>
  <Manager>General Secretariat - Pool</Manager>
  <Company>International Telecommunication Union (ITU)</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R23-WRC23-C-0065!A24-A5!MSW-A</dc:title>
  <dc:creator>Documents Proposals Manager (DPM)</dc:creator>
  <cp:keywords>DPM_v2023.8.1.1_prod</cp:keywords>
  <cp:lastModifiedBy>Arabic-IR</cp:lastModifiedBy>
  <cp:revision>5</cp:revision>
  <cp:lastPrinted>2020-08-11T14:28:00Z</cp:lastPrinted>
  <dcterms:created xsi:type="dcterms:W3CDTF">2023-10-31T09:11:00Z</dcterms:created>
  <dcterms:modified xsi:type="dcterms:W3CDTF">2023-11-02T22:22:00Z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