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F3F33" w14:paraId="22BEDEDF" w14:textId="77777777" w:rsidTr="00C1305F">
        <w:trPr>
          <w:cantSplit/>
        </w:trPr>
        <w:tc>
          <w:tcPr>
            <w:tcW w:w="1418" w:type="dxa"/>
            <w:vAlign w:val="center"/>
          </w:tcPr>
          <w:p w14:paraId="6C9B9911" w14:textId="77777777" w:rsidR="00C1305F" w:rsidRPr="001F3F33" w:rsidRDefault="00C1305F" w:rsidP="00C1305F">
            <w:pPr>
              <w:spacing w:before="0" w:line="240" w:lineRule="atLeast"/>
              <w:rPr>
                <w:rFonts w:ascii="Verdana" w:hAnsi="Verdana"/>
                <w:b/>
                <w:bCs/>
                <w:sz w:val="20"/>
              </w:rPr>
            </w:pPr>
            <w:r w:rsidRPr="001F3F33">
              <w:rPr>
                <w:lang w:eastAsia="fr-CH"/>
              </w:rPr>
              <w:drawing>
                <wp:inline distT="0" distB="0" distL="0" distR="0" wp14:anchorId="143AD1A1" wp14:editId="2F88C16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84C0488" w14:textId="6B285EFB" w:rsidR="00C1305F" w:rsidRPr="001F3F33" w:rsidRDefault="00C1305F" w:rsidP="00F10064">
            <w:pPr>
              <w:spacing w:before="400" w:after="48" w:line="240" w:lineRule="atLeast"/>
              <w:rPr>
                <w:rFonts w:ascii="Verdana" w:hAnsi="Verdana"/>
                <w:b/>
                <w:bCs/>
                <w:sz w:val="20"/>
              </w:rPr>
            </w:pPr>
            <w:r w:rsidRPr="001F3F33">
              <w:rPr>
                <w:rFonts w:ascii="Verdana" w:hAnsi="Verdana"/>
                <w:b/>
                <w:bCs/>
                <w:sz w:val="20"/>
              </w:rPr>
              <w:t>Conférence mondiale des radiocommunications (CMR-23)</w:t>
            </w:r>
            <w:r w:rsidRPr="001F3F33">
              <w:rPr>
                <w:rFonts w:ascii="Verdana" w:hAnsi="Verdana"/>
                <w:b/>
                <w:bCs/>
                <w:sz w:val="20"/>
              </w:rPr>
              <w:br/>
            </w:r>
            <w:r w:rsidRPr="001F3F33">
              <w:rPr>
                <w:rFonts w:ascii="Verdana" w:hAnsi="Verdana"/>
                <w:b/>
                <w:bCs/>
                <w:sz w:val="18"/>
                <w:szCs w:val="18"/>
              </w:rPr>
              <w:t xml:space="preserve">Dubaï, 20 novembre </w:t>
            </w:r>
            <w:r w:rsidR="008462DA" w:rsidRPr="001F3F33">
              <w:rPr>
                <w:rFonts w:ascii="Verdana" w:hAnsi="Verdana"/>
                <w:b/>
                <w:bCs/>
                <w:sz w:val="18"/>
                <w:szCs w:val="18"/>
              </w:rPr>
              <w:t>–</w:t>
            </w:r>
            <w:r w:rsidRPr="001F3F33">
              <w:rPr>
                <w:rFonts w:ascii="Verdana" w:hAnsi="Verdana"/>
                <w:b/>
                <w:bCs/>
                <w:sz w:val="18"/>
                <w:szCs w:val="18"/>
              </w:rPr>
              <w:t xml:space="preserve"> 15 décembre 2023</w:t>
            </w:r>
          </w:p>
        </w:tc>
        <w:tc>
          <w:tcPr>
            <w:tcW w:w="1809" w:type="dxa"/>
            <w:vAlign w:val="center"/>
          </w:tcPr>
          <w:p w14:paraId="0756A9DB" w14:textId="77777777" w:rsidR="00C1305F" w:rsidRPr="001F3F33" w:rsidRDefault="00C1305F" w:rsidP="00C1305F">
            <w:pPr>
              <w:spacing w:before="0" w:line="240" w:lineRule="atLeast"/>
            </w:pPr>
            <w:bookmarkStart w:id="0" w:name="ditulogo"/>
            <w:bookmarkEnd w:id="0"/>
            <w:r w:rsidRPr="001F3F33">
              <w:rPr>
                <w:lang w:eastAsia="fr-CH"/>
              </w:rPr>
              <w:drawing>
                <wp:inline distT="0" distB="0" distL="0" distR="0" wp14:anchorId="2C70D4A1" wp14:editId="7F99E52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F3F33" w14:paraId="10BF2791" w14:textId="77777777" w:rsidTr="0050008E">
        <w:trPr>
          <w:cantSplit/>
        </w:trPr>
        <w:tc>
          <w:tcPr>
            <w:tcW w:w="6911" w:type="dxa"/>
            <w:gridSpan w:val="2"/>
            <w:tcBorders>
              <w:bottom w:val="single" w:sz="12" w:space="0" w:color="auto"/>
            </w:tcBorders>
          </w:tcPr>
          <w:p w14:paraId="0F78E037" w14:textId="77777777" w:rsidR="00BB1D82" w:rsidRPr="001F3F33"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2B3E513C" w14:textId="77777777" w:rsidR="00BB1D82" w:rsidRPr="001F3F33" w:rsidRDefault="00BB1D82" w:rsidP="00BB1D82">
            <w:pPr>
              <w:spacing w:before="0" w:line="240" w:lineRule="atLeast"/>
              <w:rPr>
                <w:rFonts w:ascii="Verdana" w:hAnsi="Verdana"/>
                <w:szCs w:val="24"/>
              </w:rPr>
            </w:pPr>
          </w:p>
        </w:tc>
      </w:tr>
      <w:tr w:rsidR="00BB1D82" w:rsidRPr="001F3F33" w14:paraId="4E385C1C" w14:textId="77777777" w:rsidTr="00BB1D82">
        <w:trPr>
          <w:cantSplit/>
        </w:trPr>
        <w:tc>
          <w:tcPr>
            <w:tcW w:w="6911" w:type="dxa"/>
            <w:gridSpan w:val="2"/>
            <w:tcBorders>
              <w:top w:val="single" w:sz="12" w:space="0" w:color="auto"/>
            </w:tcBorders>
          </w:tcPr>
          <w:p w14:paraId="105DA511" w14:textId="77777777" w:rsidR="00BB1D82" w:rsidRPr="001F3F33"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73924A46" w14:textId="77777777" w:rsidR="00BB1D82" w:rsidRPr="001F3F33" w:rsidRDefault="00BB1D82" w:rsidP="00BB1D82">
            <w:pPr>
              <w:spacing w:before="0" w:line="240" w:lineRule="atLeast"/>
              <w:rPr>
                <w:rFonts w:ascii="Verdana" w:hAnsi="Verdana"/>
                <w:sz w:val="20"/>
              </w:rPr>
            </w:pPr>
          </w:p>
        </w:tc>
      </w:tr>
      <w:tr w:rsidR="00BB1D82" w:rsidRPr="001F3F33" w14:paraId="3780F03C" w14:textId="77777777" w:rsidTr="00BB1D82">
        <w:trPr>
          <w:cantSplit/>
        </w:trPr>
        <w:tc>
          <w:tcPr>
            <w:tcW w:w="6911" w:type="dxa"/>
            <w:gridSpan w:val="2"/>
          </w:tcPr>
          <w:p w14:paraId="6332819A" w14:textId="77777777" w:rsidR="00BB1D82" w:rsidRPr="001F3F33" w:rsidRDefault="006D4724" w:rsidP="00BA5BD0">
            <w:pPr>
              <w:spacing w:before="0"/>
              <w:rPr>
                <w:rFonts w:ascii="Verdana" w:hAnsi="Verdana"/>
                <w:b/>
                <w:sz w:val="20"/>
              </w:rPr>
            </w:pPr>
            <w:r w:rsidRPr="001F3F33">
              <w:rPr>
                <w:rFonts w:ascii="Verdana" w:hAnsi="Verdana"/>
                <w:b/>
                <w:sz w:val="20"/>
              </w:rPr>
              <w:t>SÉANCE PLÉNIÈRE</w:t>
            </w:r>
          </w:p>
        </w:tc>
        <w:tc>
          <w:tcPr>
            <w:tcW w:w="3120" w:type="dxa"/>
            <w:gridSpan w:val="2"/>
          </w:tcPr>
          <w:p w14:paraId="23A2CC36" w14:textId="77777777" w:rsidR="00BB1D82" w:rsidRPr="001F3F33" w:rsidRDefault="006D4724" w:rsidP="00BA5BD0">
            <w:pPr>
              <w:spacing w:before="0"/>
              <w:rPr>
                <w:rFonts w:ascii="Verdana" w:hAnsi="Verdana"/>
                <w:sz w:val="20"/>
              </w:rPr>
            </w:pPr>
            <w:r w:rsidRPr="001F3F33">
              <w:rPr>
                <w:rFonts w:ascii="Verdana" w:hAnsi="Verdana"/>
                <w:b/>
                <w:sz w:val="20"/>
              </w:rPr>
              <w:t>Addendum 3 au</w:t>
            </w:r>
            <w:r w:rsidRPr="001F3F33">
              <w:rPr>
                <w:rFonts w:ascii="Verdana" w:hAnsi="Verdana"/>
                <w:b/>
                <w:sz w:val="20"/>
              </w:rPr>
              <w:br/>
              <w:t>Document 65(Add.25)</w:t>
            </w:r>
            <w:r w:rsidR="00BB1D82" w:rsidRPr="001F3F33">
              <w:rPr>
                <w:rFonts w:ascii="Verdana" w:hAnsi="Verdana"/>
                <w:b/>
                <w:sz w:val="20"/>
              </w:rPr>
              <w:t>-</w:t>
            </w:r>
            <w:r w:rsidRPr="001F3F33">
              <w:rPr>
                <w:rFonts w:ascii="Verdana" w:hAnsi="Verdana"/>
                <w:b/>
                <w:sz w:val="20"/>
              </w:rPr>
              <w:t>F</w:t>
            </w:r>
          </w:p>
        </w:tc>
      </w:tr>
      <w:bookmarkEnd w:id="1"/>
      <w:tr w:rsidR="00690C7B" w:rsidRPr="001F3F33" w14:paraId="4B62B7CE" w14:textId="77777777" w:rsidTr="00BB1D82">
        <w:trPr>
          <w:cantSplit/>
        </w:trPr>
        <w:tc>
          <w:tcPr>
            <w:tcW w:w="6911" w:type="dxa"/>
            <w:gridSpan w:val="2"/>
          </w:tcPr>
          <w:p w14:paraId="688D059C" w14:textId="77777777" w:rsidR="00690C7B" w:rsidRPr="001F3F33" w:rsidRDefault="00690C7B" w:rsidP="00BA5BD0">
            <w:pPr>
              <w:spacing w:before="0"/>
              <w:rPr>
                <w:rFonts w:ascii="Verdana" w:hAnsi="Verdana"/>
                <w:b/>
                <w:sz w:val="20"/>
              </w:rPr>
            </w:pPr>
          </w:p>
        </w:tc>
        <w:tc>
          <w:tcPr>
            <w:tcW w:w="3120" w:type="dxa"/>
            <w:gridSpan w:val="2"/>
          </w:tcPr>
          <w:p w14:paraId="051D2D62" w14:textId="77777777" w:rsidR="00690C7B" w:rsidRPr="001F3F33" w:rsidRDefault="00690C7B" w:rsidP="00BA5BD0">
            <w:pPr>
              <w:spacing w:before="0"/>
              <w:rPr>
                <w:rFonts w:ascii="Verdana" w:hAnsi="Verdana"/>
                <w:b/>
                <w:sz w:val="20"/>
              </w:rPr>
            </w:pPr>
            <w:r w:rsidRPr="001F3F33">
              <w:rPr>
                <w:rFonts w:ascii="Verdana" w:hAnsi="Verdana"/>
                <w:b/>
                <w:sz w:val="20"/>
              </w:rPr>
              <w:t>29 septembre 2023</w:t>
            </w:r>
          </w:p>
        </w:tc>
      </w:tr>
      <w:tr w:rsidR="00690C7B" w:rsidRPr="001F3F33" w14:paraId="2A88AC6F" w14:textId="77777777" w:rsidTr="00BB1D82">
        <w:trPr>
          <w:cantSplit/>
        </w:trPr>
        <w:tc>
          <w:tcPr>
            <w:tcW w:w="6911" w:type="dxa"/>
            <w:gridSpan w:val="2"/>
          </w:tcPr>
          <w:p w14:paraId="25324450" w14:textId="77777777" w:rsidR="00690C7B" w:rsidRPr="001F3F33" w:rsidRDefault="00690C7B" w:rsidP="00BA5BD0">
            <w:pPr>
              <w:spacing w:before="0" w:after="48"/>
              <w:rPr>
                <w:rFonts w:ascii="Verdana" w:hAnsi="Verdana"/>
                <w:b/>
                <w:smallCaps/>
                <w:sz w:val="20"/>
              </w:rPr>
            </w:pPr>
          </w:p>
        </w:tc>
        <w:tc>
          <w:tcPr>
            <w:tcW w:w="3120" w:type="dxa"/>
            <w:gridSpan w:val="2"/>
          </w:tcPr>
          <w:p w14:paraId="147368D0" w14:textId="77777777" w:rsidR="00690C7B" w:rsidRPr="001F3F33" w:rsidRDefault="00690C7B" w:rsidP="00BA5BD0">
            <w:pPr>
              <w:spacing w:before="0"/>
              <w:rPr>
                <w:rFonts w:ascii="Verdana" w:hAnsi="Verdana"/>
                <w:b/>
                <w:sz w:val="20"/>
              </w:rPr>
            </w:pPr>
            <w:r w:rsidRPr="001F3F33">
              <w:rPr>
                <w:rFonts w:ascii="Verdana" w:hAnsi="Verdana"/>
                <w:b/>
                <w:sz w:val="20"/>
              </w:rPr>
              <w:t>Original: anglais</w:t>
            </w:r>
          </w:p>
        </w:tc>
      </w:tr>
      <w:tr w:rsidR="00690C7B" w:rsidRPr="001F3F33" w14:paraId="74B5DDDA" w14:textId="77777777" w:rsidTr="00C11970">
        <w:trPr>
          <w:cantSplit/>
        </w:trPr>
        <w:tc>
          <w:tcPr>
            <w:tcW w:w="10031" w:type="dxa"/>
            <w:gridSpan w:val="4"/>
          </w:tcPr>
          <w:p w14:paraId="584BF2FE" w14:textId="77777777" w:rsidR="00690C7B" w:rsidRPr="001F3F33" w:rsidRDefault="00690C7B" w:rsidP="00BA5BD0">
            <w:pPr>
              <w:spacing w:before="0"/>
              <w:rPr>
                <w:rFonts w:ascii="Verdana" w:hAnsi="Verdana"/>
                <w:b/>
                <w:sz w:val="20"/>
              </w:rPr>
            </w:pPr>
          </w:p>
        </w:tc>
      </w:tr>
      <w:tr w:rsidR="00690C7B" w:rsidRPr="001F3F33" w14:paraId="0896466F" w14:textId="77777777" w:rsidTr="0050008E">
        <w:trPr>
          <w:cantSplit/>
        </w:trPr>
        <w:tc>
          <w:tcPr>
            <w:tcW w:w="10031" w:type="dxa"/>
            <w:gridSpan w:val="4"/>
          </w:tcPr>
          <w:p w14:paraId="000CDD66" w14:textId="77777777" w:rsidR="00690C7B" w:rsidRPr="001F3F33" w:rsidRDefault="00690C7B" w:rsidP="00690C7B">
            <w:pPr>
              <w:pStyle w:val="Source"/>
            </w:pPr>
            <w:bookmarkStart w:id="2" w:name="dsource" w:colFirst="0" w:colLast="0"/>
            <w:r w:rsidRPr="001F3F33">
              <w:t>Propositions européennes communes</w:t>
            </w:r>
          </w:p>
        </w:tc>
      </w:tr>
      <w:tr w:rsidR="00690C7B" w:rsidRPr="001F3F33" w14:paraId="38EB9100" w14:textId="77777777" w:rsidTr="0050008E">
        <w:trPr>
          <w:cantSplit/>
        </w:trPr>
        <w:tc>
          <w:tcPr>
            <w:tcW w:w="10031" w:type="dxa"/>
            <w:gridSpan w:val="4"/>
          </w:tcPr>
          <w:p w14:paraId="0818C288" w14:textId="172D2126" w:rsidR="00690C7B" w:rsidRPr="001F3F33" w:rsidRDefault="008462DA" w:rsidP="00690C7B">
            <w:pPr>
              <w:pStyle w:val="Title1"/>
            </w:pPr>
            <w:bookmarkStart w:id="3" w:name="dtitle1" w:colFirst="0" w:colLast="0"/>
            <w:bookmarkEnd w:id="2"/>
            <w:r w:rsidRPr="001F3F33">
              <w:t>Propositions pour les travaux de la conférence</w:t>
            </w:r>
          </w:p>
        </w:tc>
      </w:tr>
      <w:tr w:rsidR="00690C7B" w:rsidRPr="001F3F33" w14:paraId="1F27C5B7" w14:textId="77777777" w:rsidTr="0050008E">
        <w:trPr>
          <w:cantSplit/>
        </w:trPr>
        <w:tc>
          <w:tcPr>
            <w:tcW w:w="10031" w:type="dxa"/>
            <w:gridSpan w:val="4"/>
          </w:tcPr>
          <w:p w14:paraId="40267A1F" w14:textId="77777777" w:rsidR="00690C7B" w:rsidRPr="001F3F33" w:rsidRDefault="00690C7B" w:rsidP="00690C7B">
            <w:pPr>
              <w:pStyle w:val="Title2"/>
            </w:pPr>
            <w:bookmarkStart w:id="4" w:name="dtitle2" w:colFirst="0" w:colLast="0"/>
            <w:bookmarkEnd w:id="3"/>
          </w:p>
        </w:tc>
      </w:tr>
      <w:tr w:rsidR="00690C7B" w:rsidRPr="001F3F33" w14:paraId="3C0F0CE8" w14:textId="77777777" w:rsidTr="0050008E">
        <w:trPr>
          <w:cantSplit/>
        </w:trPr>
        <w:tc>
          <w:tcPr>
            <w:tcW w:w="10031" w:type="dxa"/>
            <w:gridSpan w:val="4"/>
          </w:tcPr>
          <w:p w14:paraId="53D8B7C6" w14:textId="77777777" w:rsidR="00690C7B" w:rsidRPr="001F3F33" w:rsidRDefault="00690C7B" w:rsidP="00690C7B">
            <w:pPr>
              <w:pStyle w:val="Agendaitem"/>
              <w:rPr>
                <w:lang w:val="fr-FR"/>
              </w:rPr>
            </w:pPr>
            <w:bookmarkStart w:id="5" w:name="dtitle3" w:colFirst="0" w:colLast="0"/>
            <w:bookmarkEnd w:id="4"/>
            <w:r w:rsidRPr="001F3F33">
              <w:rPr>
                <w:lang w:val="fr-FR"/>
              </w:rPr>
              <w:t>Point 9.2 de l'ordre du jour</w:t>
            </w:r>
          </w:p>
        </w:tc>
      </w:tr>
    </w:tbl>
    <w:bookmarkEnd w:id="5"/>
    <w:p w14:paraId="286F024A" w14:textId="77777777" w:rsidR="0063098D" w:rsidRPr="001F3F33" w:rsidRDefault="00107873" w:rsidP="003D082A">
      <w:r w:rsidRPr="001F3F33">
        <w:t>9</w:t>
      </w:r>
      <w:r w:rsidRPr="001F3F33">
        <w:tab/>
        <w:t>examiner et approuver le rapport du Directeur du Bureau des radiocommunications, conformément à l'article 7 de la Convention de l'UIT:</w:t>
      </w:r>
    </w:p>
    <w:p w14:paraId="45B79AD6" w14:textId="77777777" w:rsidR="0063098D" w:rsidRPr="001F3F33" w:rsidRDefault="00107873" w:rsidP="00485985">
      <w:r w:rsidRPr="001F3F33">
        <w:t>9.2</w:t>
      </w:r>
      <w:r w:rsidRPr="001F3F33">
        <w:tab/>
        <w:t>sur les difficultés rencontrées ou les incohérences constatées dans l'application du Règlement des radiocommunications</w:t>
      </w:r>
      <w:r w:rsidRPr="001F3F33">
        <w:rPr>
          <w:rStyle w:val="FootnoteReference"/>
        </w:rPr>
        <w:footnoteReference w:customMarkFollows="1" w:id="1"/>
        <w:t>1</w:t>
      </w:r>
      <w:r w:rsidRPr="001F3F33">
        <w:t>; et</w:t>
      </w:r>
    </w:p>
    <w:p w14:paraId="2FBBE84C" w14:textId="47E5F385" w:rsidR="003A583E" w:rsidRPr="001F3F33" w:rsidRDefault="008462DA" w:rsidP="008462DA">
      <w:pPr>
        <w:pStyle w:val="Part1"/>
      </w:pPr>
      <w:r w:rsidRPr="001F3F33">
        <w:t>Partie 3:</w:t>
      </w:r>
      <w:r w:rsidR="00784FAB" w:rsidRPr="001F3F33">
        <w:t xml:space="preserve"> Paragraphe 3.1.4 de l'Addendum 2 au Rapport du Directeur à la CMR-23</w:t>
      </w:r>
    </w:p>
    <w:p w14:paraId="67B74F33" w14:textId="47306293" w:rsidR="008462DA" w:rsidRPr="001F3F33" w:rsidRDefault="008462DA" w:rsidP="008462DA">
      <w:pPr>
        <w:pStyle w:val="Headingb"/>
      </w:pPr>
      <w:r w:rsidRPr="001F3F33">
        <w:t>Introduction</w:t>
      </w:r>
    </w:p>
    <w:p w14:paraId="2642867C" w14:textId="4AE320EF" w:rsidR="008462DA" w:rsidRPr="001F3F33" w:rsidRDefault="008462DA" w:rsidP="004C594D">
      <w:r w:rsidRPr="001F3F33">
        <w:t xml:space="preserve">Le Bureau a noté que </w:t>
      </w:r>
      <w:r w:rsidR="007E0702" w:rsidRPr="001F3F33">
        <w:t>l'</w:t>
      </w:r>
      <w:r w:rsidRPr="001F3F33">
        <w:t xml:space="preserve">augmentation du recours à des systèmes à satellites non géostationnaires </w:t>
      </w:r>
      <w:r w:rsidR="00852D25" w:rsidRPr="001F3F33">
        <w:t xml:space="preserve">(non OSG) </w:t>
      </w:r>
      <w:r w:rsidRPr="001F3F33">
        <w:t>s'est traduite par de nouvelles questions</w:t>
      </w:r>
      <w:r w:rsidR="00852D25" w:rsidRPr="001F3F33">
        <w:t>, notamment sur la pratique consistant à scinder un système à satellites non OSG en plusieurs systèmes notifiés, qui risque de nuire à l'efficacité des limites d</w:t>
      </w:r>
      <w:r w:rsidR="00B41A88" w:rsidRPr="001F3F33">
        <w:t>e puissance surfacique équivalente (</w:t>
      </w:r>
      <w:r w:rsidR="00852D25" w:rsidRPr="001F3F33">
        <w:t>epfd</w:t>
      </w:r>
      <w:r w:rsidR="00B41A88" w:rsidRPr="001F3F33">
        <w:t>)</w:t>
      </w:r>
      <w:r w:rsidR="00852D25" w:rsidRPr="001F3F33">
        <w:t xml:space="preserve"> pour une seule source de brouillage </w:t>
      </w:r>
      <w:r w:rsidR="00B41A88" w:rsidRPr="001F3F33">
        <w:t>définies dans l'</w:t>
      </w:r>
      <w:r w:rsidRPr="001F3F33">
        <w:t>Article </w:t>
      </w:r>
      <w:r w:rsidRPr="001F3F33">
        <w:rPr>
          <w:b/>
          <w:bCs/>
        </w:rPr>
        <w:t>22</w:t>
      </w:r>
      <w:r w:rsidRPr="001F3F33">
        <w:t xml:space="preserve"> </w:t>
      </w:r>
      <w:r w:rsidR="00B41A88" w:rsidRPr="001F3F33">
        <w:t>du Règlement des radiocommunications (RR) pour protéger les systèmes à satellites OSG ou d'avoir des incidences sur la mise en œuvre de la Résolution </w:t>
      </w:r>
      <w:r w:rsidR="00B41A88" w:rsidRPr="001F3F33">
        <w:rPr>
          <w:b/>
          <w:bCs/>
        </w:rPr>
        <w:t>76 (Rév.CMR-15)</w:t>
      </w:r>
      <w:r w:rsidRPr="001F3F33">
        <w:t>.</w:t>
      </w:r>
      <w:r w:rsidR="00107873" w:rsidRPr="001F3F33">
        <w:rPr>
          <w:color w:val="000000"/>
          <w:sz w:val="27"/>
          <w:szCs w:val="27"/>
        </w:rPr>
        <w:t xml:space="preserve"> </w:t>
      </w:r>
      <w:r w:rsidR="00B41A88" w:rsidRPr="001F3F33">
        <w:t xml:space="preserve">Le Bureau </w:t>
      </w:r>
      <w:r w:rsidR="00AE11C7" w:rsidRPr="001F3F33">
        <w:t xml:space="preserve">note </w:t>
      </w:r>
      <w:r w:rsidR="00B41A88" w:rsidRPr="001F3F33">
        <w:t xml:space="preserve">que la question </w:t>
      </w:r>
      <w:r w:rsidR="00AE11C7" w:rsidRPr="001F3F33">
        <w:t xml:space="preserve">a été étudiée </w:t>
      </w:r>
      <w:r w:rsidR="00B41A88" w:rsidRPr="001F3F33">
        <w:t>au titre du point 1.9 de l'ordre du jour de la CMR-03 et que</w:t>
      </w:r>
      <w:r w:rsidR="00094FB9" w:rsidRPr="001F3F33">
        <w:t xml:space="preserve"> la RPC a estimé au </w:t>
      </w:r>
      <w:r w:rsidR="00B41A88" w:rsidRPr="001F3F33">
        <w:t xml:space="preserve">paragraphe 3.1 du Chapitre 3 </w:t>
      </w:r>
      <w:r w:rsidR="00094FB9" w:rsidRPr="001F3F33">
        <w:t xml:space="preserve">de son </w:t>
      </w:r>
      <w:hyperlink r:id="rId13" w:history="1">
        <w:r w:rsidR="00B41A88" w:rsidRPr="001F3F33">
          <w:rPr>
            <w:rStyle w:val="Hyperlink"/>
          </w:rPr>
          <w:t>Rapport à la CMR-03</w:t>
        </w:r>
      </w:hyperlink>
      <w:r w:rsidR="00B41A88" w:rsidRPr="001F3F33">
        <w:t xml:space="preserve">, </w:t>
      </w:r>
      <w:r w:rsidR="00094FB9" w:rsidRPr="001F3F33">
        <w:t xml:space="preserve">que </w:t>
      </w:r>
      <w:r w:rsidR="00C16545" w:rsidRPr="001F3F33">
        <w:t xml:space="preserve">i) </w:t>
      </w:r>
      <w:r w:rsidR="00107873" w:rsidRPr="001F3F33">
        <w:rPr>
          <w:color w:val="000000"/>
          <w:sz w:val="27"/>
          <w:szCs w:val="27"/>
        </w:rPr>
        <w:t>«</w:t>
      </w:r>
      <w:r w:rsidR="00107873" w:rsidRPr="001F3F33">
        <w:t>la seule raison pour appliquer de façon incorrecte ces limites d'epfd pour une seule source de brouillage en scindant ou en regroupant artificiellement des systèmes du SFS</w:t>
      </w:r>
      <w:r w:rsidR="00C17444" w:rsidRPr="001F3F33">
        <w:t xml:space="preserve"> non OSG</w:t>
      </w:r>
      <w:r w:rsidR="00107873" w:rsidRPr="001F3F33">
        <w:t>, sera d'abaisser les niveaux d'epfd et, par voie de conséquence, d'obtenir une conclusion favorable à l'issue de cet examen réglementaire» et</w:t>
      </w:r>
      <w:r w:rsidR="00C16545" w:rsidRPr="001F3F33">
        <w:t xml:space="preserve"> ii)</w:t>
      </w:r>
      <w:r w:rsidR="00107873" w:rsidRPr="001F3F33">
        <w:t xml:space="preserve"> «des limites analogues, qui pourraient être elles aussi appliquées de façon incorrecte, n'ont jusqu'à ce jour posé aucun problème».</w:t>
      </w:r>
    </w:p>
    <w:p w14:paraId="5CF80759" w14:textId="40E2B56A" w:rsidR="00107873" w:rsidRPr="001F3F33" w:rsidRDefault="00E544AB" w:rsidP="004C594D">
      <w:r w:rsidRPr="001F3F33">
        <w:lastRenderedPageBreak/>
        <w:t>Le Bureau estime que l</w:t>
      </w:r>
      <w:r w:rsidR="00107873" w:rsidRPr="001F3F33">
        <w:t>a Conférence devra peut-être réévaluer cette conclusion compte tenu des pratiques récentes.</w:t>
      </w:r>
    </w:p>
    <w:p w14:paraId="56CB7C4E" w14:textId="2E645B10" w:rsidR="0015203F" w:rsidRPr="001F3F33" w:rsidRDefault="00107873" w:rsidP="00DD5108">
      <w:pPr>
        <w:pStyle w:val="Headingb"/>
      </w:pPr>
      <w:r w:rsidRPr="001F3F33">
        <w:t>Proposition</w:t>
      </w:r>
    </w:p>
    <w:p w14:paraId="7F64C481" w14:textId="17F25675" w:rsidR="00006479" w:rsidRPr="001F3F33" w:rsidRDefault="00107873">
      <w:pPr>
        <w:pStyle w:val="Proposal"/>
      </w:pPr>
      <w:r w:rsidRPr="001F3F33">
        <w:tab/>
        <w:t>EUR/65A25A3/1</w:t>
      </w:r>
    </w:p>
    <w:p w14:paraId="5624D820" w14:textId="37697930" w:rsidR="00DD5108" w:rsidRPr="001F3F33" w:rsidRDefault="00DD5108" w:rsidP="00DD5108">
      <w:r w:rsidRPr="001F3F33">
        <w:t xml:space="preserve">La CEPT </w:t>
      </w:r>
      <w:r w:rsidR="00094FB9" w:rsidRPr="001F3F33">
        <w:t>est préoccupée par</w:t>
      </w:r>
      <w:r w:rsidRPr="001F3F33">
        <w:t xml:space="preserve"> la pratique consistant à scinder un système du service fixe par satellite non géostationnaire (SFS non OSG) en plusieurs systèmes notifiés afin de respecter les limites de puissance surfacique équivalente (epfd) pour une seule source de brouillage. La CEPT estime que cette question devrait être étudiée </w:t>
      </w:r>
      <w:r w:rsidR="00094FB9" w:rsidRPr="001F3F33">
        <w:t xml:space="preserve">au moyen des </w:t>
      </w:r>
      <w:r w:rsidRPr="001F3F33">
        <w:t>procédures normalisées de l</w:t>
      </w:r>
      <w:r w:rsidR="004C594D" w:rsidRPr="001F3F33">
        <w:t>'</w:t>
      </w:r>
      <w:r w:rsidRPr="001F3F33">
        <w:t>UIT-R, selon qu</w:t>
      </w:r>
      <w:r w:rsidR="004C594D" w:rsidRPr="001F3F33">
        <w:t>'</w:t>
      </w:r>
      <w:r w:rsidRPr="001F3F33">
        <w:t>il convient, et propose d</w:t>
      </w:r>
      <w:r w:rsidR="004C594D" w:rsidRPr="001F3F33">
        <w:t>'</w:t>
      </w:r>
      <w:r w:rsidRPr="001F3F33">
        <w:t xml:space="preserve">inclure une déclaration à cet effet dans le procès-verbal de la CMR-23. </w:t>
      </w:r>
      <w:r w:rsidR="00094FB9" w:rsidRPr="001F3F33">
        <w:t xml:space="preserve">Elle </w:t>
      </w:r>
      <w:r w:rsidRPr="001F3F33">
        <w:t>note que des travaux connexes sont menés au titre de la Question J du point 7 de l</w:t>
      </w:r>
      <w:r w:rsidR="004C594D" w:rsidRPr="001F3F33">
        <w:t>'</w:t>
      </w:r>
      <w:r w:rsidRPr="001F3F33">
        <w:t>ordre du jour de la CMR-23 et qu</w:t>
      </w:r>
      <w:r w:rsidR="004C594D" w:rsidRPr="001F3F33">
        <w:t>'</w:t>
      </w:r>
      <w:r w:rsidRPr="001F3F33">
        <w:t>il existe également un lien entre cette question et les travaux en cours sur le facteur d</w:t>
      </w:r>
      <w:r w:rsidR="004C594D" w:rsidRPr="001F3F33">
        <w:t>'</w:t>
      </w:r>
      <w:r w:rsidRPr="001F3F33">
        <w:t>échelle.</w:t>
      </w:r>
    </w:p>
    <w:p w14:paraId="5E84245B" w14:textId="06AA2825" w:rsidR="00DD5108" w:rsidRPr="001F3F33" w:rsidRDefault="00DD5108" w:rsidP="00DD5108">
      <w:r w:rsidRPr="001F3F33">
        <w:t>Compte tenu de ce qui précède, la CEPT propose que la CMR-23 invite l</w:t>
      </w:r>
      <w:r w:rsidR="004C594D" w:rsidRPr="001F3F33">
        <w:t>'</w:t>
      </w:r>
      <w:r w:rsidRPr="001F3F33">
        <w:t>UIT-R à étudier l</w:t>
      </w:r>
      <w:r w:rsidR="004C594D" w:rsidRPr="001F3F33">
        <w:t>'</w:t>
      </w:r>
      <w:r w:rsidRPr="001F3F33">
        <w:t>incidence de la pratique consistant à scinder un système du SFS non OSG en plusieurs systèmes notifiés et, en particulier, l</w:t>
      </w:r>
      <w:r w:rsidR="004C594D" w:rsidRPr="001F3F33">
        <w:t>'</w:t>
      </w:r>
      <w:r w:rsidRPr="001F3F33">
        <w:t>éventuelle application erronée des limites d</w:t>
      </w:r>
      <w:r w:rsidR="004C594D" w:rsidRPr="001F3F33">
        <w:t>'</w:t>
      </w:r>
      <w:r w:rsidRPr="001F3F33">
        <w:t>epfd pour une seule source de brouillage figurant dans l</w:t>
      </w:r>
      <w:r w:rsidR="004C594D" w:rsidRPr="001F3F33">
        <w:t>'</w:t>
      </w:r>
      <w:r w:rsidRPr="001F3F33">
        <w:t>Article </w:t>
      </w:r>
      <w:r w:rsidRPr="001F3F33">
        <w:rPr>
          <w:b/>
          <w:bCs/>
        </w:rPr>
        <w:t>22</w:t>
      </w:r>
      <w:r w:rsidRPr="001F3F33">
        <w:t xml:space="preserve"> du Règlement des radiocommunications.</w:t>
      </w:r>
    </w:p>
    <w:p w14:paraId="72489993" w14:textId="584B80DF" w:rsidR="00DD5108" w:rsidRPr="001F3F33" w:rsidRDefault="00613E51" w:rsidP="00DD5108">
      <w:r w:rsidRPr="001F3F33">
        <w:t>La CEPT propose donc d</w:t>
      </w:r>
      <w:r w:rsidR="004C594D" w:rsidRPr="001F3F33">
        <w:t>'</w:t>
      </w:r>
      <w:r w:rsidRPr="001F3F33">
        <w:t>inclure la déclaration suivante dans le procès-verbal de la CMR-23:</w:t>
      </w:r>
    </w:p>
    <w:p w14:paraId="00E45FB7" w14:textId="4796E3F5" w:rsidR="00107873" w:rsidRPr="001F3F33" w:rsidRDefault="00107873" w:rsidP="00107873">
      <w:pPr>
        <w:pStyle w:val="enumlev1"/>
        <w:rPr>
          <w:i/>
          <w:iCs/>
        </w:rPr>
      </w:pPr>
      <w:r w:rsidRPr="001F3F33">
        <w:tab/>
      </w:r>
      <w:r w:rsidR="00CF7AD3" w:rsidRPr="001F3F33">
        <w:rPr>
          <w:i/>
          <w:iCs/>
        </w:rPr>
        <w:t>La Conférence mondiale des radiocommunications de 2023 (CMR-23) considère que les administrations doivent éviter toute application erronée des limites d</w:t>
      </w:r>
      <w:r w:rsidR="004C594D" w:rsidRPr="001F3F33">
        <w:rPr>
          <w:i/>
          <w:iCs/>
        </w:rPr>
        <w:t>'</w:t>
      </w:r>
      <w:r w:rsidR="00CF7AD3" w:rsidRPr="001F3F33">
        <w:rPr>
          <w:i/>
          <w:iCs/>
        </w:rPr>
        <w:t>epfd pour une seule source de brouillage figurant dans l</w:t>
      </w:r>
      <w:r w:rsidR="004C594D" w:rsidRPr="001F3F33">
        <w:rPr>
          <w:i/>
          <w:iCs/>
        </w:rPr>
        <w:t>'</w:t>
      </w:r>
      <w:r w:rsidR="00CF7AD3" w:rsidRPr="001F3F33">
        <w:rPr>
          <w:i/>
          <w:iCs/>
        </w:rPr>
        <w:t>Article </w:t>
      </w:r>
      <w:r w:rsidR="00CF7AD3" w:rsidRPr="001F3F33">
        <w:rPr>
          <w:b/>
          <w:bCs/>
          <w:i/>
          <w:iCs/>
        </w:rPr>
        <w:t>22</w:t>
      </w:r>
      <w:r w:rsidR="00CF7AD3" w:rsidRPr="001F3F33">
        <w:rPr>
          <w:i/>
          <w:iCs/>
        </w:rPr>
        <w:t xml:space="preserve"> du Règlement des radiocommunications.</w:t>
      </w:r>
      <w:r w:rsidR="0017200B" w:rsidRPr="001F3F33">
        <w:rPr>
          <w:i/>
          <w:iCs/>
        </w:rPr>
        <w:t xml:space="preserve"> </w:t>
      </w:r>
      <w:r w:rsidR="00094FB9" w:rsidRPr="001F3F33">
        <w:rPr>
          <w:i/>
          <w:iCs/>
        </w:rPr>
        <w:t xml:space="preserve">De </w:t>
      </w:r>
      <w:r w:rsidR="005B10CF" w:rsidRPr="001F3F33">
        <w:rPr>
          <w:i/>
          <w:iCs/>
        </w:rPr>
        <w:t>fait</w:t>
      </w:r>
      <w:r w:rsidR="0017200B" w:rsidRPr="001F3F33">
        <w:rPr>
          <w:i/>
          <w:iCs/>
        </w:rPr>
        <w:t>, la subdivision artificielle d</w:t>
      </w:r>
      <w:r w:rsidR="004C594D" w:rsidRPr="001F3F33">
        <w:rPr>
          <w:i/>
          <w:iCs/>
        </w:rPr>
        <w:t>'</w:t>
      </w:r>
      <w:r w:rsidR="0017200B" w:rsidRPr="001F3F33">
        <w:rPr>
          <w:i/>
          <w:iCs/>
        </w:rPr>
        <w:t xml:space="preserve">un système unique du service fixe par satellite (SFS) non géostationnaire (non OSG) en plusieurs systèmes </w:t>
      </w:r>
      <w:r w:rsidR="005B10CF" w:rsidRPr="001F3F33">
        <w:rPr>
          <w:i/>
          <w:iCs/>
        </w:rPr>
        <w:t xml:space="preserve">peut </w:t>
      </w:r>
      <w:r w:rsidR="0017200B" w:rsidRPr="001F3F33">
        <w:rPr>
          <w:i/>
          <w:iCs/>
        </w:rPr>
        <w:t xml:space="preserve">conduire à </w:t>
      </w:r>
      <w:r w:rsidR="00094FB9" w:rsidRPr="001F3F33">
        <w:rPr>
          <w:i/>
          <w:iCs/>
        </w:rPr>
        <w:t>sous-estimer les</w:t>
      </w:r>
      <w:r w:rsidR="0017200B" w:rsidRPr="001F3F33">
        <w:rPr>
          <w:i/>
          <w:iCs/>
        </w:rPr>
        <w:t xml:space="preserve"> statistiques d</w:t>
      </w:r>
      <w:r w:rsidR="004C594D" w:rsidRPr="001F3F33">
        <w:rPr>
          <w:i/>
          <w:iCs/>
        </w:rPr>
        <w:t>'</w:t>
      </w:r>
      <w:r w:rsidR="0017200B" w:rsidRPr="001F3F33">
        <w:rPr>
          <w:i/>
          <w:iCs/>
        </w:rPr>
        <w:t>epfd de ce système unique</w:t>
      </w:r>
      <w:r w:rsidR="00094FB9" w:rsidRPr="001F3F33">
        <w:rPr>
          <w:i/>
          <w:iCs/>
        </w:rPr>
        <w:t>,</w:t>
      </w:r>
      <w:r w:rsidR="0017200B" w:rsidRPr="001F3F33">
        <w:rPr>
          <w:i/>
          <w:iCs/>
        </w:rPr>
        <w:t xml:space="preserve"> et donc </w:t>
      </w:r>
      <w:r w:rsidR="00094FB9" w:rsidRPr="001F3F33">
        <w:rPr>
          <w:i/>
          <w:iCs/>
        </w:rPr>
        <w:t xml:space="preserve">provoquer </w:t>
      </w:r>
      <w:r w:rsidR="0017200B" w:rsidRPr="001F3F33">
        <w:rPr>
          <w:i/>
          <w:iCs/>
        </w:rPr>
        <w:t>des erreurs en ce qui concerne les résultats de l</w:t>
      </w:r>
      <w:r w:rsidR="004C594D" w:rsidRPr="001F3F33">
        <w:rPr>
          <w:i/>
          <w:iCs/>
        </w:rPr>
        <w:t>'</w:t>
      </w:r>
      <w:r w:rsidR="0017200B" w:rsidRPr="001F3F33">
        <w:rPr>
          <w:i/>
          <w:iCs/>
        </w:rPr>
        <w:t>examen par le Bureau des limites d</w:t>
      </w:r>
      <w:r w:rsidR="004C594D" w:rsidRPr="001F3F33">
        <w:rPr>
          <w:i/>
          <w:iCs/>
        </w:rPr>
        <w:t>'</w:t>
      </w:r>
      <w:r w:rsidR="0017200B" w:rsidRPr="001F3F33">
        <w:rPr>
          <w:i/>
          <w:iCs/>
        </w:rPr>
        <w:t>epfd pour une seule source de brouillage figurant dans l</w:t>
      </w:r>
      <w:r w:rsidR="004C594D" w:rsidRPr="001F3F33">
        <w:rPr>
          <w:i/>
          <w:iCs/>
        </w:rPr>
        <w:t>'</w:t>
      </w:r>
      <w:r w:rsidR="0017200B" w:rsidRPr="001F3F33">
        <w:rPr>
          <w:i/>
          <w:iCs/>
        </w:rPr>
        <w:t>Article </w:t>
      </w:r>
      <w:r w:rsidR="0017200B" w:rsidRPr="001F3F33">
        <w:rPr>
          <w:b/>
          <w:bCs/>
          <w:i/>
          <w:iCs/>
        </w:rPr>
        <w:t>22</w:t>
      </w:r>
      <w:r w:rsidR="0017200B" w:rsidRPr="001F3F33">
        <w:rPr>
          <w:i/>
          <w:iCs/>
        </w:rPr>
        <w:t xml:space="preserve"> du Règlement des radiocommunications.</w:t>
      </w:r>
    </w:p>
    <w:p w14:paraId="1FBD5C91" w14:textId="2386521E" w:rsidR="00107873" w:rsidRPr="001F3F33" w:rsidRDefault="00107873" w:rsidP="00107873">
      <w:pPr>
        <w:pStyle w:val="enumlev1"/>
        <w:rPr>
          <w:i/>
          <w:iCs/>
        </w:rPr>
      </w:pPr>
      <w:r w:rsidRPr="001F3F33">
        <w:tab/>
      </w:r>
      <w:r w:rsidR="0017200B" w:rsidRPr="001F3F33">
        <w:rPr>
          <w:i/>
          <w:iCs/>
        </w:rPr>
        <w:t xml:space="preserve">La CMR-23 note également que la subdivision artificielle des systèmes du SFS non OSG peut avoir </w:t>
      </w:r>
      <w:r w:rsidR="00094FB9" w:rsidRPr="001F3F33">
        <w:rPr>
          <w:i/>
          <w:iCs/>
        </w:rPr>
        <w:t xml:space="preserve">une </w:t>
      </w:r>
      <w:r w:rsidR="0017200B" w:rsidRPr="001F3F33">
        <w:rPr>
          <w:i/>
          <w:iCs/>
        </w:rPr>
        <w:t>incidence sur d</w:t>
      </w:r>
      <w:r w:rsidR="004C594D" w:rsidRPr="001F3F33">
        <w:rPr>
          <w:i/>
          <w:iCs/>
        </w:rPr>
        <w:t>'</w:t>
      </w:r>
      <w:r w:rsidR="0017200B" w:rsidRPr="001F3F33">
        <w:rPr>
          <w:i/>
          <w:iCs/>
        </w:rPr>
        <w:t>autres examens effectués par le Bureau, en particulier en ce qui concerne l</w:t>
      </w:r>
      <w:r w:rsidR="004C594D" w:rsidRPr="001F3F33">
        <w:rPr>
          <w:i/>
          <w:iCs/>
        </w:rPr>
        <w:t>'</w:t>
      </w:r>
      <w:r w:rsidR="0017200B" w:rsidRPr="001F3F33">
        <w:rPr>
          <w:i/>
          <w:iCs/>
        </w:rPr>
        <w:t>Article </w:t>
      </w:r>
      <w:r w:rsidR="0017200B" w:rsidRPr="001F3F33">
        <w:rPr>
          <w:b/>
          <w:bCs/>
          <w:i/>
          <w:iCs/>
        </w:rPr>
        <w:t>21</w:t>
      </w:r>
      <w:r w:rsidR="0017200B" w:rsidRPr="001F3F33">
        <w:rPr>
          <w:i/>
          <w:iCs/>
        </w:rPr>
        <w:t xml:space="preserve"> (numéro </w:t>
      </w:r>
      <w:r w:rsidR="0017200B" w:rsidRPr="001F3F33">
        <w:rPr>
          <w:b/>
          <w:bCs/>
          <w:i/>
          <w:iCs/>
        </w:rPr>
        <w:t>21.16.6</w:t>
      </w:r>
      <w:r w:rsidR="0017200B" w:rsidRPr="001F3F33">
        <w:rPr>
          <w:i/>
          <w:iCs/>
        </w:rPr>
        <w:t>) et le numéro </w:t>
      </w:r>
      <w:r w:rsidR="0017200B" w:rsidRPr="001F3F33">
        <w:rPr>
          <w:b/>
          <w:bCs/>
          <w:i/>
          <w:iCs/>
        </w:rPr>
        <w:t>5.551H</w:t>
      </w:r>
      <w:r w:rsidR="0017200B" w:rsidRPr="001F3F33">
        <w:rPr>
          <w:i/>
          <w:iCs/>
        </w:rPr>
        <w:t xml:space="preserve"> du Règlement des radiocommunications.</w:t>
      </w:r>
    </w:p>
    <w:p w14:paraId="71C45B00" w14:textId="751BE733" w:rsidR="00107873" w:rsidRPr="001F3F33" w:rsidRDefault="00107873" w:rsidP="00107873">
      <w:pPr>
        <w:pStyle w:val="enumlev1"/>
      </w:pPr>
      <w:r w:rsidRPr="001F3F33">
        <w:tab/>
      </w:r>
      <w:r w:rsidR="0017200B" w:rsidRPr="001F3F33">
        <w:rPr>
          <w:i/>
          <w:iCs/>
        </w:rPr>
        <w:t>Compte tenu de ce qui précède, la CMR-23 invite l</w:t>
      </w:r>
      <w:r w:rsidR="004C594D" w:rsidRPr="001F3F33">
        <w:rPr>
          <w:i/>
          <w:iCs/>
        </w:rPr>
        <w:t>'</w:t>
      </w:r>
      <w:r w:rsidR="0017200B" w:rsidRPr="001F3F33">
        <w:rPr>
          <w:i/>
          <w:iCs/>
        </w:rPr>
        <w:t>UIT-R à étudier l</w:t>
      </w:r>
      <w:r w:rsidR="004C594D" w:rsidRPr="001F3F33">
        <w:rPr>
          <w:i/>
          <w:iCs/>
        </w:rPr>
        <w:t>'</w:t>
      </w:r>
      <w:r w:rsidR="0017200B" w:rsidRPr="001F3F33">
        <w:rPr>
          <w:i/>
          <w:iCs/>
        </w:rPr>
        <w:t xml:space="preserve">incidence de la pratique consistant à </w:t>
      </w:r>
      <w:r w:rsidR="009A3358" w:rsidRPr="001F3F33">
        <w:rPr>
          <w:i/>
          <w:iCs/>
        </w:rPr>
        <w:t>scinder</w:t>
      </w:r>
      <w:r w:rsidR="0017200B" w:rsidRPr="001F3F33">
        <w:rPr>
          <w:i/>
          <w:iCs/>
        </w:rPr>
        <w:t xml:space="preserve"> un système du SFS </w:t>
      </w:r>
      <w:r w:rsidR="005B10CF" w:rsidRPr="001F3F33">
        <w:rPr>
          <w:i/>
          <w:iCs/>
        </w:rPr>
        <w:t xml:space="preserve">non OSG </w:t>
      </w:r>
      <w:r w:rsidR="0017200B" w:rsidRPr="001F3F33">
        <w:rPr>
          <w:i/>
          <w:iCs/>
        </w:rPr>
        <w:t>en plusieurs systèmes notifiés, en particulier sur l</w:t>
      </w:r>
      <w:r w:rsidR="004C594D" w:rsidRPr="001F3F33">
        <w:rPr>
          <w:i/>
          <w:iCs/>
        </w:rPr>
        <w:t>'</w:t>
      </w:r>
      <w:r w:rsidR="0017200B" w:rsidRPr="001F3F33">
        <w:rPr>
          <w:i/>
          <w:iCs/>
        </w:rPr>
        <w:t>application erronée éventuelle des limites d</w:t>
      </w:r>
      <w:r w:rsidR="004C594D" w:rsidRPr="001F3F33">
        <w:rPr>
          <w:i/>
          <w:iCs/>
        </w:rPr>
        <w:t>'</w:t>
      </w:r>
      <w:r w:rsidR="0017200B" w:rsidRPr="001F3F33">
        <w:rPr>
          <w:i/>
          <w:iCs/>
        </w:rPr>
        <w:t>epfd pour une seule source de brouillage figurant dans l</w:t>
      </w:r>
      <w:r w:rsidR="004C594D" w:rsidRPr="001F3F33">
        <w:rPr>
          <w:i/>
          <w:iCs/>
        </w:rPr>
        <w:t>'</w:t>
      </w:r>
      <w:r w:rsidR="0017200B" w:rsidRPr="001F3F33">
        <w:rPr>
          <w:i/>
          <w:iCs/>
        </w:rPr>
        <w:t>Article</w:t>
      </w:r>
      <w:r w:rsidR="005B10CF" w:rsidRPr="001F3F33">
        <w:rPr>
          <w:i/>
          <w:iCs/>
        </w:rPr>
        <w:t xml:space="preserve"> </w:t>
      </w:r>
      <w:r w:rsidR="0017200B" w:rsidRPr="001F3F33">
        <w:rPr>
          <w:b/>
          <w:bCs/>
          <w:i/>
          <w:iCs/>
        </w:rPr>
        <w:t>22</w:t>
      </w:r>
      <w:r w:rsidR="0017200B" w:rsidRPr="001F3F33">
        <w:rPr>
          <w:i/>
          <w:iCs/>
        </w:rPr>
        <w:t xml:space="preserve"> du Règlement des radiocommunications.</w:t>
      </w:r>
    </w:p>
    <w:p w14:paraId="35126A7A" w14:textId="77777777" w:rsidR="00107873" w:rsidRPr="001F3F33" w:rsidRDefault="00107873" w:rsidP="00411C49">
      <w:pPr>
        <w:pStyle w:val="Reasons"/>
      </w:pPr>
    </w:p>
    <w:p w14:paraId="1E8BA68F" w14:textId="77777777" w:rsidR="00107873" w:rsidRPr="001F3F33" w:rsidRDefault="00107873">
      <w:pPr>
        <w:jc w:val="center"/>
      </w:pPr>
      <w:r w:rsidRPr="001F3F33">
        <w:t>______________</w:t>
      </w:r>
    </w:p>
    <w:sectPr w:rsidR="00107873" w:rsidRPr="001F3F33">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2208" w14:textId="77777777" w:rsidR="00367DC8" w:rsidRDefault="00367DC8">
      <w:r>
        <w:separator/>
      </w:r>
    </w:p>
  </w:endnote>
  <w:endnote w:type="continuationSeparator" w:id="0">
    <w:p w14:paraId="2A12588E" w14:textId="77777777" w:rsidR="00367DC8" w:rsidRDefault="0036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F3EC" w14:textId="7CD13F9E"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62E09">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9AE2" w14:textId="64F71D91" w:rsidR="00936D25" w:rsidRDefault="00102EB2" w:rsidP="00102EB2">
    <w:pPr>
      <w:pStyle w:val="Footer"/>
      <w:rPr>
        <w:lang w:val="en-US"/>
      </w:rPr>
    </w:pPr>
    <w:r w:rsidRPr="00102EB2">
      <w:rPr>
        <w:lang w:val="en-US"/>
      </w:rPr>
      <w:fldChar w:fldCharType="begin"/>
    </w:r>
    <w:r w:rsidRPr="00102EB2">
      <w:rPr>
        <w:lang w:val="en-US"/>
      </w:rPr>
      <w:instrText xml:space="preserve"> FILENAME \p  \* MERGEFORMAT </w:instrText>
    </w:r>
    <w:r w:rsidRPr="00102EB2">
      <w:rPr>
        <w:lang w:val="en-US"/>
      </w:rPr>
      <w:fldChar w:fldCharType="separate"/>
    </w:r>
    <w:r>
      <w:rPr>
        <w:lang w:val="en-US"/>
      </w:rPr>
      <w:t>P:\FRA\ITU-R\CONF-R\CMR23\000\065ADD25ADD03F.docx</w:t>
    </w:r>
    <w:r w:rsidRPr="00102EB2">
      <w:rPr>
        <w:lang w:val="en-US"/>
      </w:rPr>
      <w:fldChar w:fldCharType="end"/>
    </w:r>
    <w:r w:rsidR="00107873" w:rsidRPr="00CF7AD3">
      <w:rPr>
        <w:lang w:val="en-US"/>
      </w:rPr>
      <w:t xml:space="preserve"> (530570)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30E0" w14:textId="3A84C883" w:rsidR="00936D25" w:rsidRDefault="00102EB2" w:rsidP="00102EB2">
    <w:pPr>
      <w:pStyle w:val="Footer"/>
      <w:rPr>
        <w:lang w:val="en-US"/>
      </w:rPr>
    </w:pPr>
    <w:r w:rsidRPr="00102EB2">
      <w:rPr>
        <w:lang w:val="en-US"/>
      </w:rPr>
      <w:fldChar w:fldCharType="begin"/>
    </w:r>
    <w:r w:rsidRPr="00102EB2">
      <w:rPr>
        <w:lang w:val="en-US"/>
      </w:rPr>
      <w:instrText xml:space="preserve"> FILENAME \p  \* MERGEFORMAT </w:instrText>
    </w:r>
    <w:r w:rsidRPr="00102EB2">
      <w:rPr>
        <w:lang w:val="en-US"/>
      </w:rPr>
      <w:fldChar w:fldCharType="separate"/>
    </w:r>
    <w:r>
      <w:rPr>
        <w:lang w:val="en-US"/>
      </w:rPr>
      <w:t>P:\FRA\ITU-R\CONF-R\CMR23\000\065ADD25ADD03F.docx</w:t>
    </w:r>
    <w:r w:rsidRPr="00102EB2">
      <w:rPr>
        <w:lang w:val="en-US"/>
      </w:rPr>
      <w:fldChar w:fldCharType="end"/>
    </w:r>
    <w:r w:rsidRPr="00102EB2">
      <w:rPr>
        <w:lang w:val="en-US"/>
      </w:rPr>
      <w:t xml:space="preserve"> </w:t>
    </w:r>
    <w:r>
      <w:rPr>
        <w:lang w:val="en-US"/>
      </w:rPr>
      <w:t>(</w:t>
    </w:r>
    <w:r w:rsidR="008462DA" w:rsidRPr="00CF7AD3">
      <w:rPr>
        <w:lang w:val="en-US"/>
      </w:rPr>
      <w:t>530570)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8F5F" w14:textId="77777777" w:rsidR="00367DC8" w:rsidRDefault="00367DC8">
      <w:r>
        <w:rPr>
          <w:b/>
        </w:rPr>
        <w:t>_______________</w:t>
      </w:r>
    </w:p>
  </w:footnote>
  <w:footnote w:type="continuationSeparator" w:id="0">
    <w:p w14:paraId="3A3DA2E3" w14:textId="77777777" w:rsidR="00367DC8" w:rsidRDefault="00367DC8">
      <w:r>
        <w:continuationSeparator/>
      </w:r>
    </w:p>
  </w:footnote>
  <w:footnote w:id="1">
    <w:p w14:paraId="400B7365" w14:textId="77777777" w:rsidR="0063098D" w:rsidRPr="00815FAF" w:rsidRDefault="00107873"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5C53" w14:textId="362136F7" w:rsidR="004F1F8E" w:rsidRDefault="004F1F8E" w:rsidP="004F1F8E">
    <w:pPr>
      <w:pStyle w:val="Header"/>
    </w:pPr>
    <w:r>
      <w:fldChar w:fldCharType="begin"/>
    </w:r>
    <w:r>
      <w:instrText xml:space="preserve"> PAGE </w:instrText>
    </w:r>
    <w:r>
      <w:fldChar w:fldCharType="separate"/>
    </w:r>
    <w:r w:rsidR="00094FB9">
      <w:rPr>
        <w:noProof/>
      </w:rPr>
      <w:t>3</w:t>
    </w:r>
    <w:r>
      <w:fldChar w:fldCharType="end"/>
    </w:r>
  </w:p>
  <w:p w14:paraId="73C1AC06" w14:textId="77777777" w:rsidR="004F1F8E" w:rsidRDefault="00225CF2" w:rsidP="00FD7AA3">
    <w:pPr>
      <w:pStyle w:val="Header"/>
    </w:pPr>
    <w:r>
      <w:t>WRC</w:t>
    </w:r>
    <w:r w:rsidR="00D3426F">
      <w:t>23</w:t>
    </w:r>
    <w:r w:rsidR="004F1F8E">
      <w:t>/</w:t>
    </w:r>
    <w:r w:rsidR="006A4B45">
      <w:t>65(Add.25)(Add.3)-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89574073">
    <w:abstractNumId w:val="0"/>
  </w:num>
  <w:num w:numId="2" w16cid:durableId="78173160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6479"/>
    <w:rsid w:val="00007EC7"/>
    <w:rsid w:val="00010B43"/>
    <w:rsid w:val="00016648"/>
    <w:rsid w:val="0003522F"/>
    <w:rsid w:val="00063A1F"/>
    <w:rsid w:val="00080E2C"/>
    <w:rsid w:val="00081366"/>
    <w:rsid w:val="00082E25"/>
    <w:rsid w:val="000863B3"/>
    <w:rsid w:val="00094FB9"/>
    <w:rsid w:val="000A4755"/>
    <w:rsid w:val="000A55AE"/>
    <w:rsid w:val="000A6543"/>
    <w:rsid w:val="000B2E0C"/>
    <w:rsid w:val="000B3D0C"/>
    <w:rsid w:val="00102EB2"/>
    <w:rsid w:val="00107873"/>
    <w:rsid w:val="001167B9"/>
    <w:rsid w:val="001267A0"/>
    <w:rsid w:val="0015203F"/>
    <w:rsid w:val="00160C64"/>
    <w:rsid w:val="0017200B"/>
    <w:rsid w:val="0018169B"/>
    <w:rsid w:val="0019352B"/>
    <w:rsid w:val="001960D0"/>
    <w:rsid w:val="001A11F6"/>
    <w:rsid w:val="001F17E8"/>
    <w:rsid w:val="001F3F33"/>
    <w:rsid w:val="00204306"/>
    <w:rsid w:val="00225CF2"/>
    <w:rsid w:val="00232FD2"/>
    <w:rsid w:val="00261702"/>
    <w:rsid w:val="0026554E"/>
    <w:rsid w:val="002A4622"/>
    <w:rsid w:val="002A6F8F"/>
    <w:rsid w:val="002B17E5"/>
    <w:rsid w:val="002C0EBF"/>
    <w:rsid w:val="002C28A4"/>
    <w:rsid w:val="002D7E0A"/>
    <w:rsid w:val="00315AFE"/>
    <w:rsid w:val="003411F6"/>
    <w:rsid w:val="003422EE"/>
    <w:rsid w:val="003606A6"/>
    <w:rsid w:val="0036650C"/>
    <w:rsid w:val="00367DC8"/>
    <w:rsid w:val="00393ACD"/>
    <w:rsid w:val="003A583E"/>
    <w:rsid w:val="003E112B"/>
    <w:rsid w:val="003E1D1C"/>
    <w:rsid w:val="003E7B05"/>
    <w:rsid w:val="003F3719"/>
    <w:rsid w:val="003F6F2D"/>
    <w:rsid w:val="00466211"/>
    <w:rsid w:val="00483196"/>
    <w:rsid w:val="004834A9"/>
    <w:rsid w:val="004C594D"/>
    <w:rsid w:val="004D01FC"/>
    <w:rsid w:val="004E28C3"/>
    <w:rsid w:val="004F1F8E"/>
    <w:rsid w:val="00512A32"/>
    <w:rsid w:val="005343DA"/>
    <w:rsid w:val="00560874"/>
    <w:rsid w:val="00586CF2"/>
    <w:rsid w:val="005A7C75"/>
    <w:rsid w:val="005B10CF"/>
    <w:rsid w:val="005C3768"/>
    <w:rsid w:val="005C6C3F"/>
    <w:rsid w:val="005E6437"/>
    <w:rsid w:val="00613635"/>
    <w:rsid w:val="00613E51"/>
    <w:rsid w:val="0062093D"/>
    <w:rsid w:val="0063098D"/>
    <w:rsid w:val="00637ECF"/>
    <w:rsid w:val="00647B59"/>
    <w:rsid w:val="006816EB"/>
    <w:rsid w:val="00690C7B"/>
    <w:rsid w:val="006A4B45"/>
    <w:rsid w:val="006D4724"/>
    <w:rsid w:val="006F5FA2"/>
    <w:rsid w:val="00700713"/>
    <w:rsid w:val="0070076C"/>
    <w:rsid w:val="00701BAE"/>
    <w:rsid w:val="00721F04"/>
    <w:rsid w:val="00730E95"/>
    <w:rsid w:val="007426B9"/>
    <w:rsid w:val="00764342"/>
    <w:rsid w:val="00774362"/>
    <w:rsid w:val="00784FAB"/>
    <w:rsid w:val="00786598"/>
    <w:rsid w:val="00790C74"/>
    <w:rsid w:val="007A04E8"/>
    <w:rsid w:val="007B2C34"/>
    <w:rsid w:val="007E0702"/>
    <w:rsid w:val="007F282B"/>
    <w:rsid w:val="00830086"/>
    <w:rsid w:val="008462DA"/>
    <w:rsid w:val="00851625"/>
    <w:rsid w:val="00852D25"/>
    <w:rsid w:val="00863C0A"/>
    <w:rsid w:val="008A3120"/>
    <w:rsid w:val="008A4B97"/>
    <w:rsid w:val="008C5B8E"/>
    <w:rsid w:val="008C5DD5"/>
    <w:rsid w:val="008C7123"/>
    <w:rsid w:val="008D41BE"/>
    <w:rsid w:val="008D58D3"/>
    <w:rsid w:val="008E3BC9"/>
    <w:rsid w:val="008F0B46"/>
    <w:rsid w:val="00923064"/>
    <w:rsid w:val="00930FFD"/>
    <w:rsid w:val="00936D25"/>
    <w:rsid w:val="00941EA5"/>
    <w:rsid w:val="00964700"/>
    <w:rsid w:val="00966C16"/>
    <w:rsid w:val="0098732F"/>
    <w:rsid w:val="009A045F"/>
    <w:rsid w:val="009A3358"/>
    <w:rsid w:val="009A6A2B"/>
    <w:rsid w:val="009B782F"/>
    <w:rsid w:val="009C7E7C"/>
    <w:rsid w:val="00A00473"/>
    <w:rsid w:val="00A03C9B"/>
    <w:rsid w:val="00A37105"/>
    <w:rsid w:val="00A606C3"/>
    <w:rsid w:val="00A62E09"/>
    <w:rsid w:val="00A83B09"/>
    <w:rsid w:val="00A84541"/>
    <w:rsid w:val="00AE11C7"/>
    <w:rsid w:val="00AE36A0"/>
    <w:rsid w:val="00AF2681"/>
    <w:rsid w:val="00B00294"/>
    <w:rsid w:val="00B3749C"/>
    <w:rsid w:val="00B41A88"/>
    <w:rsid w:val="00B64FD0"/>
    <w:rsid w:val="00BA5BD0"/>
    <w:rsid w:val="00BA5D08"/>
    <w:rsid w:val="00BB1D82"/>
    <w:rsid w:val="00BC217E"/>
    <w:rsid w:val="00BD51C5"/>
    <w:rsid w:val="00BF26E7"/>
    <w:rsid w:val="00C043F2"/>
    <w:rsid w:val="00C1305F"/>
    <w:rsid w:val="00C16545"/>
    <w:rsid w:val="00C17444"/>
    <w:rsid w:val="00C2126E"/>
    <w:rsid w:val="00C53FCA"/>
    <w:rsid w:val="00C71DEB"/>
    <w:rsid w:val="00C76BAF"/>
    <w:rsid w:val="00C814B9"/>
    <w:rsid w:val="00CB685A"/>
    <w:rsid w:val="00CD516F"/>
    <w:rsid w:val="00CF7AD3"/>
    <w:rsid w:val="00D119A7"/>
    <w:rsid w:val="00D25FBA"/>
    <w:rsid w:val="00D32B28"/>
    <w:rsid w:val="00D3426F"/>
    <w:rsid w:val="00D42954"/>
    <w:rsid w:val="00D66EAC"/>
    <w:rsid w:val="00D730DF"/>
    <w:rsid w:val="00D772F0"/>
    <w:rsid w:val="00D77BDC"/>
    <w:rsid w:val="00DC402B"/>
    <w:rsid w:val="00DD5108"/>
    <w:rsid w:val="00DE0932"/>
    <w:rsid w:val="00DF15E8"/>
    <w:rsid w:val="00E03A27"/>
    <w:rsid w:val="00E049F1"/>
    <w:rsid w:val="00E37A25"/>
    <w:rsid w:val="00E537FF"/>
    <w:rsid w:val="00E544AB"/>
    <w:rsid w:val="00E60CB2"/>
    <w:rsid w:val="00E6539B"/>
    <w:rsid w:val="00E70A31"/>
    <w:rsid w:val="00E723A7"/>
    <w:rsid w:val="00EA3F38"/>
    <w:rsid w:val="00EA5AB6"/>
    <w:rsid w:val="00EC7615"/>
    <w:rsid w:val="00ED16AA"/>
    <w:rsid w:val="00ED6B8D"/>
    <w:rsid w:val="00EE3D7B"/>
    <w:rsid w:val="00EF662E"/>
    <w:rsid w:val="00F10064"/>
    <w:rsid w:val="00F148F1"/>
    <w:rsid w:val="00F2755C"/>
    <w:rsid w:val="00F65293"/>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AB03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Agendaitem">
    <w:name w:val="Agenda_item"/>
    <w:basedOn w:val="Normal"/>
    <w:next w:val="Normal"/>
    <w:qFormat/>
    <w:rsid w:val="004E28C3"/>
    <w:pPr>
      <w:overflowPunct/>
      <w:autoSpaceDE/>
      <w:autoSpaceDN/>
      <w:adjustRightInd/>
      <w:spacing w:before="240"/>
      <w:jc w:val="center"/>
      <w:textAlignment w:val="auto"/>
    </w:pPr>
    <w:rPr>
      <w:sz w:val="28"/>
      <w:lang w:val="fr-CH"/>
    </w:r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Reasons">
    <w:name w:val="Reasons"/>
    <w:basedOn w:val="Normal"/>
    <w:qFormat/>
    <w:rsid w:val="00D25FBA"/>
    <w:pPr>
      <w:tabs>
        <w:tab w:val="clear" w:pos="1871"/>
        <w:tab w:val="clear" w:pos="2268"/>
        <w:tab w:val="left" w:pos="1588"/>
        <w:tab w:val="left" w:pos="1985"/>
      </w:tabs>
    </w:pPr>
  </w:style>
  <w:style w:type="paragraph" w:customStyle="1" w:styleId="Source">
    <w:name w:val="Source"/>
    <w:basedOn w:val="Normal"/>
    <w:next w:val="Normal"/>
    <w:rsid w:val="00D25FBA"/>
    <w:pPr>
      <w:spacing w:before="840"/>
      <w:jc w:val="center"/>
    </w:pPr>
    <w:rPr>
      <w:b/>
      <w:sz w:val="28"/>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semiHidden/>
    <w:unhideWhenUsed/>
    <w:rsid w:val="00261702"/>
    <w:rPr>
      <w:sz w:val="16"/>
      <w:szCs w:val="16"/>
    </w:rPr>
  </w:style>
  <w:style w:type="paragraph" w:styleId="CommentText">
    <w:name w:val="annotation text"/>
    <w:basedOn w:val="Normal"/>
    <w:link w:val="CommentTextChar"/>
    <w:unhideWhenUsed/>
    <w:rsid w:val="00261702"/>
    <w:rPr>
      <w:sz w:val="20"/>
    </w:rPr>
  </w:style>
  <w:style w:type="character" w:customStyle="1" w:styleId="CommentTextChar">
    <w:name w:val="Comment Text Char"/>
    <w:basedOn w:val="DefaultParagraphFont"/>
    <w:link w:val="CommentText"/>
    <w:rsid w:val="00261702"/>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61702"/>
    <w:rPr>
      <w:b/>
      <w:bCs/>
    </w:rPr>
  </w:style>
  <w:style w:type="character" w:customStyle="1" w:styleId="CommentSubjectChar">
    <w:name w:val="Comment Subject Char"/>
    <w:basedOn w:val="CommentTextChar"/>
    <w:link w:val="CommentSubject"/>
    <w:semiHidden/>
    <w:rsid w:val="00261702"/>
    <w:rPr>
      <w:rFonts w:ascii="Times New Roman" w:hAnsi="Times New Roman"/>
      <w:b/>
      <w:bCs/>
      <w:lang w:val="fr-FR" w:eastAsia="en-US"/>
    </w:rPr>
  </w:style>
  <w:style w:type="paragraph" w:styleId="Revision">
    <w:name w:val="Revision"/>
    <w:hidden/>
    <w:uiPriority w:val="99"/>
    <w:semiHidden/>
    <w:rsid w:val="00C043F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00-CPM-SP-0001/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R23-WRC23-C-0065!A25-A3!MSW-F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4ACDDD1-F02B-4D46-AF69-6906C1390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DC95230A-73A9-4E13-8C14-987A2C74419A}">
  <ds:schemaRefs>
    <ds:schemaRef ds:uri="http://schemas.microsoft.com/sharepoint/events"/>
  </ds:schemaRefs>
</ds:datastoreItem>
</file>

<file path=customXml/itemProps4.xml><?xml version="1.0" encoding="utf-8"?>
<ds:datastoreItem xmlns:ds="http://schemas.openxmlformats.org/officeDocument/2006/customXml" ds:itemID="{6537A262-B7CF-4D3F-B44C-9CCD04476AD9}">
  <ds:schemaRefs>
    <ds:schemaRef ds:uri="http://purl.org/dc/elements/1.1/"/>
    <ds:schemaRef ds:uri="32a1a8c5-2265-4ebc-b7a0-2071e2c5c9bb"/>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691</Words>
  <Characters>3895</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R23-WRC23-C-0065!A25-A3!MSW-F</vt:lpstr>
      <vt:lpstr>R23-WRC23-C-0065!A25-A3!MSW-F</vt:lpstr>
    </vt:vector>
  </TitlesOfParts>
  <Manager>Secrétariat général - Pool</Manager>
  <Company>Union internationale des télécommunications (UIT)</Company>
  <LinksUpToDate>false</LinksUpToDate>
  <CharactersWithSpaces>4577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R23-WRC23-C-0065!A25-A3!MSW-F</dc:title>
  <dc:subject>Conférence mondiale des radiocommunications - 2019</dc:subject>
  <dc:creator>Documents Proposals Manager (DPM)</dc:creator>
  <cp:keywords>DPM_v2023.11.6.1_prod</cp:keywords>
  <dc:description/>
  <cp:lastModifiedBy>French</cp:lastModifiedBy>
  <cp:revision>6</cp:revision>
  <cp:lastPrinted>2003-06-05T19:34:00Z</cp:lastPrinted>
  <dcterms:created xsi:type="dcterms:W3CDTF">2023-11-15T15:36:00Z</dcterms:created>
  <dcterms:modified xsi:type="dcterms:W3CDTF">2023-11-16T08:39:00Z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