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361061" w14:paraId="6D83658B" w14:textId="77777777" w:rsidTr="00C1305F">
        <w:trPr>
          <w:cantSplit/>
        </w:trPr>
        <w:tc>
          <w:tcPr>
            <w:tcW w:w="1418" w:type="dxa"/>
            <w:vAlign w:val="center"/>
          </w:tcPr>
          <w:p w14:paraId="04A70443" w14:textId="77777777" w:rsidR="00C1305F" w:rsidRPr="00361061" w:rsidRDefault="00C1305F" w:rsidP="0039714A">
            <w:pPr>
              <w:spacing w:before="0"/>
              <w:rPr>
                <w:rFonts w:ascii="Verdana" w:hAnsi="Verdana"/>
                <w:b/>
                <w:bCs/>
                <w:sz w:val="20"/>
              </w:rPr>
            </w:pPr>
            <w:r w:rsidRPr="00361061">
              <w:rPr>
                <w:lang w:eastAsia="fr-CH"/>
              </w:rPr>
              <w:drawing>
                <wp:inline distT="0" distB="0" distL="0" distR="0" wp14:anchorId="06828BF8" wp14:editId="59406137">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165B2934" w14:textId="6BE3E2DC" w:rsidR="00C1305F" w:rsidRPr="00361061" w:rsidRDefault="00C1305F" w:rsidP="0039714A">
            <w:pPr>
              <w:spacing w:before="400" w:after="48"/>
              <w:rPr>
                <w:rFonts w:ascii="Verdana" w:hAnsi="Verdana"/>
                <w:b/>
                <w:bCs/>
                <w:sz w:val="20"/>
              </w:rPr>
            </w:pPr>
            <w:r w:rsidRPr="00361061">
              <w:rPr>
                <w:rFonts w:ascii="Verdana" w:hAnsi="Verdana"/>
                <w:b/>
                <w:bCs/>
                <w:sz w:val="20"/>
              </w:rPr>
              <w:t>Conférence mondiale des radiocommunications (CMR-23)</w:t>
            </w:r>
            <w:r w:rsidRPr="00361061">
              <w:rPr>
                <w:rFonts w:ascii="Verdana" w:hAnsi="Verdana"/>
                <w:b/>
                <w:bCs/>
                <w:sz w:val="20"/>
              </w:rPr>
              <w:br/>
            </w:r>
            <w:r w:rsidRPr="00361061">
              <w:rPr>
                <w:rFonts w:ascii="Verdana" w:hAnsi="Verdana"/>
                <w:b/>
                <w:bCs/>
                <w:sz w:val="18"/>
                <w:szCs w:val="18"/>
              </w:rPr>
              <w:t xml:space="preserve">Dubaï, 20 novembre </w:t>
            </w:r>
            <w:r w:rsidR="00996B01" w:rsidRPr="00361061">
              <w:rPr>
                <w:rFonts w:ascii="Verdana" w:hAnsi="Verdana"/>
                <w:b/>
                <w:bCs/>
                <w:sz w:val="18"/>
                <w:szCs w:val="18"/>
              </w:rPr>
              <w:t>–</w:t>
            </w:r>
            <w:r w:rsidRPr="00361061">
              <w:rPr>
                <w:rFonts w:ascii="Verdana" w:hAnsi="Verdana"/>
                <w:b/>
                <w:bCs/>
                <w:sz w:val="18"/>
                <w:szCs w:val="18"/>
              </w:rPr>
              <w:t xml:space="preserve"> 15 décembre 2023</w:t>
            </w:r>
          </w:p>
        </w:tc>
        <w:tc>
          <w:tcPr>
            <w:tcW w:w="1809" w:type="dxa"/>
            <w:vAlign w:val="center"/>
          </w:tcPr>
          <w:p w14:paraId="42485F78" w14:textId="77777777" w:rsidR="00C1305F" w:rsidRPr="00361061" w:rsidRDefault="00C1305F" w:rsidP="0039714A">
            <w:pPr>
              <w:spacing w:before="0"/>
            </w:pPr>
            <w:bookmarkStart w:id="0" w:name="ditulogo"/>
            <w:bookmarkEnd w:id="0"/>
            <w:r w:rsidRPr="00361061">
              <w:rPr>
                <w:lang w:eastAsia="fr-CH"/>
              </w:rPr>
              <w:drawing>
                <wp:inline distT="0" distB="0" distL="0" distR="0" wp14:anchorId="15DE56B2" wp14:editId="0DB0AABB">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361061" w14:paraId="6F7F611F" w14:textId="77777777" w:rsidTr="0050008E">
        <w:trPr>
          <w:cantSplit/>
        </w:trPr>
        <w:tc>
          <w:tcPr>
            <w:tcW w:w="6911" w:type="dxa"/>
            <w:gridSpan w:val="2"/>
            <w:tcBorders>
              <w:bottom w:val="single" w:sz="12" w:space="0" w:color="auto"/>
            </w:tcBorders>
          </w:tcPr>
          <w:p w14:paraId="64DB755D" w14:textId="77777777" w:rsidR="00BB1D82" w:rsidRPr="00361061" w:rsidRDefault="00BB1D82" w:rsidP="0039714A">
            <w:pPr>
              <w:spacing w:before="0" w:after="48"/>
              <w:rPr>
                <w:b/>
                <w:smallCaps/>
                <w:szCs w:val="24"/>
              </w:rPr>
            </w:pPr>
            <w:bookmarkStart w:id="1" w:name="dhead"/>
          </w:p>
        </w:tc>
        <w:tc>
          <w:tcPr>
            <w:tcW w:w="3120" w:type="dxa"/>
            <w:gridSpan w:val="2"/>
            <w:tcBorders>
              <w:bottom w:val="single" w:sz="12" w:space="0" w:color="auto"/>
            </w:tcBorders>
          </w:tcPr>
          <w:p w14:paraId="523251F7" w14:textId="77777777" w:rsidR="00BB1D82" w:rsidRPr="00361061" w:rsidRDefault="00BB1D82" w:rsidP="0039714A">
            <w:pPr>
              <w:spacing w:before="0"/>
              <w:rPr>
                <w:rFonts w:ascii="Verdana" w:hAnsi="Verdana"/>
                <w:szCs w:val="24"/>
              </w:rPr>
            </w:pPr>
          </w:p>
        </w:tc>
      </w:tr>
      <w:tr w:rsidR="00BB1D82" w:rsidRPr="00361061" w14:paraId="24FEED5B" w14:textId="77777777" w:rsidTr="00BB1D82">
        <w:trPr>
          <w:cantSplit/>
        </w:trPr>
        <w:tc>
          <w:tcPr>
            <w:tcW w:w="6911" w:type="dxa"/>
            <w:gridSpan w:val="2"/>
            <w:tcBorders>
              <w:top w:val="single" w:sz="12" w:space="0" w:color="auto"/>
            </w:tcBorders>
          </w:tcPr>
          <w:p w14:paraId="04BDCDCA" w14:textId="77777777" w:rsidR="00BB1D82" w:rsidRPr="00361061" w:rsidRDefault="00BB1D82" w:rsidP="0039714A">
            <w:pPr>
              <w:spacing w:before="0" w:after="48"/>
              <w:rPr>
                <w:rFonts w:ascii="Verdana" w:hAnsi="Verdana"/>
                <w:b/>
                <w:smallCaps/>
                <w:sz w:val="20"/>
              </w:rPr>
            </w:pPr>
          </w:p>
        </w:tc>
        <w:tc>
          <w:tcPr>
            <w:tcW w:w="3120" w:type="dxa"/>
            <w:gridSpan w:val="2"/>
            <w:tcBorders>
              <w:top w:val="single" w:sz="12" w:space="0" w:color="auto"/>
            </w:tcBorders>
          </w:tcPr>
          <w:p w14:paraId="008C64AD" w14:textId="77777777" w:rsidR="00BB1D82" w:rsidRPr="00361061" w:rsidRDefault="00BB1D82" w:rsidP="0039714A">
            <w:pPr>
              <w:spacing w:before="0"/>
              <w:rPr>
                <w:rFonts w:ascii="Verdana" w:hAnsi="Verdana"/>
                <w:sz w:val="20"/>
              </w:rPr>
            </w:pPr>
          </w:p>
        </w:tc>
      </w:tr>
      <w:tr w:rsidR="00BB1D82" w:rsidRPr="00361061" w14:paraId="5171F279" w14:textId="77777777" w:rsidTr="00BB1D82">
        <w:trPr>
          <w:cantSplit/>
        </w:trPr>
        <w:tc>
          <w:tcPr>
            <w:tcW w:w="6911" w:type="dxa"/>
            <w:gridSpan w:val="2"/>
          </w:tcPr>
          <w:p w14:paraId="62E491DA" w14:textId="77777777" w:rsidR="00BB1D82" w:rsidRPr="00361061" w:rsidRDefault="006D4724" w:rsidP="0039714A">
            <w:pPr>
              <w:spacing w:before="0"/>
              <w:rPr>
                <w:rFonts w:ascii="Verdana" w:hAnsi="Verdana"/>
                <w:b/>
                <w:sz w:val="20"/>
              </w:rPr>
            </w:pPr>
            <w:r w:rsidRPr="00361061">
              <w:rPr>
                <w:rFonts w:ascii="Verdana" w:hAnsi="Verdana"/>
                <w:b/>
                <w:sz w:val="20"/>
              </w:rPr>
              <w:t>SÉANCE PLÉNIÈRE</w:t>
            </w:r>
          </w:p>
        </w:tc>
        <w:tc>
          <w:tcPr>
            <w:tcW w:w="3120" w:type="dxa"/>
            <w:gridSpan w:val="2"/>
          </w:tcPr>
          <w:p w14:paraId="75BC3CB5" w14:textId="77777777" w:rsidR="00BB1D82" w:rsidRPr="00361061" w:rsidRDefault="006D4724" w:rsidP="0039714A">
            <w:pPr>
              <w:spacing w:before="0"/>
              <w:rPr>
                <w:rFonts w:ascii="Verdana" w:hAnsi="Verdana"/>
                <w:sz w:val="20"/>
              </w:rPr>
            </w:pPr>
            <w:r w:rsidRPr="00361061">
              <w:rPr>
                <w:rFonts w:ascii="Verdana" w:hAnsi="Verdana"/>
                <w:b/>
                <w:sz w:val="20"/>
              </w:rPr>
              <w:t>Addendum 4 au</w:t>
            </w:r>
            <w:r w:rsidRPr="00361061">
              <w:rPr>
                <w:rFonts w:ascii="Verdana" w:hAnsi="Verdana"/>
                <w:b/>
                <w:sz w:val="20"/>
              </w:rPr>
              <w:br/>
              <w:t>Document 65(Add.25)</w:t>
            </w:r>
            <w:r w:rsidR="00BB1D82" w:rsidRPr="00361061">
              <w:rPr>
                <w:rFonts w:ascii="Verdana" w:hAnsi="Verdana"/>
                <w:b/>
                <w:sz w:val="20"/>
              </w:rPr>
              <w:t>-</w:t>
            </w:r>
            <w:r w:rsidRPr="00361061">
              <w:rPr>
                <w:rFonts w:ascii="Verdana" w:hAnsi="Verdana"/>
                <w:b/>
                <w:sz w:val="20"/>
              </w:rPr>
              <w:t>F</w:t>
            </w:r>
          </w:p>
        </w:tc>
      </w:tr>
      <w:bookmarkEnd w:id="1"/>
      <w:tr w:rsidR="00690C7B" w:rsidRPr="00361061" w14:paraId="602954CE" w14:textId="77777777" w:rsidTr="00BB1D82">
        <w:trPr>
          <w:cantSplit/>
        </w:trPr>
        <w:tc>
          <w:tcPr>
            <w:tcW w:w="6911" w:type="dxa"/>
            <w:gridSpan w:val="2"/>
          </w:tcPr>
          <w:p w14:paraId="1B6FFC94" w14:textId="77777777" w:rsidR="00690C7B" w:rsidRPr="00361061" w:rsidRDefault="00690C7B" w:rsidP="0039714A">
            <w:pPr>
              <w:spacing w:before="0"/>
              <w:rPr>
                <w:rFonts w:ascii="Verdana" w:hAnsi="Verdana"/>
                <w:b/>
                <w:sz w:val="20"/>
              </w:rPr>
            </w:pPr>
          </w:p>
        </w:tc>
        <w:tc>
          <w:tcPr>
            <w:tcW w:w="3120" w:type="dxa"/>
            <w:gridSpan w:val="2"/>
          </w:tcPr>
          <w:p w14:paraId="32396D78" w14:textId="77777777" w:rsidR="00690C7B" w:rsidRPr="00361061" w:rsidRDefault="00690C7B" w:rsidP="0039714A">
            <w:pPr>
              <w:spacing w:before="0"/>
              <w:rPr>
                <w:rFonts w:ascii="Verdana" w:hAnsi="Verdana"/>
                <w:b/>
                <w:sz w:val="20"/>
              </w:rPr>
            </w:pPr>
            <w:r w:rsidRPr="00361061">
              <w:rPr>
                <w:rFonts w:ascii="Verdana" w:hAnsi="Verdana"/>
                <w:b/>
                <w:sz w:val="20"/>
              </w:rPr>
              <w:t>29 septembre 2023</w:t>
            </w:r>
          </w:p>
        </w:tc>
      </w:tr>
      <w:tr w:rsidR="00690C7B" w:rsidRPr="00361061" w14:paraId="66CCF66C" w14:textId="77777777" w:rsidTr="00BB1D82">
        <w:trPr>
          <w:cantSplit/>
        </w:trPr>
        <w:tc>
          <w:tcPr>
            <w:tcW w:w="6911" w:type="dxa"/>
            <w:gridSpan w:val="2"/>
          </w:tcPr>
          <w:p w14:paraId="2CA7563A" w14:textId="77777777" w:rsidR="00690C7B" w:rsidRPr="00361061" w:rsidRDefault="00690C7B" w:rsidP="0039714A">
            <w:pPr>
              <w:spacing w:before="0" w:after="48"/>
              <w:rPr>
                <w:rFonts w:ascii="Verdana" w:hAnsi="Verdana"/>
                <w:b/>
                <w:smallCaps/>
                <w:sz w:val="20"/>
              </w:rPr>
            </w:pPr>
          </w:p>
        </w:tc>
        <w:tc>
          <w:tcPr>
            <w:tcW w:w="3120" w:type="dxa"/>
            <w:gridSpan w:val="2"/>
          </w:tcPr>
          <w:p w14:paraId="2AA3BE6C" w14:textId="77777777" w:rsidR="00690C7B" w:rsidRPr="00361061" w:rsidRDefault="00690C7B" w:rsidP="0039714A">
            <w:pPr>
              <w:spacing w:before="0"/>
              <w:rPr>
                <w:rFonts w:ascii="Verdana" w:hAnsi="Verdana"/>
                <w:b/>
                <w:sz w:val="20"/>
              </w:rPr>
            </w:pPr>
            <w:r w:rsidRPr="00361061">
              <w:rPr>
                <w:rFonts w:ascii="Verdana" w:hAnsi="Verdana"/>
                <w:b/>
                <w:sz w:val="20"/>
              </w:rPr>
              <w:t>Original: anglais</w:t>
            </w:r>
          </w:p>
        </w:tc>
      </w:tr>
      <w:tr w:rsidR="00690C7B" w:rsidRPr="00361061" w14:paraId="56A553C3" w14:textId="77777777" w:rsidTr="00C11970">
        <w:trPr>
          <w:cantSplit/>
        </w:trPr>
        <w:tc>
          <w:tcPr>
            <w:tcW w:w="10031" w:type="dxa"/>
            <w:gridSpan w:val="4"/>
          </w:tcPr>
          <w:p w14:paraId="6016681F" w14:textId="77777777" w:rsidR="00690C7B" w:rsidRPr="00361061" w:rsidRDefault="00690C7B" w:rsidP="0039714A">
            <w:pPr>
              <w:spacing w:before="0"/>
              <w:rPr>
                <w:rFonts w:ascii="Verdana" w:hAnsi="Verdana"/>
                <w:b/>
                <w:sz w:val="20"/>
              </w:rPr>
            </w:pPr>
          </w:p>
        </w:tc>
      </w:tr>
      <w:tr w:rsidR="00690C7B" w:rsidRPr="00361061" w14:paraId="3DF979CF" w14:textId="77777777" w:rsidTr="0050008E">
        <w:trPr>
          <w:cantSplit/>
        </w:trPr>
        <w:tc>
          <w:tcPr>
            <w:tcW w:w="10031" w:type="dxa"/>
            <w:gridSpan w:val="4"/>
          </w:tcPr>
          <w:p w14:paraId="1F8B4C43" w14:textId="77777777" w:rsidR="00690C7B" w:rsidRPr="00361061" w:rsidRDefault="00690C7B" w:rsidP="0039714A">
            <w:pPr>
              <w:pStyle w:val="Source"/>
            </w:pPr>
            <w:bookmarkStart w:id="2" w:name="dsource" w:colFirst="0" w:colLast="0"/>
            <w:r w:rsidRPr="00361061">
              <w:t>Propositions européennes communes</w:t>
            </w:r>
          </w:p>
        </w:tc>
      </w:tr>
      <w:tr w:rsidR="00690C7B" w:rsidRPr="00361061" w14:paraId="1D4CFE49" w14:textId="77777777" w:rsidTr="0050008E">
        <w:trPr>
          <w:cantSplit/>
        </w:trPr>
        <w:tc>
          <w:tcPr>
            <w:tcW w:w="10031" w:type="dxa"/>
            <w:gridSpan w:val="4"/>
          </w:tcPr>
          <w:p w14:paraId="26C2E161" w14:textId="625F1365" w:rsidR="00690C7B" w:rsidRPr="00361061" w:rsidRDefault="002C4436" w:rsidP="0039714A">
            <w:pPr>
              <w:pStyle w:val="Title1"/>
            </w:pPr>
            <w:bookmarkStart w:id="3" w:name="dtitle1" w:colFirst="0" w:colLast="0"/>
            <w:bookmarkEnd w:id="2"/>
            <w:r w:rsidRPr="00361061">
              <w:t>Propositions pour les travaux de la conférence</w:t>
            </w:r>
          </w:p>
        </w:tc>
      </w:tr>
      <w:tr w:rsidR="00690C7B" w:rsidRPr="00361061" w14:paraId="54F0F3E3" w14:textId="77777777" w:rsidTr="0050008E">
        <w:trPr>
          <w:cantSplit/>
        </w:trPr>
        <w:tc>
          <w:tcPr>
            <w:tcW w:w="10031" w:type="dxa"/>
            <w:gridSpan w:val="4"/>
          </w:tcPr>
          <w:p w14:paraId="2DC40B44" w14:textId="77777777" w:rsidR="00690C7B" w:rsidRPr="00361061" w:rsidRDefault="00690C7B" w:rsidP="0039714A">
            <w:pPr>
              <w:pStyle w:val="Title2"/>
            </w:pPr>
            <w:bookmarkStart w:id="4" w:name="dtitle2" w:colFirst="0" w:colLast="0"/>
            <w:bookmarkEnd w:id="3"/>
          </w:p>
        </w:tc>
      </w:tr>
      <w:tr w:rsidR="00690C7B" w:rsidRPr="00361061" w14:paraId="53581F9C" w14:textId="77777777" w:rsidTr="0050008E">
        <w:trPr>
          <w:cantSplit/>
        </w:trPr>
        <w:tc>
          <w:tcPr>
            <w:tcW w:w="10031" w:type="dxa"/>
            <w:gridSpan w:val="4"/>
          </w:tcPr>
          <w:p w14:paraId="3AC9308B" w14:textId="77777777" w:rsidR="00690C7B" w:rsidRPr="00361061" w:rsidRDefault="00690C7B" w:rsidP="0039714A">
            <w:pPr>
              <w:pStyle w:val="Agendaitem"/>
              <w:rPr>
                <w:lang w:val="fr-FR"/>
              </w:rPr>
            </w:pPr>
            <w:bookmarkStart w:id="5" w:name="dtitle3" w:colFirst="0" w:colLast="0"/>
            <w:bookmarkEnd w:id="4"/>
            <w:r w:rsidRPr="00361061">
              <w:rPr>
                <w:lang w:val="fr-FR"/>
              </w:rPr>
              <w:t>Point 9.2 de l'ordre du jour</w:t>
            </w:r>
          </w:p>
        </w:tc>
      </w:tr>
    </w:tbl>
    <w:bookmarkEnd w:id="5"/>
    <w:p w14:paraId="76C178B6" w14:textId="77777777" w:rsidR="00F5133A" w:rsidRPr="00361061" w:rsidRDefault="00007470" w:rsidP="0039714A">
      <w:r w:rsidRPr="00361061">
        <w:t>9</w:t>
      </w:r>
      <w:r w:rsidRPr="00361061">
        <w:tab/>
        <w:t>examiner et approuver le rapport du Directeur du Bureau des radiocommunications, conformément à l'article 7 de la Convention de l'UIT:</w:t>
      </w:r>
    </w:p>
    <w:p w14:paraId="7740E489" w14:textId="77777777" w:rsidR="00F5133A" w:rsidRPr="00361061" w:rsidRDefault="00007470" w:rsidP="0039714A">
      <w:r w:rsidRPr="00361061">
        <w:t>9.2</w:t>
      </w:r>
      <w:r w:rsidRPr="00361061">
        <w:tab/>
        <w:t>sur les difficultés rencontrées ou les incohérences constatées dans l'application du Règlement des radiocommunications</w:t>
      </w:r>
      <w:r w:rsidRPr="00361061">
        <w:rPr>
          <w:rStyle w:val="FootnoteReference"/>
        </w:rPr>
        <w:footnoteReference w:customMarkFollows="1" w:id="1"/>
        <w:t>1</w:t>
      </w:r>
      <w:r w:rsidRPr="00361061">
        <w:t>; et</w:t>
      </w:r>
    </w:p>
    <w:p w14:paraId="0F8C56E1" w14:textId="5FC81EC7" w:rsidR="003A583E" w:rsidRPr="00361061" w:rsidRDefault="002C4436" w:rsidP="0039714A">
      <w:pPr>
        <w:pStyle w:val="Part1"/>
      </w:pPr>
      <w:r w:rsidRPr="00361061">
        <w:t>Partie 4</w:t>
      </w:r>
      <w:r w:rsidR="00EC4F56" w:rsidRPr="00361061">
        <w:t>: Partie 3.2.5.1 de l</w:t>
      </w:r>
      <w:r w:rsidR="004C6D71" w:rsidRPr="00361061">
        <w:t>'</w:t>
      </w:r>
      <w:r w:rsidR="00EC4F56" w:rsidRPr="00361061">
        <w:t>Addendum 2 au Rapport du Directeur à la CMR-23</w:t>
      </w:r>
    </w:p>
    <w:p w14:paraId="7F934590" w14:textId="32AE780C" w:rsidR="002C4436" w:rsidRPr="00361061" w:rsidRDefault="002C4436" w:rsidP="0039714A">
      <w:pPr>
        <w:pStyle w:val="Headingb"/>
      </w:pPr>
      <w:r w:rsidRPr="00361061">
        <w:t>Introduction</w:t>
      </w:r>
    </w:p>
    <w:p w14:paraId="6A403D99" w14:textId="2082F08F" w:rsidR="002C4436" w:rsidRPr="00361061" w:rsidRDefault="00D9599D" w:rsidP="0039714A">
      <w:pPr>
        <w:rPr>
          <w:color w:val="000000"/>
          <w:sz w:val="16"/>
          <w:szCs w:val="16"/>
        </w:rPr>
      </w:pPr>
      <w:r w:rsidRPr="00361061">
        <w:rPr>
          <w:color w:val="000000"/>
        </w:rPr>
        <w:t>Le</w:t>
      </w:r>
      <w:r w:rsidR="00EC4F56" w:rsidRPr="00361061">
        <w:rPr>
          <w:color w:val="000000"/>
        </w:rPr>
        <w:t xml:space="preserve"> §</w:t>
      </w:r>
      <w:r w:rsidR="00996B01" w:rsidRPr="00361061">
        <w:rPr>
          <w:color w:val="000000"/>
        </w:rPr>
        <w:t xml:space="preserve"> </w:t>
      </w:r>
      <w:r w:rsidR="00EC4F56" w:rsidRPr="00361061">
        <w:rPr>
          <w:color w:val="000000"/>
        </w:rPr>
        <w:t>4.1.24 de l</w:t>
      </w:r>
      <w:r w:rsidR="004C6D71" w:rsidRPr="00361061">
        <w:rPr>
          <w:color w:val="000000"/>
        </w:rPr>
        <w:t>'</w:t>
      </w:r>
      <w:r w:rsidR="00EC4F56" w:rsidRPr="00361061">
        <w:rPr>
          <w:color w:val="000000"/>
        </w:rPr>
        <w:t>Article 4 de l</w:t>
      </w:r>
      <w:r w:rsidR="004C6D71" w:rsidRPr="00361061">
        <w:rPr>
          <w:color w:val="000000"/>
        </w:rPr>
        <w:t>'</w:t>
      </w:r>
      <w:r w:rsidR="00EC4F56" w:rsidRPr="00361061">
        <w:rPr>
          <w:color w:val="000000"/>
        </w:rPr>
        <w:t xml:space="preserve">Appendice </w:t>
      </w:r>
      <w:r w:rsidR="00EC4F56" w:rsidRPr="00361061">
        <w:rPr>
          <w:b/>
          <w:bCs/>
          <w:color w:val="000000"/>
        </w:rPr>
        <w:t>30</w:t>
      </w:r>
      <w:r w:rsidR="00EC4F56" w:rsidRPr="00361061">
        <w:rPr>
          <w:color w:val="000000"/>
        </w:rPr>
        <w:t xml:space="preserve"> du Règlement des radiocommunications (RR), </w:t>
      </w:r>
      <w:r w:rsidRPr="00361061">
        <w:rPr>
          <w:color w:val="000000"/>
        </w:rPr>
        <w:t>dispose</w:t>
      </w:r>
      <w:r w:rsidR="002C4436" w:rsidRPr="00361061">
        <w:rPr>
          <w:color w:val="000000"/>
        </w:rPr>
        <w:t xml:space="preserve">: </w:t>
      </w:r>
      <w:r w:rsidR="002C4436" w:rsidRPr="00361061">
        <w:t>«</w:t>
      </w:r>
      <w:r w:rsidR="002C4436" w:rsidRPr="00361061">
        <w:rPr>
          <w:color w:val="000000"/>
        </w:rPr>
        <w:t>Aucune assignation de la Liste ne doit avoir une période d'exploitation supérieure à 15 années à compter de la date de mise en service ou du 2 juin 2000 en prenant la date la plus tardive. À la demande de l'administration responsable, reçue par le Bureau au moins trois ans avant l'expiration de ce délai, ce délai peut être prolongé de 15 ans maximum, à condition que toutes les caractéristiques de l'assignation demeurent inchangées</w:t>
      </w:r>
      <w:r w:rsidR="002C4436" w:rsidRPr="00361061">
        <w:rPr>
          <w:rStyle w:val="FootnoteReference"/>
          <w:color w:val="000000"/>
        </w:rPr>
        <w:footnoteReference w:customMarkFollows="1" w:id="2"/>
        <w:t>9</w:t>
      </w:r>
      <w:r w:rsidR="002C4436" w:rsidRPr="00361061">
        <w:rPr>
          <w:rStyle w:val="FootnoteReference"/>
          <w:i/>
          <w:iCs/>
          <w:color w:val="000000"/>
        </w:rPr>
        <w:t>bis</w:t>
      </w:r>
      <w:r w:rsidR="002C4436" w:rsidRPr="00361061">
        <w:rPr>
          <w:color w:val="000000"/>
        </w:rPr>
        <w:t>.</w:t>
      </w:r>
      <w:r w:rsidR="002C4436" w:rsidRPr="00361061">
        <w:rPr>
          <w:color w:val="000000"/>
          <w:sz w:val="16"/>
          <w:szCs w:val="16"/>
        </w:rPr>
        <w:t>     (CMR-19)</w:t>
      </w:r>
      <w:r w:rsidR="002C4436" w:rsidRPr="00361061">
        <w:t>».</w:t>
      </w:r>
    </w:p>
    <w:p w14:paraId="6F1FB134" w14:textId="7B1EB231" w:rsidR="002C4436" w:rsidRPr="00361061" w:rsidRDefault="00EC4F56" w:rsidP="00996B01">
      <w:pPr>
        <w:keepLines/>
        <w:rPr>
          <w:color w:val="000000"/>
          <w:sz w:val="16"/>
          <w:szCs w:val="16"/>
        </w:rPr>
      </w:pPr>
      <w:r w:rsidRPr="00361061">
        <w:rPr>
          <w:color w:val="000000"/>
          <w:szCs w:val="24"/>
        </w:rPr>
        <w:lastRenderedPageBreak/>
        <w:t>Le</w:t>
      </w:r>
      <w:r w:rsidRPr="00361061">
        <w:rPr>
          <w:color w:val="000000"/>
        </w:rPr>
        <w:t xml:space="preserve"> §</w:t>
      </w:r>
      <w:r w:rsidR="00996B01" w:rsidRPr="00361061">
        <w:rPr>
          <w:color w:val="000000"/>
        </w:rPr>
        <w:t xml:space="preserve"> </w:t>
      </w:r>
      <w:r w:rsidRPr="00361061">
        <w:rPr>
          <w:color w:val="000000"/>
        </w:rPr>
        <w:t>4.1.24 de l</w:t>
      </w:r>
      <w:r w:rsidR="004C6D71" w:rsidRPr="00361061">
        <w:rPr>
          <w:color w:val="000000"/>
        </w:rPr>
        <w:t>'</w:t>
      </w:r>
      <w:r w:rsidRPr="00361061">
        <w:rPr>
          <w:color w:val="000000"/>
        </w:rPr>
        <w:t>Article 4 de l</w:t>
      </w:r>
      <w:r w:rsidR="004C6D71" w:rsidRPr="00361061">
        <w:rPr>
          <w:color w:val="000000"/>
        </w:rPr>
        <w:t>'</w:t>
      </w:r>
      <w:r w:rsidRPr="00361061">
        <w:rPr>
          <w:color w:val="000000"/>
        </w:rPr>
        <w:t xml:space="preserve">Appendice </w:t>
      </w:r>
      <w:r w:rsidRPr="00361061">
        <w:rPr>
          <w:b/>
          <w:bCs/>
          <w:color w:val="000000"/>
        </w:rPr>
        <w:t>30A</w:t>
      </w:r>
      <w:r w:rsidRPr="00361061">
        <w:rPr>
          <w:color w:val="000000"/>
        </w:rPr>
        <w:t xml:space="preserve"> du RR </w:t>
      </w:r>
      <w:r w:rsidR="00D9599D" w:rsidRPr="00361061">
        <w:rPr>
          <w:color w:val="000000"/>
        </w:rPr>
        <w:t>dispose</w:t>
      </w:r>
      <w:r w:rsidR="002C4436" w:rsidRPr="00361061">
        <w:rPr>
          <w:color w:val="000000"/>
          <w:szCs w:val="24"/>
        </w:rPr>
        <w:t xml:space="preserve">: </w:t>
      </w:r>
      <w:r w:rsidR="002C4436" w:rsidRPr="00361061">
        <w:t>«</w:t>
      </w:r>
      <w:r w:rsidR="002C4436" w:rsidRPr="00361061">
        <w:rPr>
          <w:color w:val="000000"/>
        </w:rPr>
        <w:t>Aucune assignation de la Liste des liaisons de connexion ne doit avoir une période d'exploitation supérieure à 15 années à compter de la date de mise en service ou du 2 juin 2000 en prenant la date la plus tardive. À la demande de l'administration responsable, reçue par le Bureau au moins trois ans avant l'expiration de ce délai, ce délai peut être prolongé de 15 ans maximum, à condition que toutes les caractéristiques de l'assignation demeurent inchangées</w:t>
      </w:r>
      <w:r w:rsidR="005B0FF2" w:rsidRPr="00361061">
        <w:rPr>
          <w:rStyle w:val="FootnoteReference"/>
          <w:color w:val="000000"/>
        </w:rPr>
        <w:footnoteReference w:customMarkFollows="1" w:id="3"/>
        <w:t>11</w:t>
      </w:r>
      <w:r w:rsidR="005B0FF2" w:rsidRPr="00361061">
        <w:rPr>
          <w:rStyle w:val="FootnoteReference"/>
          <w:i/>
          <w:iCs/>
          <w:color w:val="000000"/>
        </w:rPr>
        <w:t>bis</w:t>
      </w:r>
      <w:r w:rsidR="002C4436" w:rsidRPr="00361061">
        <w:rPr>
          <w:color w:val="000000"/>
        </w:rPr>
        <w:t>.</w:t>
      </w:r>
      <w:r w:rsidR="002C4436" w:rsidRPr="00361061">
        <w:rPr>
          <w:color w:val="000000"/>
          <w:sz w:val="16"/>
          <w:szCs w:val="16"/>
        </w:rPr>
        <w:t>     (CMR-19)</w:t>
      </w:r>
      <w:r w:rsidR="002C4436" w:rsidRPr="00361061">
        <w:t>».</w:t>
      </w:r>
    </w:p>
    <w:p w14:paraId="0A527520" w14:textId="02FE595E" w:rsidR="005B0FF2" w:rsidRPr="00361061" w:rsidRDefault="00D9599D" w:rsidP="0039714A">
      <w:pPr>
        <w:rPr>
          <w:szCs w:val="24"/>
        </w:rPr>
      </w:pPr>
      <w:r w:rsidRPr="00361061">
        <w:t>L</w:t>
      </w:r>
      <w:r w:rsidR="00EC4F56" w:rsidRPr="00361061">
        <w:t>a section 3.2.5.1 du Rapport du Directeur à la CMR-23</w:t>
      </w:r>
      <w:r w:rsidRPr="00361061">
        <w:t xml:space="preserve"> </w:t>
      </w:r>
      <w:r w:rsidR="00EC4F56" w:rsidRPr="00361061">
        <w:t xml:space="preserve">fait observer </w:t>
      </w:r>
      <w:r w:rsidRPr="00361061">
        <w:t>ce qui suit</w:t>
      </w:r>
      <w:r w:rsidR="005B0FF2" w:rsidRPr="00361061">
        <w:t>:</w:t>
      </w:r>
    </w:p>
    <w:p w14:paraId="30299FDF" w14:textId="77777777" w:rsidR="005B0FF2" w:rsidRPr="00361061" w:rsidRDefault="005B0FF2" w:rsidP="0039714A">
      <w:pPr>
        <w:rPr>
          <w:i/>
          <w:iCs/>
        </w:rPr>
      </w:pPr>
      <w:r w:rsidRPr="00361061">
        <w:rPr>
          <w:i/>
          <w:iCs/>
        </w:rPr>
        <w:t xml:space="preserve">Conformément au § 4.1.24 des Appendices </w:t>
      </w:r>
      <w:r w:rsidRPr="00361061">
        <w:rPr>
          <w:b/>
          <w:bCs/>
          <w:i/>
          <w:iCs/>
        </w:rPr>
        <w:t>30</w:t>
      </w:r>
      <w:r w:rsidRPr="00361061">
        <w:rPr>
          <w:i/>
          <w:iCs/>
        </w:rPr>
        <w:t xml:space="preserve"> et </w:t>
      </w:r>
      <w:r w:rsidRPr="00361061">
        <w:rPr>
          <w:b/>
          <w:bCs/>
          <w:i/>
          <w:iCs/>
        </w:rPr>
        <w:t>30A</w:t>
      </w:r>
      <w:r w:rsidRPr="00361061">
        <w:rPr>
          <w:i/>
          <w:iCs/>
        </w:rPr>
        <w:t xml:space="preserve"> du RR, aucune assignation de la Liste ne doit avoir une période d'exploitation supérieure à 15 années à compter de la date de mise en service ou du 2 juin 2000 en prenant la date la plus tardive. À la demande de l'administration responsable, reçue par le Bureau au plus tard trois ans avant l'expiration de ce délai, ce délai peut être prolongé de 15 ans au maximum, à condition que toutes les caractéristiques de l'assignation demeurent inchangées.</w:t>
      </w:r>
    </w:p>
    <w:p w14:paraId="47E6EF80" w14:textId="77777777" w:rsidR="005B0FF2" w:rsidRPr="00361061" w:rsidRDefault="005B0FF2" w:rsidP="0039714A">
      <w:pPr>
        <w:rPr>
          <w:i/>
          <w:iCs/>
        </w:rPr>
      </w:pPr>
      <w:r w:rsidRPr="00361061">
        <w:rPr>
          <w:i/>
          <w:iCs/>
        </w:rPr>
        <w:t xml:space="preserve">En réponse à une proposition formulée dans le rapport du Directeur, la CMR-19 a décidé d'ajouter des notes de bas de page au § 4.1.24 de l'Article 4 des Appendices </w:t>
      </w:r>
      <w:r w:rsidRPr="00361061">
        <w:rPr>
          <w:b/>
          <w:bCs/>
          <w:i/>
          <w:iCs/>
        </w:rPr>
        <w:t>30</w:t>
      </w:r>
      <w:r w:rsidRPr="00361061">
        <w:rPr>
          <w:i/>
          <w:iCs/>
        </w:rPr>
        <w:t xml:space="preserve"> et </w:t>
      </w:r>
      <w:r w:rsidRPr="00361061">
        <w:rPr>
          <w:b/>
          <w:bCs/>
          <w:i/>
          <w:iCs/>
        </w:rPr>
        <w:t>30A</w:t>
      </w:r>
      <w:r w:rsidRPr="00361061">
        <w:rPr>
          <w:i/>
          <w:iCs/>
        </w:rPr>
        <w:t>, afin que le Bureau envoie un rappel à l'administration notificatrice, au plus tard 90 jours avant l'expiration du délai de trois ans pour une telle demande.</w:t>
      </w:r>
    </w:p>
    <w:p w14:paraId="017ED1E7" w14:textId="288DCD73" w:rsidR="005B0FF2" w:rsidRPr="00361061" w:rsidRDefault="005B0FF2" w:rsidP="0039714A">
      <w:pPr>
        <w:rPr>
          <w:i/>
          <w:iCs/>
        </w:rPr>
      </w:pPr>
      <w:r w:rsidRPr="00361061">
        <w:rPr>
          <w:i/>
          <w:iCs/>
        </w:rPr>
        <w:t xml:space="preserve">Depuis la décision de la CMR-19, le Bureau a reçu une demande de prorogation après le délai fixé conformément au § 4.1.24 de l'Article 4 des Appendices </w:t>
      </w:r>
      <w:r w:rsidRPr="00361061">
        <w:rPr>
          <w:b/>
          <w:bCs/>
          <w:i/>
          <w:iCs/>
        </w:rPr>
        <w:t>30</w:t>
      </w:r>
      <w:r w:rsidRPr="00361061">
        <w:rPr>
          <w:i/>
          <w:iCs/>
        </w:rPr>
        <w:t xml:space="preserve"> et </w:t>
      </w:r>
      <w:r w:rsidRPr="00361061">
        <w:rPr>
          <w:b/>
          <w:bCs/>
          <w:i/>
          <w:iCs/>
        </w:rPr>
        <w:t>30A</w:t>
      </w:r>
      <w:r w:rsidRPr="00361061">
        <w:rPr>
          <w:i/>
          <w:iCs/>
        </w:rPr>
        <w:t xml:space="preserve"> (voir le point 4n</w:t>
      </w:r>
      <w:r w:rsidR="00996B01" w:rsidRPr="00361061">
        <w:rPr>
          <w:i/>
          <w:iCs/>
        </w:rPr>
        <w:t>)</w:t>
      </w:r>
      <w:r w:rsidRPr="00361061">
        <w:rPr>
          <w:i/>
          <w:iCs/>
        </w:rPr>
        <w:t xml:space="preserve"> du </w:t>
      </w:r>
      <w:hyperlink r:id="rId14" w:history="1">
        <w:r w:rsidRPr="00361061">
          <w:rPr>
            <w:rStyle w:val="Hyperlink"/>
            <w:i/>
            <w:iCs/>
          </w:rPr>
          <w:t>Résumé des décisions de la 92ème réunion du Comité du Règlement des radiocommunication</w:t>
        </w:r>
        <w:r w:rsidRPr="00361061">
          <w:rPr>
            <w:rStyle w:val="Hyperlink"/>
            <w:i/>
            <w:iCs/>
          </w:rPr>
          <w:t>s</w:t>
        </w:r>
      </w:hyperlink>
      <w:r w:rsidRPr="00361061">
        <w:rPr>
          <w:i/>
          <w:iCs/>
        </w:rPr>
        <w:t xml:space="preserve"> pour obtenir de plus amples détails sur le cas en question et la pratique adoptée).</w:t>
      </w:r>
    </w:p>
    <w:p w14:paraId="5E093CA9" w14:textId="36290E5E" w:rsidR="005B0FF2" w:rsidRPr="00361061" w:rsidRDefault="005B0FF2" w:rsidP="0039714A">
      <w:pPr>
        <w:rPr>
          <w:i/>
          <w:iCs/>
        </w:rPr>
      </w:pPr>
      <w:r w:rsidRPr="00361061">
        <w:rPr>
          <w:i/>
          <w:iCs/>
        </w:rPr>
        <w:t>Malgré la décision d'envoyer un rappel, il semble que le délai de trois ans pour demander la prorogation soit difficile à mettre en œuvre pour les administrations en raison de la période particulièrement longue qui sépare le moment où la demande doit être envoyée de la fin de la première période d'exploitation de 15 ans.</w:t>
      </w:r>
    </w:p>
    <w:p w14:paraId="6018ED2F" w14:textId="32513C4C" w:rsidR="005B0FF2" w:rsidRPr="00361061" w:rsidRDefault="005B0FF2" w:rsidP="0039714A">
      <w:r w:rsidRPr="00361061">
        <w:rPr>
          <w:i/>
          <w:iCs/>
        </w:rPr>
        <w:t xml:space="preserve">Compte tenu de ce qui précède, la Conférence voudra peut-être réexaminer le § 4.1.24 de l'Article 4 des Appendices </w:t>
      </w:r>
      <w:r w:rsidRPr="00361061">
        <w:rPr>
          <w:b/>
          <w:bCs/>
          <w:i/>
          <w:iCs/>
        </w:rPr>
        <w:t>30</w:t>
      </w:r>
      <w:r w:rsidRPr="00361061">
        <w:rPr>
          <w:i/>
          <w:iCs/>
        </w:rPr>
        <w:t xml:space="preserve"> et </w:t>
      </w:r>
      <w:r w:rsidRPr="00361061">
        <w:rPr>
          <w:b/>
          <w:bCs/>
          <w:i/>
          <w:iCs/>
        </w:rPr>
        <w:t>30A</w:t>
      </w:r>
      <w:r w:rsidRPr="00361061">
        <w:rPr>
          <w:i/>
          <w:iCs/>
        </w:rPr>
        <w:t>.</w:t>
      </w:r>
    </w:p>
    <w:p w14:paraId="718303E7" w14:textId="36358FCE" w:rsidR="00007470" w:rsidRPr="00361061" w:rsidRDefault="00007470" w:rsidP="0039714A">
      <w:pPr>
        <w:pStyle w:val="Headingb"/>
      </w:pPr>
      <w:r w:rsidRPr="00361061">
        <w:t>Proposition</w:t>
      </w:r>
    </w:p>
    <w:p w14:paraId="15EDBA00" w14:textId="77777777" w:rsidR="0015203F" w:rsidRPr="00361061" w:rsidRDefault="0015203F" w:rsidP="0039714A">
      <w:pPr>
        <w:tabs>
          <w:tab w:val="clear" w:pos="1134"/>
          <w:tab w:val="clear" w:pos="1871"/>
          <w:tab w:val="clear" w:pos="2268"/>
        </w:tabs>
        <w:overflowPunct/>
        <w:autoSpaceDE/>
        <w:autoSpaceDN/>
        <w:adjustRightInd/>
        <w:spacing w:before="0"/>
        <w:textAlignment w:val="auto"/>
      </w:pPr>
      <w:r w:rsidRPr="00361061">
        <w:br w:type="page"/>
      </w:r>
    </w:p>
    <w:p w14:paraId="5401AB91" w14:textId="77777777" w:rsidR="007F4A7D" w:rsidRPr="00361061" w:rsidRDefault="00007470" w:rsidP="0039714A">
      <w:pPr>
        <w:pStyle w:val="Proposal"/>
      </w:pPr>
      <w:r w:rsidRPr="00361061">
        <w:lastRenderedPageBreak/>
        <w:tab/>
        <w:t>EUR/65A25A4/1</w:t>
      </w:r>
    </w:p>
    <w:p w14:paraId="5D8D0841" w14:textId="1A109EE0" w:rsidR="007F4A7D" w:rsidRPr="00361061" w:rsidRDefault="00EC4F56" w:rsidP="0039714A">
      <w:r w:rsidRPr="00361061">
        <w:t xml:space="preserve">La CEPT </w:t>
      </w:r>
      <w:r w:rsidR="00D9599D" w:rsidRPr="00361061">
        <w:t xml:space="preserve">estime </w:t>
      </w:r>
      <w:r w:rsidRPr="00361061">
        <w:t>qu</w:t>
      </w:r>
      <w:r w:rsidR="004C6D71" w:rsidRPr="00361061">
        <w:t>'</w:t>
      </w:r>
      <w:r w:rsidRPr="00361061">
        <w:t xml:space="preserve">en raison de la longueur des </w:t>
      </w:r>
      <w:r w:rsidR="00D9599D" w:rsidRPr="00361061">
        <w:t>échéances</w:t>
      </w:r>
      <w:r w:rsidRPr="00361061">
        <w:t xml:space="preserve">, il peut être difficile </w:t>
      </w:r>
      <w:r w:rsidR="00D9599D" w:rsidRPr="00361061">
        <w:t xml:space="preserve">aux </w:t>
      </w:r>
      <w:r w:rsidRPr="00361061">
        <w:t xml:space="preserve">administrations </w:t>
      </w:r>
      <w:r w:rsidR="00D9599D" w:rsidRPr="00361061">
        <w:t xml:space="preserve">de réagir </w:t>
      </w:r>
      <w:r w:rsidRPr="00361061">
        <w:t>dans un délai de 90 jours. La CEPT note également que le § 4.1.24 de l</w:t>
      </w:r>
      <w:r w:rsidR="004C6D71" w:rsidRPr="00361061">
        <w:t>'</w:t>
      </w:r>
      <w:r w:rsidRPr="00361061">
        <w:t xml:space="preserve">Article 4 des Appendices </w:t>
      </w:r>
      <w:r w:rsidRPr="00361061">
        <w:rPr>
          <w:b/>
          <w:bCs/>
        </w:rPr>
        <w:t>30</w:t>
      </w:r>
      <w:r w:rsidRPr="00361061">
        <w:t xml:space="preserve"> et </w:t>
      </w:r>
      <w:r w:rsidRPr="00361061">
        <w:rPr>
          <w:b/>
          <w:bCs/>
        </w:rPr>
        <w:t>30A</w:t>
      </w:r>
      <w:r w:rsidRPr="00361061">
        <w:t xml:space="preserve"> du RR fixe une </w:t>
      </w:r>
      <w:r w:rsidR="00E05CC5" w:rsidRPr="00361061">
        <w:t>date d</w:t>
      </w:r>
      <w:r w:rsidR="004C6D71" w:rsidRPr="00361061">
        <w:t>'</w:t>
      </w:r>
      <w:r w:rsidR="00E05CC5" w:rsidRPr="00361061">
        <w:t xml:space="preserve">expiration définitive </w:t>
      </w:r>
      <w:r w:rsidRPr="00361061">
        <w:t xml:space="preserve">pour les assignations figurant dans la Liste, que celles-ci </w:t>
      </w:r>
      <w:r w:rsidR="00E05CC5" w:rsidRPr="00361061">
        <w:t xml:space="preserve">aient été </w:t>
      </w:r>
      <w:r w:rsidRPr="00361061">
        <w:t>mise</w:t>
      </w:r>
      <w:r w:rsidR="00996B01" w:rsidRPr="00361061">
        <w:t>s</w:t>
      </w:r>
      <w:r w:rsidRPr="00361061">
        <w:t xml:space="preserve"> en service ou non à cette date. Cette pratique va à l</w:t>
      </w:r>
      <w:r w:rsidR="004C6D71" w:rsidRPr="00361061">
        <w:t>'</w:t>
      </w:r>
      <w:r w:rsidRPr="00361061">
        <w:t xml:space="preserve">encontre du point 1.2 du </w:t>
      </w:r>
      <w:r w:rsidRPr="00361061">
        <w:rPr>
          <w:i/>
          <w:iCs/>
        </w:rPr>
        <w:t>décide</w:t>
      </w:r>
      <w:r w:rsidRPr="00361061">
        <w:t xml:space="preserve"> de la Résolution </w:t>
      </w:r>
      <w:r w:rsidRPr="00361061">
        <w:rPr>
          <w:b/>
          <w:bCs/>
        </w:rPr>
        <w:t>4 (Rév.CMR-03)</w:t>
      </w:r>
      <w:r w:rsidRPr="00361061">
        <w:t xml:space="preserve"> et pourrait poser de graves problèmes aux administrations, dont les réseaux à satellite coordonnés et mis en service ne seraient pas reconnus dans les bases de données de l</w:t>
      </w:r>
      <w:r w:rsidR="004C6D71" w:rsidRPr="00361061">
        <w:t>'</w:t>
      </w:r>
      <w:r w:rsidRPr="00361061">
        <w:t>UIT. Cela poserait des difficultés non seulement à l</w:t>
      </w:r>
      <w:r w:rsidR="004C6D71" w:rsidRPr="00361061">
        <w:t>'</w:t>
      </w:r>
      <w:r w:rsidRPr="00361061">
        <w:t>administration notificatrice dont le réseau exploité est annulé, mais aussi aux autres administrations qui souhaitent mettre en place un nouveau réseau à satellite et qui ne seront pas en mesure d</w:t>
      </w:r>
      <w:r w:rsidR="004C6D71" w:rsidRPr="00361061">
        <w:t>'</w:t>
      </w:r>
      <w:r w:rsidRPr="00361061">
        <w:t>identifier l</w:t>
      </w:r>
      <w:r w:rsidR="004C6D71" w:rsidRPr="00361061">
        <w:t>'</w:t>
      </w:r>
      <w:r w:rsidRPr="00361061">
        <w:t>existence d</w:t>
      </w:r>
      <w:r w:rsidR="004C6D71" w:rsidRPr="00361061">
        <w:t>'</w:t>
      </w:r>
      <w:r w:rsidRPr="00361061">
        <w:t>un réseau à satellite déjà exploité, ni de mesurer les conséquences sur le plan de la compatibilité technique.</w:t>
      </w:r>
    </w:p>
    <w:p w14:paraId="03E59E35" w14:textId="0D89554E" w:rsidR="00007470" w:rsidRPr="00361061" w:rsidRDefault="00EC4F56" w:rsidP="0039714A">
      <w:r w:rsidRPr="00361061">
        <w:t>Il est nécessaire d</w:t>
      </w:r>
      <w:r w:rsidR="004C6D71" w:rsidRPr="00361061">
        <w:t>'</w:t>
      </w:r>
      <w:r w:rsidRPr="00361061">
        <w:t xml:space="preserve">étudier des </w:t>
      </w:r>
      <w:r w:rsidR="00E05CC5" w:rsidRPr="00361061">
        <w:t xml:space="preserve">moyens de remédier aux </w:t>
      </w:r>
      <w:r w:rsidRPr="00361061">
        <w:t>problèmes liés au § 4.1.24 de l</w:t>
      </w:r>
      <w:r w:rsidR="004C6D71" w:rsidRPr="00361061">
        <w:t>'</w:t>
      </w:r>
      <w:r w:rsidRPr="00361061">
        <w:t xml:space="preserve">Article 4 des Appendices </w:t>
      </w:r>
      <w:r w:rsidRPr="00361061">
        <w:rPr>
          <w:b/>
          <w:bCs/>
        </w:rPr>
        <w:t>30</w:t>
      </w:r>
      <w:r w:rsidRPr="00361061">
        <w:t xml:space="preserve"> et </w:t>
      </w:r>
      <w:r w:rsidRPr="00361061">
        <w:rPr>
          <w:b/>
          <w:bCs/>
        </w:rPr>
        <w:t>30A</w:t>
      </w:r>
      <w:r w:rsidRPr="00361061">
        <w:t xml:space="preserve"> du RR et de trouver des solutions</w:t>
      </w:r>
      <w:r w:rsidR="00007470" w:rsidRPr="00361061">
        <w:t>.</w:t>
      </w:r>
    </w:p>
    <w:p w14:paraId="5B56B749" w14:textId="0AABBA24" w:rsidR="00007470" w:rsidRPr="00361061" w:rsidRDefault="00EC4F56" w:rsidP="0039714A">
      <w:r w:rsidRPr="00361061">
        <w:t>Par conséquent, la CEPT propose de faire figurer dans le procès-verbal de la CMR-23 la déclaration suivante:</w:t>
      </w:r>
    </w:p>
    <w:p w14:paraId="517826DC" w14:textId="0E8305BD" w:rsidR="00007470" w:rsidRPr="00361061" w:rsidRDefault="00007470" w:rsidP="0039714A">
      <w:pPr>
        <w:pStyle w:val="enumlev1"/>
        <w:rPr>
          <w:i/>
          <w:iCs/>
        </w:rPr>
      </w:pPr>
      <w:r w:rsidRPr="00361061">
        <w:rPr>
          <w:i/>
          <w:iCs/>
        </w:rPr>
        <w:tab/>
      </w:r>
      <w:r w:rsidR="0039714A" w:rsidRPr="00361061">
        <w:rPr>
          <w:i/>
          <w:iCs/>
        </w:rPr>
        <w:t>La CMR-23 reconnaît qu</w:t>
      </w:r>
      <w:r w:rsidR="004C6D71" w:rsidRPr="00361061">
        <w:rPr>
          <w:i/>
          <w:iCs/>
        </w:rPr>
        <w:t>'</w:t>
      </w:r>
      <w:r w:rsidR="0039714A" w:rsidRPr="00361061">
        <w:rPr>
          <w:i/>
          <w:iCs/>
        </w:rPr>
        <w:t xml:space="preserve">en raison de la longueur des </w:t>
      </w:r>
      <w:r w:rsidR="00E05CC5" w:rsidRPr="00361061">
        <w:rPr>
          <w:i/>
          <w:iCs/>
        </w:rPr>
        <w:t>échéances</w:t>
      </w:r>
      <w:r w:rsidR="0039714A" w:rsidRPr="00361061">
        <w:rPr>
          <w:i/>
          <w:iCs/>
        </w:rPr>
        <w:t xml:space="preserve">, il peut être difficile </w:t>
      </w:r>
      <w:r w:rsidR="00E05CC5" w:rsidRPr="00361061">
        <w:rPr>
          <w:i/>
          <w:iCs/>
        </w:rPr>
        <w:t xml:space="preserve">aux </w:t>
      </w:r>
      <w:r w:rsidR="0039714A" w:rsidRPr="00361061">
        <w:rPr>
          <w:i/>
          <w:iCs/>
        </w:rPr>
        <w:t>administrations d</w:t>
      </w:r>
      <w:r w:rsidR="00E05CC5" w:rsidRPr="00361061">
        <w:rPr>
          <w:i/>
          <w:iCs/>
        </w:rPr>
        <w:t>e ré</w:t>
      </w:r>
      <w:r w:rsidR="0039714A" w:rsidRPr="00361061">
        <w:rPr>
          <w:i/>
          <w:iCs/>
        </w:rPr>
        <w:t>agir dans un délai de 90 jours. La CMR-23 note également que le § 4.1.24 de l</w:t>
      </w:r>
      <w:r w:rsidR="004C6D71" w:rsidRPr="00361061">
        <w:rPr>
          <w:i/>
          <w:iCs/>
        </w:rPr>
        <w:t>'</w:t>
      </w:r>
      <w:r w:rsidR="0039714A" w:rsidRPr="00361061">
        <w:rPr>
          <w:i/>
          <w:iCs/>
        </w:rPr>
        <w:t xml:space="preserve">Article 4 des Appendices </w:t>
      </w:r>
      <w:r w:rsidR="0039714A" w:rsidRPr="00361061">
        <w:rPr>
          <w:b/>
          <w:bCs/>
          <w:i/>
          <w:iCs/>
        </w:rPr>
        <w:t>30</w:t>
      </w:r>
      <w:r w:rsidR="0039714A" w:rsidRPr="00361061">
        <w:rPr>
          <w:i/>
          <w:iCs/>
        </w:rPr>
        <w:t xml:space="preserve"> et </w:t>
      </w:r>
      <w:r w:rsidR="0039714A" w:rsidRPr="00361061">
        <w:rPr>
          <w:b/>
          <w:bCs/>
          <w:i/>
          <w:iCs/>
        </w:rPr>
        <w:t>30A</w:t>
      </w:r>
      <w:r w:rsidR="0039714A" w:rsidRPr="00361061">
        <w:rPr>
          <w:i/>
          <w:iCs/>
        </w:rPr>
        <w:t xml:space="preserve"> du RR fixe une </w:t>
      </w:r>
      <w:r w:rsidR="00E05CC5" w:rsidRPr="00361061">
        <w:rPr>
          <w:i/>
          <w:iCs/>
        </w:rPr>
        <w:t>date d</w:t>
      </w:r>
      <w:r w:rsidR="004C6D71" w:rsidRPr="00361061">
        <w:rPr>
          <w:i/>
          <w:iCs/>
        </w:rPr>
        <w:t>'</w:t>
      </w:r>
      <w:r w:rsidR="00E05CC5" w:rsidRPr="00361061">
        <w:rPr>
          <w:i/>
          <w:iCs/>
        </w:rPr>
        <w:t xml:space="preserve">expiration définitive </w:t>
      </w:r>
      <w:r w:rsidR="0039714A" w:rsidRPr="00361061">
        <w:rPr>
          <w:i/>
          <w:iCs/>
        </w:rPr>
        <w:t xml:space="preserve">pour les assignations figurant dans la Liste, que celles-ci </w:t>
      </w:r>
      <w:r w:rsidR="00E05CC5" w:rsidRPr="00361061">
        <w:rPr>
          <w:i/>
          <w:iCs/>
        </w:rPr>
        <w:t xml:space="preserve">aient été </w:t>
      </w:r>
      <w:r w:rsidR="0039714A" w:rsidRPr="00361061">
        <w:rPr>
          <w:i/>
          <w:iCs/>
        </w:rPr>
        <w:t>mise</w:t>
      </w:r>
      <w:r w:rsidR="00996B01" w:rsidRPr="00361061">
        <w:rPr>
          <w:i/>
          <w:iCs/>
        </w:rPr>
        <w:t>s</w:t>
      </w:r>
      <w:r w:rsidR="0039714A" w:rsidRPr="00361061">
        <w:rPr>
          <w:i/>
          <w:iCs/>
        </w:rPr>
        <w:t xml:space="preserve"> en service ou non à cette date. Cette pratique va à l</w:t>
      </w:r>
      <w:r w:rsidR="004C6D71" w:rsidRPr="00361061">
        <w:rPr>
          <w:i/>
          <w:iCs/>
        </w:rPr>
        <w:t>'</w:t>
      </w:r>
      <w:r w:rsidR="0039714A" w:rsidRPr="00361061">
        <w:rPr>
          <w:i/>
          <w:iCs/>
        </w:rPr>
        <w:t xml:space="preserve">encontre du point 1.2 du décide de la Résolution </w:t>
      </w:r>
      <w:r w:rsidR="0039714A" w:rsidRPr="00361061">
        <w:rPr>
          <w:b/>
          <w:bCs/>
          <w:i/>
          <w:iCs/>
        </w:rPr>
        <w:t>4 (Rév.CMR-03)</w:t>
      </w:r>
      <w:r w:rsidR="0039714A" w:rsidRPr="00361061">
        <w:rPr>
          <w:i/>
          <w:iCs/>
        </w:rPr>
        <w:t xml:space="preserve"> et pourrait poser de graves problèmes aux administrations, dont les réseaux à satellite coordonnés et mis en service ne seraient pas reconnus dans les bases de données de l</w:t>
      </w:r>
      <w:r w:rsidR="004C6D71" w:rsidRPr="00361061">
        <w:rPr>
          <w:i/>
          <w:iCs/>
        </w:rPr>
        <w:t>'</w:t>
      </w:r>
      <w:r w:rsidR="0039714A" w:rsidRPr="00361061">
        <w:rPr>
          <w:i/>
          <w:iCs/>
        </w:rPr>
        <w:t>UIT. Cela poserait des difficultés non seulement à l</w:t>
      </w:r>
      <w:r w:rsidR="004C6D71" w:rsidRPr="00361061">
        <w:rPr>
          <w:i/>
          <w:iCs/>
        </w:rPr>
        <w:t>'</w:t>
      </w:r>
      <w:r w:rsidR="0039714A" w:rsidRPr="00361061">
        <w:rPr>
          <w:i/>
          <w:iCs/>
        </w:rPr>
        <w:t>administration notificatrice dont le réseau exploité est annulé, mais aussi aux autres administrations qui souhaitent mettre en place un nouveau réseau à satellite et qui ne seront pas en mesure d</w:t>
      </w:r>
      <w:r w:rsidR="004C6D71" w:rsidRPr="00361061">
        <w:rPr>
          <w:i/>
          <w:iCs/>
        </w:rPr>
        <w:t>'</w:t>
      </w:r>
      <w:r w:rsidR="0039714A" w:rsidRPr="00361061">
        <w:rPr>
          <w:i/>
          <w:iCs/>
        </w:rPr>
        <w:t>identifier l</w:t>
      </w:r>
      <w:r w:rsidR="004C6D71" w:rsidRPr="00361061">
        <w:rPr>
          <w:i/>
          <w:iCs/>
        </w:rPr>
        <w:t>'</w:t>
      </w:r>
      <w:r w:rsidR="0039714A" w:rsidRPr="00361061">
        <w:rPr>
          <w:i/>
          <w:iCs/>
        </w:rPr>
        <w:t>existence d</w:t>
      </w:r>
      <w:r w:rsidR="004C6D71" w:rsidRPr="00361061">
        <w:rPr>
          <w:i/>
          <w:iCs/>
        </w:rPr>
        <w:t>'</w:t>
      </w:r>
      <w:r w:rsidR="0039714A" w:rsidRPr="00361061">
        <w:rPr>
          <w:i/>
          <w:iCs/>
        </w:rPr>
        <w:t>un réseau à satellite déjà exploité, ni de mesurer les conséquences sur le plan de la compatibilité technique.</w:t>
      </w:r>
    </w:p>
    <w:p w14:paraId="75919151" w14:textId="1F5CA2D8" w:rsidR="00007470" w:rsidRPr="00361061" w:rsidRDefault="00007470" w:rsidP="0039714A">
      <w:pPr>
        <w:pStyle w:val="enumlev1"/>
        <w:rPr>
          <w:i/>
          <w:iCs/>
        </w:rPr>
      </w:pPr>
      <w:r w:rsidRPr="00361061">
        <w:rPr>
          <w:i/>
          <w:iCs/>
        </w:rPr>
        <w:tab/>
      </w:r>
      <w:r w:rsidR="0039714A" w:rsidRPr="00361061">
        <w:rPr>
          <w:i/>
          <w:iCs/>
        </w:rPr>
        <w:t>Il est nécessaire d</w:t>
      </w:r>
      <w:r w:rsidR="004C6D71" w:rsidRPr="00361061">
        <w:rPr>
          <w:i/>
          <w:iCs/>
        </w:rPr>
        <w:t>'</w:t>
      </w:r>
      <w:r w:rsidR="0039714A" w:rsidRPr="00361061">
        <w:rPr>
          <w:i/>
          <w:iCs/>
        </w:rPr>
        <w:t>étudier des</w:t>
      </w:r>
      <w:r w:rsidR="00807883" w:rsidRPr="00361061">
        <w:rPr>
          <w:i/>
          <w:iCs/>
        </w:rPr>
        <w:t xml:space="preserve"> moyens de remédier aux </w:t>
      </w:r>
      <w:r w:rsidR="0039714A" w:rsidRPr="00361061">
        <w:rPr>
          <w:i/>
          <w:iCs/>
        </w:rPr>
        <w:t>problèmes liés au § 4.1.24 de l</w:t>
      </w:r>
      <w:r w:rsidR="004C6D71" w:rsidRPr="00361061">
        <w:rPr>
          <w:i/>
          <w:iCs/>
        </w:rPr>
        <w:t>'</w:t>
      </w:r>
      <w:r w:rsidR="0039714A" w:rsidRPr="00361061">
        <w:rPr>
          <w:i/>
          <w:iCs/>
        </w:rPr>
        <w:t xml:space="preserve">Article 4 des Appendices </w:t>
      </w:r>
      <w:r w:rsidR="0039714A" w:rsidRPr="00361061">
        <w:rPr>
          <w:b/>
          <w:bCs/>
          <w:i/>
          <w:iCs/>
        </w:rPr>
        <w:t>30</w:t>
      </w:r>
      <w:r w:rsidR="0039714A" w:rsidRPr="00361061">
        <w:rPr>
          <w:i/>
          <w:iCs/>
        </w:rPr>
        <w:t xml:space="preserve"> et </w:t>
      </w:r>
      <w:r w:rsidR="0039714A" w:rsidRPr="00361061">
        <w:rPr>
          <w:b/>
          <w:bCs/>
          <w:i/>
          <w:iCs/>
        </w:rPr>
        <w:t>30A</w:t>
      </w:r>
      <w:r w:rsidR="0039714A" w:rsidRPr="00361061">
        <w:rPr>
          <w:i/>
          <w:iCs/>
        </w:rPr>
        <w:t xml:space="preserve"> du RR et de trouver des solutions</w:t>
      </w:r>
      <w:r w:rsidRPr="00361061">
        <w:rPr>
          <w:i/>
          <w:iCs/>
        </w:rPr>
        <w:t>.</w:t>
      </w:r>
    </w:p>
    <w:p w14:paraId="3E7ADD48" w14:textId="61DD1AF8" w:rsidR="00007470" w:rsidRPr="00361061" w:rsidRDefault="00007470" w:rsidP="0039714A">
      <w:pPr>
        <w:pStyle w:val="enumlev1"/>
        <w:rPr>
          <w:i/>
          <w:iCs/>
        </w:rPr>
      </w:pPr>
      <w:r w:rsidRPr="00361061">
        <w:rPr>
          <w:i/>
          <w:iCs/>
        </w:rPr>
        <w:tab/>
      </w:r>
      <w:r w:rsidR="0039714A" w:rsidRPr="00361061">
        <w:rPr>
          <w:i/>
          <w:iCs/>
        </w:rPr>
        <w:t>Compte tenu de ce qui précède, la CMR-23 invite l</w:t>
      </w:r>
      <w:r w:rsidR="004C6D71" w:rsidRPr="00361061">
        <w:rPr>
          <w:i/>
          <w:iCs/>
        </w:rPr>
        <w:t>'</w:t>
      </w:r>
      <w:r w:rsidR="0039714A" w:rsidRPr="00361061">
        <w:rPr>
          <w:i/>
          <w:iCs/>
        </w:rPr>
        <w:t xml:space="preserve">UIT-R à mener à bien des études, à temps pour </w:t>
      </w:r>
      <w:r w:rsidR="00807883" w:rsidRPr="00361061">
        <w:rPr>
          <w:i/>
          <w:iCs/>
        </w:rPr>
        <w:t>en permettre l</w:t>
      </w:r>
      <w:r w:rsidR="004C6D71" w:rsidRPr="00361061">
        <w:rPr>
          <w:i/>
          <w:iCs/>
        </w:rPr>
        <w:t>'</w:t>
      </w:r>
      <w:r w:rsidR="00807883" w:rsidRPr="00361061">
        <w:rPr>
          <w:i/>
          <w:iCs/>
        </w:rPr>
        <w:t xml:space="preserve">examen à </w:t>
      </w:r>
      <w:r w:rsidR="0039714A" w:rsidRPr="00361061">
        <w:rPr>
          <w:i/>
          <w:iCs/>
        </w:rPr>
        <w:t xml:space="preserve">la CMR-27, </w:t>
      </w:r>
      <w:r w:rsidR="00807883" w:rsidRPr="00361061">
        <w:rPr>
          <w:i/>
          <w:iCs/>
        </w:rPr>
        <w:t xml:space="preserve">concernant </w:t>
      </w:r>
      <w:r w:rsidR="0039714A" w:rsidRPr="00361061">
        <w:rPr>
          <w:i/>
          <w:iCs/>
        </w:rPr>
        <w:t>la révision possible du</w:t>
      </w:r>
      <w:r w:rsidR="00996B01" w:rsidRPr="00361061">
        <w:rPr>
          <w:i/>
          <w:iCs/>
        </w:rPr>
        <w:t> </w:t>
      </w:r>
      <w:r w:rsidR="0039714A" w:rsidRPr="00361061">
        <w:rPr>
          <w:i/>
          <w:iCs/>
        </w:rPr>
        <w:t>§</w:t>
      </w:r>
      <w:r w:rsidR="00996B01" w:rsidRPr="00361061">
        <w:rPr>
          <w:i/>
          <w:iCs/>
        </w:rPr>
        <w:t> </w:t>
      </w:r>
      <w:r w:rsidR="0039714A" w:rsidRPr="00361061">
        <w:rPr>
          <w:i/>
          <w:iCs/>
        </w:rPr>
        <w:t>4.1.24 de l</w:t>
      </w:r>
      <w:r w:rsidR="004C6D71" w:rsidRPr="00361061">
        <w:rPr>
          <w:i/>
          <w:iCs/>
        </w:rPr>
        <w:t>'</w:t>
      </w:r>
      <w:r w:rsidR="0039714A" w:rsidRPr="00361061">
        <w:rPr>
          <w:i/>
          <w:iCs/>
        </w:rPr>
        <w:t xml:space="preserve">Article 4 des Appendices </w:t>
      </w:r>
      <w:r w:rsidR="0039714A" w:rsidRPr="00361061">
        <w:rPr>
          <w:b/>
          <w:bCs/>
          <w:i/>
          <w:iCs/>
        </w:rPr>
        <w:t>30</w:t>
      </w:r>
      <w:r w:rsidR="0039714A" w:rsidRPr="00361061">
        <w:rPr>
          <w:i/>
          <w:iCs/>
        </w:rPr>
        <w:t xml:space="preserve"> et </w:t>
      </w:r>
      <w:r w:rsidR="0039714A" w:rsidRPr="00361061">
        <w:rPr>
          <w:b/>
          <w:bCs/>
          <w:i/>
          <w:iCs/>
        </w:rPr>
        <w:t>30A</w:t>
      </w:r>
      <w:r w:rsidR="0039714A" w:rsidRPr="00361061">
        <w:rPr>
          <w:i/>
          <w:iCs/>
        </w:rPr>
        <w:t xml:space="preserve"> du RR</w:t>
      </w:r>
      <w:r w:rsidR="00FB0B9E" w:rsidRPr="00361061">
        <w:rPr>
          <w:i/>
          <w:iCs/>
        </w:rPr>
        <w:t>,</w:t>
      </w:r>
      <w:r w:rsidR="0039714A" w:rsidRPr="00361061">
        <w:rPr>
          <w:i/>
          <w:iCs/>
        </w:rPr>
        <w:t xml:space="preserve"> et </w:t>
      </w:r>
      <w:r w:rsidR="00C13037" w:rsidRPr="00361061">
        <w:rPr>
          <w:i/>
          <w:iCs/>
        </w:rPr>
        <w:t>à</w:t>
      </w:r>
      <w:r w:rsidR="0039714A" w:rsidRPr="00361061">
        <w:rPr>
          <w:i/>
          <w:iCs/>
        </w:rPr>
        <w:t xml:space="preserve"> prendre toute autre mesure, selon qu</w:t>
      </w:r>
      <w:r w:rsidR="004C6D71" w:rsidRPr="00361061">
        <w:rPr>
          <w:i/>
          <w:iCs/>
        </w:rPr>
        <w:t>'</w:t>
      </w:r>
      <w:r w:rsidR="0039714A" w:rsidRPr="00361061">
        <w:rPr>
          <w:i/>
          <w:iCs/>
        </w:rPr>
        <w:t>il convien</w:t>
      </w:r>
      <w:r w:rsidR="00FB0B9E" w:rsidRPr="00361061">
        <w:rPr>
          <w:i/>
          <w:iCs/>
        </w:rPr>
        <w:t>dra</w:t>
      </w:r>
      <w:r w:rsidR="0039714A" w:rsidRPr="00361061">
        <w:rPr>
          <w:i/>
          <w:iCs/>
        </w:rPr>
        <w:t xml:space="preserve">, pour </w:t>
      </w:r>
      <w:r w:rsidR="00FB0B9E" w:rsidRPr="00361061">
        <w:rPr>
          <w:i/>
          <w:iCs/>
        </w:rPr>
        <w:t xml:space="preserve">remédier aux </w:t>
      </w:r>
      <w:r w:rsidR="0039714A" w:rsidRPr="00361061">
        <w:rPr>
          <w:i/>
          <w:iCs/>
        </w:rPr>
        <w:t>problèmes susmentionnés</w:t>
      </w:r>
      <w:r w:rsidRPr="00361061">
        <w:t>.</w:t>
      </w:r>
    </w:p>
    <w:p w14:paraId="747C80DE" w14:textId="77777777" w:rsidR="00007470" w:rsidRPr="00361061" w:rsidRDefault="00007470" w:rsidP="0039714A">
      <w:pPr>
        <w:pStyle w:val="Reasons"/>
      </w:pPr>
    </w:p>
    <w:p w14:paraId="0A87EF06" w14:textId="77777777" w:rsidR="00007470" w:rsidRPr="00361061" w:rsidRDefault="00007470" w:rsidP="0039714A">
      <w:pPr>
        <w:jc w:val="center"/>
      </w:pPr>
      <w:r w:rsidRPr="00361061">
        <w:t>______________</w:t>
      </w:r>
    </w:p>
    <w:sectPr w:rsidR="00007470" w:rsidRPr="00361061">
      <w:headerReference w:type="default" r:id="rId15"/>
      <w:footerReference w:type="even" r:id="rId16"/>
      <w:footerReference w:type="default" r:id="rId17"/>
      <w:footerReference w:type="first" r:id="rId1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1D3DD" w14:textId="77777777" w:rsidR="00CB685A" w:rsidRDefault="00CB685A">
      <w:r>
        <w:separator/>
      </w:r>
    </w:p>
  </w:endnote>
  <w:endnote w:type="continuationSeparator" w:id="0">
    <w:p w14:paraId="3F943AE2"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58C67" w14:textId="51C0B332" w:rsidR="00936D25" w:rsidRDefault="00936D25">
    <w:pPr>
      <w:rPr>
        <w:lang w:val="en-US"/>
      </w:rPr>
    </w:pPr>
    <w:r>
      <w:fldChar w:fldCharType="begin"/>
    </w:r>
    <w:r>
      <w:rPr>
        <w:lang w:val="en-US"/>
      </w:rPr>
      <w:instrText xml:space="preserve"> FILENAME \p  \* MERGEFORMAT </w:instrText>
    </w:r>
    <w:r>
      <w:fldChar w:fldCharType="separate"/>
    </w:r>
    <w:r w:rsidR="0039714A">
      <w:rPr>
        <w:noProof/>
        <w:lang w:val="en-US"/>
      </w:rPr>
      <w:t>\\blue\dfs\POOL\TRAD\F\ITU-R\CONF-R\CMR23\000\065ADD25ADD04FMontage.docx</w:t>
    </w:r>
    <w:r>
      <w:fldChar w:fldCharType="end"/>
    </w:r>
    <w:r>
      <w:rPr>
        <w:lang w:val="en-US"/>
      </w:rPr>
      <w:tab/>
    </w:r>
    <w:r>
      <w:fldChar w:fldCharType="begin"/>
    </w:r>
    <w:r>
      <w:instrText xml:space="preserve"> SAVEDATE \@ DD.MM.YY </w:instrText>
    </w:r>
    <w:r>
      <w:fldChar w:fldCharType="separate"/>
    </w:r>
    <w:r w:rsidR="00996B01">
      <w:rPr>
        <w:noProof/>
      </w:rPr>
      <w:t>15.11.23</w:t>
    </w:r>
    <w:r>
      <w:fldChar w:fldCharType="end"/>
    </w:r>
    <w:r>
      <w:rPr>
        <w:lang w:val="en-US"/>
      </w:rPr>
      <w:tab/>
    </w:r>
    <w:r>
      <w:fldChar w:fldCharType="begin"/>
    </w:r>
    <w:r>
      <w:instrText xml:space="preserve"> PRINTDATE \@ DD.MM.YY </w:instrText>
    </w:r>
    <w:r>
      <w:fldChar w:fldCharType="separate"/>
    </w:r>
    <w:r w:rsidR="0039714A">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3522" w14:textId="4C474B4B"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996B01">
      <w:rPr>
        <w:lang w:val="en-US"/>
      </w:rPr>
      <w:t>P:\FRA\ITU-R\CONF-R\CMR23\000\065ADD25ADD04F.docx</w:t>
    </w:r>
    <w:r>
      <w:fldChar w:fldCharType="end"/>
    </w:r>
    <w:r w:rsidR="00007470" w:rsidRPr="00EC4F56">
      <w:rPr>
        <w:lang w:val="en-GB"/>
      </w:rPr>
      <w:t xml:space="preserve"> (530575)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46F2F" w14:textId="7EED8440"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361061">
      <w:rPr>
        <w:lang w:val="en-US"/>
      </w:rPr>
      <w:t>P:\FRA\ITU-R\CONF-R\CMR23\000\065ADD25ADD04F.docx</w:t>
    </w:r>
    <w:r>
      <w:fldChar w:fldCharType="end"/>
    </w:r>
    <w:r w:rsidR="00007470" w:rsidRPr="00EC4F56">
      <w:rPr>
        <w:lang w:val="en-GB"/>
      </w:rPr>
      <w:t xml:space="preserve"> (530575)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2C8C6" w14:textId="77777777" w:rsidR="00CB685A" w:rsidRDefault="00CB685A">
      <w:r>
        <w:rPr>
          <w:b/>
        </w:rPr>
        <w:t>_______________</w:t>
      </w:r>
    </w:p>
  </w:footnote>
  <w:footnote w:type="continuationSeparator" w:id="0">
    <w:p w14:paraId="6D333C14" w14:textId="77777777" w:rsidR="00CB685A" w:rsidRDefault="00CB685A">
      <w:r>
        <w:continuationSeparator/>
      </w:r>
    </w:p>
  </w:footnote>
  <w:footnote w:id="1">
    <w:p w14:paraId="072A3A65" w14:textId="77777777" w:rsidR="00485985" w:rsidRPr="00815FAF" w:rsidRDefault="00007470" w:rsidP="00996B01">
      <w:pPr>
        <w:pStyle w:val="FootnoteText"/>
        <w:tabs>
          <w:tab w:val="clear" w:pos="255"/>
          <w:tab w:val="left" w:pos="426"/>
        </w:tabs>
        <w:rPr>
          <w:lang w:val="fr-CH"/>
        </w:rPr>
      </w:pPr>
      <w:r>
        <w:rPr>
          <w:rStyle w:val="FootnoteReference"/>
        </w:rPr>
        <w:t>1</w:t>
      </w:r>
      <w:r>
        <w:tab/>
      </w:r>
      <w:r w:rsidRPr="00D20FD5">
        <w:rPr>
          <w:lang w:val="fr-CH"/>
        </w:rPr>
        <w:t xml:space="preserve">Ce </w:t>
      </w:r>
      <w:r>
        <w:rPr>
          <w:lang w:val="fr-CH"/>
        </w:rPr>
        <w:t>sous-</w:t>
      </w:r>
      <w:r w:rsidRPr="00D20FD5">
        <w:rPr>
          <w:lang w:val="fr-CH"/>
        </w:rPr>
        <w:t>point de l</w:t>
      </w:r>
      <w:r>
        <w:rPr>
          <w:lang w:val="fr-CH"/>
        </w:rPr>
        <w:t>'</w:t>
      </w:r>
      <w:r w:rsidRPr="00D20FD5">
        <w:rPr>
          <w:lang w:val="fr-CH"/>
        </w:rPr>
        <w:t xml:space="preserve">ordre du jour ne concerne que le </w:t>
      </w:r>
      <w:r>
        <w:rPr>
          <w:lang w:val="fr-CH"/>
        </w:rPr>
        <w:t>r</w:t>
      </w:r>
      <w:r w:rsidRPr="00D20FD5">
        <w:rPr>
          <w:lang w:val="fr-CH"/>
        </w:rPr>
        <w:t>apport du Directeur sur les difficultés rencontrées ou les incohérences constatées dans l</w:t>
      </w:r>
      <w:r>
        <w:rPr>
          <w:lang w:val="fr-CH"/>
        </w:rPr>
        <w:t>'</w:t>
      </w:r>
      <w:r w:rsidRPr="00D20FD5">
        <w:rPr>
          <w:lang w:val="fr-CH"/>
        </w:rPr>
        <w:t>application du Règlement des radiocommunications et les observations formulées par les administrations.</w:t>
      </w:r>
      <w:r>
        <w:rPr>
          <w:lang w:val="fr-CH"/>
        </w:rPr>
        <w:t xml:space="preserve"> </w:t>
      </w:r>
      <w:r w:rsidRPr="00815FAF">
        <w:rPr>
          <w:lang w:val="fr-CH"/>
        </w:rPr>
        <w:t xml:space="preserve">Les administrations sont </w:t>
      </w:r>
      <w:r>
        <w:rPr>
          <w:lang w:val="fr-CH"/>
        </w:rPr>
        <w:t>invité</w:t>
      </w:r>
      <w:r w:rsidRPr="00815FAF">
        <w:rPr>
          <w:lang w:val="fr-CH"/>
        </w:rPr>
        <w:t xml:space="preserve">es à informer le Directeur du Bureau </w:t>
      </w:r>
      <w:r>
        <w:rPr>
          <w:lang w:val="fr-CH"/>
        </w:rPr>
        <w:t>des r</w:t>
      </w:r>
      <w:r w:rsidRPr="00815FAF">
        <w:rPr>
          <w:lang w:val="fr-CH"/>
        </w:rPr>
        <w:t>adiocommunication</w:t>
      </w:r>
      <w:r>
        <w:rPr>
          <w:lang w:val="fr-CH"/>
        </w:rPr>
        <w:t>s</w:t>
      </w:r>
      <w:r w:rsidRPr="00815FAF">
        <w:rPr>
          <w:lang w:val="fr-CH"/>
        </w:rPr>
        <w:t xml:space="preserve"> </w:t>
      </w:r>
      <w:r>
        <w:rPr>
          <w:lang w:val="fr-CH"/>
        </w:rPr>
        <w:t>de toute difficulté rencontrée ou de toute incohérence constatée</w:t>
      </w:r>
      <w:r w:rsidRPr="00815FAF">
        <w:rPr>
          <w:lang w:val="fr-CH"/>
        </w:rPr>
        <w:t xml:space="preserve"> </w:t>
      </w:r>
      <w:r>
        <w:rPr>
          <w:lang w:val="fr-CH"/>
        </w:rPr>
        <w:t>dans l'application du Règlement des radiocommunications.</w:t>
      </w:r>
    </w:p>
  </w:footnote>
  <w:footnote w:id="2">
    <w:p w14:paraId="54E2CD63" w14:textId="526B8584" w:rsidR="002C4436" w:rsidRPr="00007470" w:rsidRDefault="002C4436" w:rsidP="00996B01">
      <w:pPr>
        <w:pStyle w:val="FootnoteText"/>
        <w:tabs>
          <w:tab w:val="clear" w:pos="255"/>
          <w:tab w:val="left" w:pos="426"/>
        </w:tabs>
        <w:rPr>
          <w:i/>
          <w:iCs/>
        </w:rPr>
      </w:pPr>
      <w:r w:rsidRPr="00007470">
        <w:rPr>
          <w:rStyle w:val="FootnoteReference"/>
          <w:i/>
          <w:iCs/>
        </w:rPr>
        <w:t>9bis</w:t>
      </w:r>
      <w:r w:rsidR="00996B01">
        <w:rPr>
          <w:i/>
          <w:iCs/>
        </w:rPr>
        <w:tab/>
      </w:r>
      <w:r w:rsidR="005B0FF2" w:rsidRPr="00007470">
        <w:rPr>
          <w:i/>
          <w:iCs/>
        </w:rPr>
        <w:t>Si le Bureau ne reçoit pas la demande, il envoie un rappel à l'administration notificatrice, au plus tard 90 jours avant la date limite de réception de cette demande.</w:t>
      </w:r>
      <w:r w:rsidR="005B0FF2" w:rsidRPr="00007470">
        <w:rPr>
          <w:i/>
          <w:iCs/>
          <w:color w:val="000000"/>
          <w:sz w:val="16"/>
          <w:szCs w:val="16"/>
        </w:rPr>
        <w:t>     (CMR-19)</w:t>
      </w:r>
    </w:p>
  </w:footnote>
  <w:footnote w:id="3">
    <w:p w14:paraId="193F44CE" w14:textId="618C925E" w:rsidR="005B0FF2" w:rsidRPr="00007470" w:rsidRDefault="005B0FF2" w:rsidP="00996B01">
      <w:pPr>
        <w:pStyle w:val="FootnoteText"/>
        <w:tabs>
          <w:tab w:val="clear" w:pos="255"/>
          <w:tab w:val="left" w:pos="567"/>
        </w:tabs>
        <w:rPr>
          <w:i/>
          <w:iCs/>
        </w:rPr>
      </w:pPr>
      <w:r w:rsidRPr="00007470">
        <w:rPr>
          <w:rStyle w:val="FootnoteReference"/>
          <w:i/>
          <w:iCs/>
        </w:rPr>
        <w:t>11bis</w:t>
      </w:r>
      <w:r w:rsidR="00996B01">
        <w:rPr>
          <w:i/>
          <w:iCs/>
        </w:rPr>
        <w:tab/>
      </w:r>
      <w:r w:rsidRPr="00007470">
        <w:rPr>
          <w:i/>
          <w:iCs/>
        </w:rPr>
        <w:t>Si le Bureau ne reçoit pas la demande, il envoie un rappel à l'administration notificatrice, au plus tard 90 jours avant la date limite de réception de cette demande.</w:t>
      </w:r>
      <w:r w:rsidRPr="00007470">
        <w:rPr>
          <w:i/>
          <w:iCs/>
          <w:color w:val="000000"/>
          <w:sz w:val="16"/>
          <w:szCs w:val="16"/>
        </w:rPr>
        <w:t>     (CMR-19)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6B60" w14:textId="4B385C88" w:rsidR="004F1F8E" w:rsidRDefault="004F1F8E" w:rsidP="004F1F8E">
    <w:pPr>
      <w:pStyle w:val="Header"/>
    </w:pPr>
    <w:r>
      <w:fldChar w:fldCharType="begin"/>
    </w:r>
    <w:r>
      <w:instrText xml:space="preserve"> PAGE </w:instrText>
    </w:r>
    <w:r>
      <w:fldChar w:fldCharType="separate"/>
    </w:r>
    <w:r w:rsidR="00FB0B9E">
      <w:rPr>
        <w:noProof/>
      </w:rPr>
      <w:t>3</w:t>
    </w:r>
    <w:r>
      <w:fldChar w:fldCharType="end"/>
    </w:r>
  </w:p>
  <w:p w14:paraId="5B17FDAB" w14:textId="77777777" w:rsidR="004F1F8E" w:rsidRDefault="00225CF2" w:rsidP="00FD7AA3">
    <w:pPr>
      <w:pStyle w:val="Header"/>
    </w:pPr>
    <w:r>
      <w:t>WRC</w:t>
    </w:r>
    <w:r w:rsidR="00D3426F">
      <w:t>23</w:t>
    </w:r>
    <w:r w:rsidR="004F1F8E">
      <w:t>/</w:t>
    </w:r>
    <w:r w:rsidR="006A4B45">
      <w:t>65(Add.25)(Add.4)-</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538934287">
    <w:abstractNumId w:val="0"/>
  </w:num>
  <w:num w:numId="2" w16cid:durableId="88089825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470"/>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25CF2"/>
    <w:rsid w:val="00232FD2"/>
    <w:rsid w:val="002578C4"/>
    <w:rsid w:val="0026554E"/>
    <w:rsid w:val="002A4622"/>
    <w:rsid w:val="002A6F8F"/>
    <w:rsid w:val="002B17E5"/>
    <w:rsid w:val="002C0EBF"/>
    <w:rsid w:val="002C28A4"/>
    <w:rsid w:val="002C4436"/>
    <w:rsid w:val="002D7E0A"/>
    <w:rsid w:val="002F0B95"/>
    <w:rsid w:val="00315AFE"/>
    <w:rsid w:val="003411F6"/>
    <w:rsid w:val="003606A6"/>
    <w:rsid w:val="00361061"/>
    <w:rsid w:val="0036650C"/>
    <w:rsid w:val="00393ACD"/>
    <w:rsid w:val="0039714A"/>
    <w:rsid w:val="003A583E"/>
    <w:rsid w:val="003E112B"/>
    <w:rsid w:val="003E1D1C"/>
    <w:rsid w:val="003E7B05"/>
    <w:rsid w:val="003F3719"/>
    <w:rsid w:val="003F6F2D"/>
    <w:rsid w:val="00466211"/>
    <w:rsid w:val="00483196"/>
    <w:rsid w:val="004834A9"/>
    <w:rsid w:val="004C6D71"/>
    <w:rsid w:val="004D01FC"/>
    <w:rsid w:val="004E28C3"/>
    <w:rsid w:val="004F1F8E"/>
    <w:rsid w:val="00512A32"/>
    <w:rsid w:val="005343DA"/>
    <w:rsid w:val="00560874"/>
    <w:rsid w:val="00586CF2"/>
    <w:rsid w:val="005A7C75"/>
    <w:rsid w:val="005B0FF2"/>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F282B"/>
    <w:rsid w:val="007F4A7D"/>
    <w:rsid w:val="00807883"/>
    <w:rsid w:val="00830086"/>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96B01"/>
    <w:rsid w:val="009A045F"/>
    <w:rsid w:val="009A6A2B"/>
    <w:rsid w:val="009C7E7C"/>
    <w:rsid w:val="00A00473"/>
    <w:rsid w:val="00A03C9B"/>
    <w:rsid w:val="00A37105"/>
    <w:rsid w:val="00A606C3"/>
    <w:rsid w:val="00A83B09"/>
    <w:rsid w:val="00A84541"/>
    <w:rsid w:val="00AE36A0"/>
    <w:rsid w:val="00B00294"/>
    <w:rsid w:val="00B3749C"/>
    <w:rsid w:val="00B64FD0"/>
    <w:rsid w:val="00B959B9"/>
    <w:rsid w:val="00BA5BD0"/>
    <w:rsid w:val="00BB1D82"/>
    <w:rsid w:val="00BC217E"/>
    <w:rsid w:val="00BD51C5"/>
    <w:rsid w:val="00BF26E7"/>
    <w:rsid w:val="00C13037"/>
    <w:rsid w:val="00C1305F"/>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9599D"/>
    <w:rsid w:val="00DC402B"/>
    <w:rsid w:val="00DE0932"/>
    <w:rsid w:val="00DF15E8"/>
    <w:rsid w:val="00DF42F9"/>
    <w:rsid w:val="00E03A27"/>
    <w:rsid w:val="00E047C2"/>
    <w:rsid w:val="00E049F1"/>
    <w:rsid w:val="00E05CC5"/>
    <w:rsid w:val="00E37A25"/>
    <w:rsid w:val="00E537FF"/>
    <w:rsid w:val="00E60CB2"/>
    <w:rsid w:val="00E6539B"/>
    <w:rsid w:val="00E70A31"/>
    <w:rsid w:val="00E723A7"/>
    <w:rsid w:val="00EA3F38"/>
    <w:rsid w:val="00EA5AB6"/>
    <w:rsid w:val="00EC4F56"/>
    <w:rsid w:val="00EC7615"/>
    <w:rsid w:val="00ED16AA"/>
    <w:rsid w:val="00ED6B8D"/>
    <w:rsid w:val="00EE3D7B"/>
    <w:rsid w:val="00EF662E"/>
    <w:rsid w:val="00F10064"/>
    <w:rsid w:val="00F148F1"/>
    <w:rsid w:val="00F711A7"/>
    <w:rsid w:val="00FA3BBF"/>
    <w:rsid w:val="00FB0B9E"/>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FB440BB"/>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paragraph" w:customStyle="1" w:styleId="VolumeTitle0">
    <w:name w:val="VolumeTitle"/>
    <w:basedOn w:val="Normal"/>
    <w:next w:val="Normal"/>
    <w:rsid w:val="00F44277"/>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unhideWhenUsed/>
    <w:rPr>
      <w:color w:val="0000FF" w:themeColor="hyperlink"/>
      <w:u w:val="single"/>
    </w:rPr>
  </w:style>
  <w:style w:type="character" w:customStyle="1" w:styleId="dpstylefootnotereference">
    <w:name w:val="dpstylefootnotereference"/>
    <w:basedOn w:val="DefaultParagraphFont"/>
    <w:rsid w:val="002C4436"/>
  </w:style>
  <w:style w:type="paragraph" w:customStyle="1" w:styleId="normal8pt">
    <w:name w:val="normal + 8 pt"/>
    <w:aliases w:val="Black"/>
    <w:basedOn w:val="Normal"/>
    <w:rsid w:val="005B0FF2"/>
    <w:rPr>
      <w:color w:val="000000"/>
      <w:sz w:val="16"/>
      <w:szCs w:val="16"/>
    </w:rPr>
  </w:style>
  <w:style w:type="character" w:customStyle="1" w:styleId="UnresolvedMention1">
    <w:name w:val="Unresolved Mention1"/>
    <w:basedOn w:val="DefaultParagraphFont"/>
    <w:uiPriority w:val="99"/>
    <w:semiHidden/>
    <w:unhideWhenUsed/>
    <w:rsid w:val="00007470"/>
    <w:rPr>
      <w:color w:val="605E5C"/>
      <w:shd w:val="clear" w:color="auto" w:fill="E1DFDD"/>
    </w:rPr>
  </w:style>
  <w:style w:type="character" w:styleId="FollowedHyperlink">
    <w:name w:val="FollowedHyperlink"/>
    <w:basedOn w:val="DefaultParagraphFont"/>
    <w:semiHidden/>
    <w:unhideWhenUsed/>
    <w:rsid w:val="00007470"/>
    <w:rPr>
      <w:color w:val="800080" w:themeColor="followedHyperlink"/>
      <w:u w:val="single"/>
    </w:rPr>
  </w:style>
  <w:style w:type="paragraph" w:styleId="Revision">
    <w:name w:val="Revision"/>
    <w:hidden/>
    <w:uiPriority w:val="99"/>
    <w:semiHidden/>
    <w:rsid w:val="00B959B9"/>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23-RRB23.1-C-001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R23-WRC23-C-0065!A25-A4!MSW-F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B9F1CF92-F547-4EFF-80A1-F1E8F009F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BEE9DA-8C15-4F6D-B2BD-DF6E33FE4C98}">
  <ds:schemaRefs>
    <ds:schemaRef ds:uri="http://schemas.openxmlformats.org/officeDocument/2006/bibliography"/>
  </ds:schemaRefs>
</ds:datastoreItem>
</file>

<file path=customXml/itemProps3.xml><?xml version="1.0" encoding="utf-8"?>
<ds:datastoreItem xmlns:ds="http://schemas.openxmlformats.org/officeDocument/2006/customXml" ds:itemID="{F60DAE22-77EC-410A-B60B-7F559605F19B}">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5.xml><?xml version="1.0" encoding="utf-8"?>
<ds:datastoreItem xmlns:ds="http://schemas.openxmlformats.org/officeDocument/2006/customXml" ds:itemID="{F64C3E4C-430D-43B1-B631-0B389E914A72}">
  <ds:schemaRefs>
    <ds:schemaRef ds:uri="http://www.w3.org/XML/1998/namespace"/>
    <ds:schemaRef ds:uri="http://schemas.microsoft.com/office/2006/metadata/properties"/>
    <ds:schemaRef ds:uri="996b2e75-67fd-4955-a3b0-5ab9934cb50b"/>
    <ds:schemaRef ds:uri="http://schemas.microsoft.com/office/2006/documentManagement/types"/>
    <ds:schemaRef ds:uri="32a1a8c5-2265-4ebc-b7a0-2071e2c5c9bb"/>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1041</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R23-WRC23-C-0065!A25-A4!MSW-F</vt:lpstr>
    </vt:vector>
  </TitlesOfParts>
  <Manager>Secrétariat général - Pool</Manager>
  <Company>Union internationale des télécommunications (UIT)</Company>
  <LinksUpToDate>false</LinksUpToDate>
  <CharactersWithSpaces>6360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R23-WRC23-C-0065!A25-A4!MSW-F</dc:title>
  <dc:subject>Conférence mondiale des radiocommunications - 2019</dc:subject>
  <dc:creator>Documents Proposals Manager (DPM)</dc:creator>
  <cp:keywords>DPM_v2023.8.1.1_prod</cp:keywords>
  <dc:description/>
  <cp:lastModifiedBy>French</cp:lastModifiedBy>
  <cp:revision>6</cp:revision>
  <cp:lastPrinted>2003-06-05T19:34:00Z</cp:lastPrinted>
  <dcterms:created xsi:type="dcterms:W3CDTF">2023-11-15T15:16:00Z</dcterms:created>
  <dcterms:modified xsi:type="dcterms:W3CDTF">2023-11-16T07:57:00Z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