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BA0351" w14:paraId="6991E921" w14:textId="77777777" w:rsidTr="00C1305F">
        <w:trPr>
          <w:cantSplit/>
        </w:trPr>
        <w:tc>
          <w:tcPr>
            <w:tcW w:w="1418" w:type="dxa"/>
            <w:vAlign w:val="center"/>
          </w:tcPr>
          <w:p w14:paraId="40BDFB4D" w14:textId="77777777" w:rsidR="00C1305F" w:rsidRPr="00BA0351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BA0351">
              <w:rPr>
                <w:lang w:eastAsia="fr-FR"/>
              </w:rPr>
              <w:drawing>
                <wp:inline distT="0" distB="0" distL="0" distR="0" wp14:anchorId="0038DDEA" wp14:editId="20A60E16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35E9E80" w14:textId="5CBB5634" w:rsidR="00C1305F" w:rsidRPr="00BA0351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BA0351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BA0351">
              <w:rPr>
                <w:rFonts w:ascii="Verdana" w:hAnsi="Verdana"/>
                <w:b/>
                <w:bCs/>
                <w:sz w:val="20"/>
              </w:rPr>
              <w:br/>
            </w:r>
            <w:r w:rsidRPr="00BA0351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BA0351" w:rsidRPr="00BA0351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BA0351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6FF3730F" w14:textId="77777777" w:rsidR="00C1305F" w:rsidRPr="00BA0351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BA0351">
              <w:rPr>
                <w:lang w:eastAsia="fr-FR"/>
              </w:rPr>
              <w:drawing>
                <wp:inline distT="0" distB="0" distL="0" distR="0" wp14:anchorId="1D771EB0" wp14:editId="7DE10CBE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BA0351" w14:paraId="25B1CEDD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DA9795F" w14:textId="77777777" w:rsidR="00BB1D82" w:rsidRPr="00BA0351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9A1F7F3" w14:textId="77777777" w:rsidR="00BB1D82" w:rsidRPr="00BA0351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BA0351" w14:paraId="03B6E49C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159C6DB" w14:textId="77777777" w:rsidR="00BB1D82" w:rsidRPr="00BA0351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C2E9FD7" w14:textId="77777777" w:rsidR="00BB1D82" w:rsidRPr="00BA0351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BA0351" w14:paraId="4BDFEEB4" w14:textId="77777777" w:rsidTr="00BB1D82">
        <w:trPr>
          <w:cantSplit/>
        </w:trPr>
        <w:tc>
          <w:tcPr>
            <w:tcW w:w="6911" w:type="dxa"/>
            <w:gridSpan w:val="2"/>
          </w:tcPr>
          <w:p w14:paraId="1A6CDE8F" w14:textId="77777777" w:rsidR="00BB1D82" w:rsidRPr="00BA0351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A0351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DA2DC07" w14:textId="77777777" w:rsidR="00BB1D82" w:rsidRPr="00BA0351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BA0351">
              <w:rPr>
                <w:rFonts w:ascii="Verdana" w:hAnsi="Verdana"/>
                <w:b/>
                <w:sz w:val="20"/>
              </w:rPr>
              <w:t>Addendum 5 au</w:t>
            </w:r>
            <w:r w:rsidRPr="00BA0351">
              <w:rPr>
                <w:rFonts w:ascii="Verdana" w:hAnsi="Verdana"/>
                <w:b/>
                <w:sz w:val="20"/>
              </w:rPr>
              <w:br/>
              <w:t>Document 65(Add.25)</w:t>
            </w:r>
            <w:r w:rsidR="00BB1D82" w:rsidRPr="00BA0351">
              <w:rPr>
                <w:rFonts w:ascii="Verdana" w:hAnsi="Verdana"/>
                <w:b/>
                <w:sz w:val="20"/>
              </w:rPr>
              <w:t>-</w:t>
            </w:r>
            <w:r w:rsidRPr="00BA0351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BA0351" w14:paraId="0B5D542A" w14:textId="77777777" w:rsidTr="00BB1D82">
        <w:trPr>
          <w:cantSplit/>
        </w:trPr>
        <w:tc>
          <w:tcPr>
            <w:tcW w:w="6911" w:type="dxa"/>
            <w:gridSpan w:val="2"/>
          </w:tcPr>
          <w:p w14:paraId="68D55A63" w14:textId="77777777" w:rsidR="00690C7B" w:rsidRPr="00BA035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5BF9707D" w14:textId="77777777" w:rsidR="00690C7B" w:rsidRPr="00BA035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A0351">
              <w:rPr>
                <w:rFonts w:ascii="Verdana" w:hAnsi="Verdana"/>
                <w:b/>
                <w:sz w:val="20"/>
              </w:rPr>
              <w:t>31 octobre 2023</w:t>
            </w:r>
          </w:p>
        </w:tc>
      </w:tr>
      <w:tr w:rsidR="00690C7B" w:rsidRPr="00BA0351" w14:paraId="112BEE34" w14:textId="77777777" w:rsidTr="00BB1D82">
        <w:trPr>
          <w:cantSplit/>
        </w:trPr>
        <w:tc>
          <w:tcPr>
            <w:tcW w:w="6911" w:type="dxa"/>
            <w:gridSpan w:val="2"/>
          </w:tcPr>
          <w:p w14:paraId="16728030" w14:textId="77777777" w:rsidR="00690C7B" w:rsidRPr="00BA0351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1AC7C5E" w14:textId="77777777" w:rsidR="00690C7B" w:rsidRPr="00BA035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A0351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BA0351" w14:paraId="7A8E13A2" w14:textId="77777777" w:rsidTr="00C11970">
        <w:trPr>
          <w:cantSplit/>
        </w:trPr>
        <w:tc>
          <w:tcPr>
            <w:tcW w:w="10031" w:type="dxa"/>
            <w:gridSpan w:val="4"/>
          </w:tcPr>
          <w:p w14:paraId="5D5E0260" w14:textId="77777777" w:rsidR="00690C7B" w:rsidRPr="00BA035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BA0351" w14:paraId="4A25075A" w14:textId="77777777" w:rsidTr="0050008E">
        <w:trPr>
          <w:cantSplit/>
        </w:trPr>
        <w:tc>
          <w:tcPr>
            <w:tcW w:w="10031" w:type="dxa"/>
            <w:gridSpan w:val="4"/>
          </w:tcPr>
          <w:p w14:paraId="37942A3C" w14:textId="77777777" w:rsidR="00690C7B" w:rsidRPr="00BA0351" w:rsidRDefault="00690C7B" w:rsidP="00690C7B">
            <w:pPr>
              <w:pStyle w:val="Source"/>
            </w:pPr>
            <w:bookmarkStart w:id="2" w:name="dsource" w:colFirst="0" w:colLast="0"/>
            <w:r w:rsidRPr="00BA0351">
              <w:t>Propositions européennes communes</w:t>
            </w:r>
          </w:p>
        </w:tc>
      </w:tr>
      <w:tr w:rsidR="00690C7B" w:rsidRPr="00BA0351" w14:paraId="25631789" w14:textId="77777777" w:rsidTr="0050008E">
        <w:trPr>
          <w:cantSplit/>
        </w:trPr>
        <w:tc>
          <w:tcPr>
            <w:tcW w:w="10031" w:type="dxa"/>
            <w:gridSpan w:val="4"/>
          </w:tcPr>
          <w:p w14:paraId="0997F372" w14:textId="522EC47B" w:rsidR="00690C7B" w:rsidRPr="00BA0351" w:rsidRDefault="00A20522" w:rsidP="00690C7B">
            <w:pPr>
              <w:pStyle w:val="Title1"/>
            </w:pPr>
            <w:bookmarkStart w:id="3" w:name="dtitle1" w:colFirst="0" w:colLast="0"/>
            <w:bookmarkEnd w:id="2"/>
            <w:r w:rsidRPr="00BA0351">
              <w:t>PROPOSITIONS POUR LES TRAVAUX DE LA CONFÉRENCE</w:t>
            </w:r>
          </w:p>
        </w:tc>
      </w:tr>
      <w:tr w:rsidR="00690C7B" w:rsidRPr="00BA0351" w14:paraId="12818BBD" w14:textId="77777777" w:rsidTr="0050008E">
        <w:trPr>
          <w:cantSplit/>
        </w:trPr>
        <w:tc>
          <w:tcPr>
            <w:tcW w:w="10031" w:type="dxa"/>
            <w:gridSpan w:val="4"/>
          </w:tcPr>
          <w:p w14:paraId="658AA24F" w14:textId="77777777" w:rsidR="00690C7B" w:rsidRPr="00BA0351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BA0351" w14:paraId="742ED379" w14:textId="77777777" w:rsidTr="0050008E">
        <w:trPr>
          <w:cantSplit/>
        </w:trPr>
        <w:tc>
          <w:tcPr>
            <w:tcW w:w="10031" w:type="dxa"/>
            <w:gridSpan w:val="4"/>
          </w:tcPr>
          <w:p w14:paraId="0EDA9FBD" w14:textId="77777777" w:rsidR="00690C7B" w:rsidRPr="00BA0351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BA0351">
              <w:rPr>
                <w:lang w:val="fr-FR"/>
              </w:rPr>
              <w:t>Point 9.2 de l'ordre du jour</w:t>
            </w:r>
          </w:p>
        </w:tc>
      </w:tr>
    </w:tbl>
    <w:bookmarkEnd w:id="5"/>
    <w:p w14:paraId="4373C38A" w14:textId="77777777" w:rsidR="00F5133A" w:rsidRPr="00BA0351" w:rsidRDefault="00EB25E3" w:rsidP="003D082A">
      <w:r w:rsidRPr="00BA0351">
        <w:t>9</w:t>
      </w:r>
      <w:r w:rsidRPr="00BA0351">
        <w:tab/>
        <w:t>examiner et approuver le rapport du Directeur du Bureau des radiocommunications, conformément à l'article 7 de la Convention de l'UIT:</w:t>
      </w:r>
    </w:p>
    <w:p w14:paraId="4B216544" w14:textId="77777777" w:rsidR="00F5133A" w:rsidRPr="00BA0351" w:rsidRDefault="00EB25E3" w:rsidP="00485985">
      <w:r w:rsidRPr="00BA0351">
        <w:t>9.2</w:t>
      </w:r>
      <w:r w:rsidRPr="00BA0351">
        <w:tab/>
        <w:t>sur les difficultés rencontrées ou les incohérences constatées dans l'application du Règlement des radiocommunications</w:t>
      </w:r>
      <w:r w:rsidRPr="00BA0351">
        <w:rPr>
          <w:rStyle w:val="FootnoteReference"/>
        </w:rPr>
        <w:footnoteReference w:customMarkFollows="1" w:id="1"/>
        <w:t>1</w:t>
      </w:r>
      <w:r w:rsidRPr="00BA0351">
        <w:t>; et</w:t>
      </w:r>
    </w:p>
    <w:p w14:paraId="5B36BD44" w14:textId="5CDD706F" w:rsidR="003A583E" w:rsidRPr="00BA0351" w:rsidRDefault="0083611B" w:rsidP="0083611B">
      <w:pPr>
        <w:pStyle w:val="Part1"/>
      </w:pPr>
      <w:r w:rsidRPr="00BA0351">
        <w:t>Partie 5:</w:t>
      </w:r>
      <w:r w:rsidR="00C858A0" w:rsidRPr="00BA0351">
        <w:t xml:space="preserve"> Paragraphe 3.1.7.2 de l'Addendum 2 au Rappo</w:t>
      </w:r>
      <w:r w:rsidR="008B3528" w:rsidRPr="00BA0351">
        <w:t>rt du Di</w:t>
      </w:r>
      <w:r w:rsidR="006E44A6" w:rsidRPr="00BA0351">
        <w:t>re</w:t>
      </w:r>
      <w:r w:rsidR="008B3528" w:rsidRPr="00BA0351">
        <w:t>cteur à la CMR-23 – Brouillages préjudiciables causés au SRNS</w:t>
      </w:r>
    </w:p>
    <w:p w14:paraId="30CE70D6" w14:textId="3034F4C9" w:rsidR="0083611B" w:rsidRPr="00BA0351" w:rsidRDefault="0039764C" w:rsidP="0083611B">
      <w:pPr>
        <w:pStyle w:val="Headingb"/>
      </w:pPr>
      <w:r w:rsidRPr="00BA0351">
        <w:t>Proposition</w:t>
      </w:r>
    </w:p>
    <w:p w14:paraId="5E07B231" w14:textId="77777777" w:rsidR="0015203F" w:rsidRPr="00BA0351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A0351">
        <w:br w:type="page"/>
      </w:r>
    </w:p>
    <w:p w14:paraId="684BEF7E" w14:textId="77777777" w:rsidR="00476EC1" w:rsidRPr="00BA0351" w:rsidRDefault="00EB25E3">
      <w:pPr>
        <w:pStyle w:val="Proposal"/>
      </w:pPr>
      <w:r w:rsidRPr="00BA0351">
        <w:lastRenderedPageBreak/>
        <w:t>ADD</w:t>
      </w:r>
      <w:r w:rsidRPr="00BA0351">
        <w:tab/>
        <w:t>EUR/65A25A5/1</w:t>
      </w:r>
    </w:p>
    <w:p w14:paraId="442FB1FB" w14:textId="514704BF" w:rsidR="00476EC1" w:rsidRPr="00BA0351" w:rsidRDefault="00EB25E3">
      <w:pPr>
        <w:pStyle w:val="ResNo"/>
      </w:pPr>
      <w:r w:rsidRPr="00BA0351">
        <w:t>Projet de nouvelle Résolution [EUR-A25-RNSS-INTERFERENCE-PREVENTION]</w:t>
      </w:r>
      <w:r w:rsidR="0083611B" w:rsidRPr="00BA0351">
        <w:t xml:space="preserve"> (CMR-23)</w:t>
      </w:r>
    </w:p>
    <w:p w14:paraId="74CBB1AA" w14:textId="2B382A20" w:rsidR="00476EC1" w:rsidRPr="00BA0351" w:rsidRDefault="00574C4E" w:rsidP="00BA0351">
      <w:pPr>
        <w:pStyle w:val="Restitle"/>
      </w:pPr>
      <w:r w:rsidRPr="00BA0351">
        <w:t>Prévention et atténuation des brouillages préjudiciables causés au service</w:t>
      </w:r>
      <w:r w:rsidR="00BA0351" w:rsidRPr="00BA0351">
        <w:br/>
      </w:r>
      <w:r w:rsidRPr="00BA0351">
        <w:t>de radionavigation par satellite dans les bandes de fréquences</w:t>
      </w:r>
      <w:r w:rsidR="00BA0351" w:rsidRPr="00BA0351">
        <w:br/>
      </w:r>
      <w:r w:rsidR="004A005B" w:rsidRPr="00BA0351">
        <w:t>1 164-1 </w:t>
      </w:r>
      <w:r w:rsidRPr="00BA0351">
        <w:t>215 MHz et</w:t>
      </w:r>
      <w:r w:rsidR="004A005B" w:rsidRPr="00BA0351">
        <w:t xml:space="preserve"> 1 559-1 </w:t>
      </w:r>
      <w:r w:rsidRPr="00BA0351">
        <w:t>610 MHz</w:t>
      </w:r>
    </w:p>
    <w:p w14:paraId="4EA08C72" w14:textId="1AB047A0" w:rsidR="00476EC1" w:rsidRPr="00BA0351" w:rsidRDefault="00A3532D" w:rsidP="00471FBA">
      <w:pPr>
        <w:pStyle w:val="Normalaftertitle"/>
      </w:pPr>
      <w:r w:rsidRPr="00BA0351">
        <w:t>La Conférence mondiale des radiocommunications (Dubaï, 2023),</w:t>
      </w:r>
    </w:p>
    <w:p w14:paraId="77B88470" w14:textId="7C6C7EC0" w:rsidR="00A3532D" w:rsidRPr="00BA0351" w:rsidRDefault="00A3532D" w:rsidP="00A3532D">
      <w:pPr>
        <w:pStyle w:val="Call"/>
      </w:pPr>
      <w:r w:rsidRPr="00BA0351">
        <w:t>considérant</w:t>
      </w:r>
    </w:p>
    <w:p w14:paraId="70EBB36F" w14:textId="4421FC92" w:rsidR="007073DC" w:rsidRPr="00BA0351" w:rsidRDefault="00A3532D" w:rsidP="00A3532D">
      <w:r w:rsidRPr="00BA0351">
        <w:rPr>
          <w:i/>
          <w:iCs/>
        </w:rPr>
        <w:t>a)</w:t>
      </w:r>
      <w:r w:rsidRPr="00BA0351">
        <w:tab/>
      </w:r>
      <w:r w:rsidR="007073DC" w:rsidRPr="00BA0351">
        <w:t xml:space="preserve">que le service de radionavigation par satellite (SRNS) exploité dans les bandes de fréquences 1 164-1 215 MHz et 1 559-1 610 MHz est utilisé </w:t>
      </w:r>
      <w:r w:rsidR="00A215FF" w:rsidRPr="00BA0351">
        <w:t>par</w:t>
      </w:r>
      <w:r w:rsidR="007073DC" w:rsidRPr="00BA0351">
        <w:t xml:space="preserve"> plusieurs systèmes de communication aéronautique, de navigation et de surveillance</w:t>
      </w:r>
      <w:r w:rsidR="00631B7A" w:rsidRPr="00BA0351">
        <w:t xml:space="preserve"> liés à la sécurité de la vie</w:t>
      </w:r>
      <w:r w:rsidR="00A215FF" w:rsidRPr="00BA0351">
        <w:t xml:space="preserve"> humaine</w:t>
      </w:r>
      <w:r w:rsidR="007073DC" w:rsidRPr="00BA0351">
        <w:t>;</w:t>
      </w:r>
    </w:p>
    <w:p w14:paraId="6C267585" w14:textId="63AF1667" w:rsidR="00A3532D" w:rsidRPr="00BA0351" w:rsidRDefault="00A3532D" w:rsidP="00A3532D">
      <w:pPr>
        <w:rPr>
          <w:rFonts w:eastAsia="BatangChe"/>
        </w:rPr>
      </w:pPr>
      <w:r w:rsidRPr="00BA0351">
        <w:rPr>
          <w:i/>
          <w:iCs/>
        </w:rPr>
        <w:t>b)</w:t>
      </w:r>
      <w:r w:rsidRPr="00BA0351">
        <w:tab/>
      </w:r>
      <w:r w:rsidR="00017D11" w:rsidRPr="00BA0351">
        <w:rPr>
          <w:rFonts w:eastAsia="BatangChe"/>
        </w:rPr>
        <w:t>que les bandes de fréquences 1 164-1 215 MHz et 1 559-1 610 MHz sont attribuées au</w:t>
      </w:r>
      <w:r w:rsidR="00F030B8" w:rsidRPr="00BA0351">
        <w:rPr>
          <w:rFonts w:eastAsia="BatangChe"/>
        </w:rPr>
        <w:t xml:space="preserve"> service de radionavigation aéronautique ou au service de radionavigation par satellite (espace vers Terre et Terre vers espace)</w:t>
      </w:r>
      <w:r w:rsidR="00E06B96" w:rsidRPr="00BA0351">
        <w:rPr>
          <w:rFonts w:eastAsia="BatangChe"/>
        </w:rPr>
        <w:t xml:space="preserve"> à titre primaire</w:t>
      </w:r>
      <w:r w:rsidR="00810906" w:rsidRPr="00BA0351">
        <w:t>;</w:t>
      </w:r>
    </w:p>
    <w:p w14:paraId="02EEA94F" w14:textId="1E749817" w:rsidR="00E06B96" w:rsidRPr="00BA0351" w:rsidRDefault="00A3532D" w:rsidP="00A3532D">
      <w:r w:rsidRPr="00BA0351">
        <w:rPr>
          <w:i/>
          <w:iCs/>
        </w:rPr>
        <w:t>c)</w:t>
      </w:r>
      <w:r w:rsidRPr="00BA0351">
        <w:tab/>
      </w:r>
      <w:r w:rsidR="00E06B96" w:rsidRPr="00BA0351">
        <w:t xml:space="preserve">que les brouillages préjudiciables causés au SRNS peuvent avoir des conséquences sur les systèmes </w:t>
      </w:r>
      <w:r w:rsidR="00A3032D" w:rsidRPr="00BA0351">
        <w:t xml:space="preserve">de sécurité </w:t>
      </w:r>
      <w:r w:rsidR="00411A17" w:rsidRPr="00BA0351">
        <w:t>utilisés par les</w:t>
      </w:r>
      <w:r w:rsidR="00A3032D" w:rsidRPr="00BA0351">
        <w:t xml:space="preserve"> services aéronautique</w:t>
      </w:r>
      <w:r w:rsidR="00411A17" w:rsidRPr="00BA0351">
        <w:t xml:space="preserve"> et maritime</w:t>
      </w:r>
      <w:r w:rsidR="00D67719" w:rsidRPr="00BA0351">
        <w:t>, ainsi que sur la régularité et l'efficacité des opérations de l'aviation civile;</w:t>
      </w:r>
    </w:p>
    <w:p w14:paraId="0F46D559" w14:textId="485264E4" w:rsidR="00826DA8" w:rsidRPr="00BA0351" w:rsidRDefault="00A3532D" w:rsidP="00A3532D">
      <w:r w:rsidRPr="00BA0351">
        <w:rPr>
          <w:i/>
          <w:iCs/>
        </w:rPr>
        <w:t>d)</w:t>
      </w:r>
      <w:r w:rsidRPr="00BA0351">
        <w:tab/>
      </w:r>
      <w:r w:rsidR="00826DA8" w:rsidRPr="00BA0351">
        <w:t xml:space="preserve">que l'Organisation de l'aviation civile internationale (OACI) a pris une mesure pour renforcer la </w:t>
      </w:r>
      <w:r w:rsidR="00973557" w:rsidRPr="00BA0351">
        <w:t>résilience</w:t>
      </w:r>
      <w:r w:rsidR="009F57BA" w:rsidRPr="00BA0351">
        <w:t xml:space="preserve"> des systèmes </w:t>
      </w:r>
      <w:r w:rsidR="00597BE3" w:rsidRPr="00BA0351">
        <w:t>de détermination de la position, de navigation et de synchronisation (PNT)</w:t>
      </w:r>
      <w:r w:rsidR="00976F30" w:rsidRPr="00BA0351">
        <w:t xml:space="preserve"> </w:t>
      </w:r>
      <w:r w:rsidR="00901689" w:rsidRPr="00BA0351">
        <w:t>face aux</w:t>
      </w:r>
      <w:r w:rsidR="00976F30" w:rsidRPr="00BA0351">
        <w:t xml:space="preserve"> brouillages</w:t>
      </w:r>
      <w:r w:rsidR="00597BE3" w:rsidRPr="00BA0351">
        <w:t>;</w:t>
      </w:r>
    </w:p>
    <w:p w14:paraId="2030462D" w14:textId="5391B22C" w:rsidR="008E4C4C" w:rsidRPr="00BA0351" w:rsidRDefault="00A3532D" w:rsidP="00A3532D">
      <w:r w:rsidRPr="00BA0351">
        <w:rPr>
          <w:i/>
          <w:iCs/>
        </w:rPr>
        <w:t>e)</w:t>
      </w:r>
      <w:r w:rsidRPr="00BA0351">
        <w:tab/>
      </w:r>
      <w:r w:rsidR="008E4C4C" w:rsidRPr="00BA0351">
        <w:t>que l'OACI a établi une stratégie visant à conserver les infrastructures PNT classiques essentielles pour la fourniture d'un appui d'urgence en cas d'interruption du SRNS</w:t>
      </w:r>
      <w:r w:rsidR="00FE2FCF" w:rsidRPr="00BA0351">
        <w:t xml:space="preserve"> et a élaboré des techniques d'atténuation </w:t>
      </w:r>
      <w:r w:rsidR="003E7663" w:rsidRPr="00BA0351">
        <w:t>pour la perte de services (</w:t>
      </w:r>
      <w:r w:rsidR="00D54891" w:rsidRPr="00BA0351">
        <w:t xml:space="preserve">voir la Convention de l'OACI, Annexe 10, Vol. </w:t>
      </w:r>
      <w:r w:rsidR="0083678F" w:rsidRPr="00BA0351">
        <w:t xml:space="preserve">I, Supplément H), mais </w:t>
      </w:r>
      <w:r w:rsidR="00387AFC" w:rsidRPr="00BA0351">
        <w:t xml:space="preserve">que </w:t>
      </w:r>
      <w:r w:rsidR="0083678F" w:rsidRPr="00BA0351">
        <w:t xml:space="preserve">ces techniques liées à l'infrastructure et d'atténuation peuvent ne pas être applicables dans certaines zones (par exemple </w:t>
      </w:r>
      <w:r w:rsidR="007F1E54" w:rsidRPr="00BA0351">
        <w:t>en haute mer),</w:t>
      </w:r>
    </w:p>
    <w:p w14:paraId="4573B690" w14:textId="081F1746" w:rsidR="003041B2" w:rsidRPr="00BA0351" w:rsidRDefault="003041B2" w:rsidP="003041B2">
      <w:pPr>
        <w:pStyle w:val="Call"/>
      </w:pPr>
      <w:r w:rsidRPr="00BA0351">
        <w:t>reconnaissant</w:t>
      </w:r>
    </w:p>
    <w:p w14:paraId="7C4620F1" w14:textId="2A4A38ED" w:rsidR="007F1E54" w:rsidRPr="00BA0351" w:rsidRDefault="003041B2" w:rsidP="003041B2">
      <w:r w:rsidRPr="00BA0351">
        <w:rPr>
          <w:i/>
          <w:iCs/>
        </w:rPr>
        <w:t>a)</w:t>
      </w:r>
      <w:r w:rsidRPr="00BA0351">
        <w:tab/>
      </w:r>
      <w:r w:rsidR="007F1E54" w:rsidRPr="00BA0351">
        <w:t xml:space="preserve">que </w:t>
      </w:r>
      <w:r w:rsidR="00712E30" w:rsidRPr="00BA0351">
        <w:t>des interruptions</w:t>
      </w:r>
      <w:r w:rsidR="007F1E54" w:rsidRPr="00BA0351">
        <w:t xml:space="preserve"> du SRNS </w:t>
      </w:r>
      <w:r w:rsidR="00712E30" w:rsidRPr="00BA0351">
        <w:t>ont été décelées</w:t>
      </w:r>
      <w:r w:rsidR="007F1E54" w:rsidRPr="00BA0351">
        <w:t xml:space="preserve"> à l'échelle mondiale par la communauté aéronautique </w:t>
      </w:r>
      <w:r w:rsidR="00712E30" w:rsidRPr="00BA0351">
        <w:t>et l'Organisation maritime internationale (OMI);</w:t>
      </w:r>
    </w:p>
    <w:p w14:paraId="3366C1C8" w14:textId="1EE30756" w:rsidR="003041B2" w:rsidRPr="00BA0351" w:rsidRDefault="003041B2" w:rsidP="003041B2">
      <w:r w:rsidRPr="00BA0351">
        <w:rPr>
          <w:i/>
          <w:iCs/>
        </w:rPr>
        <w:t>b)</w:t>
      </w:r>
      <w:r w:rsidRPr="00BA0351">
        <w:tab/>
      </w:r>
      <w:r w:rsidR="00712E30" w:rsidRPr="00BA0351">
        <w:t xml:space="preserve">que différents types d'activités, notamment l'utilisation d'émetteurs </w:t>
      </w:r>
      <w:r w:rsidR="004D6DD5" w:rsidRPr="00BA0351">
        <w:t>illicites</w:t>
      </w:r>
      <w:r w:rsidR="00793CBC" w:rsidRPr="00BA0351">
        <w:t>, peuvent causer des interruptions</w:t>
      </w:r>
      <w:r w:rsidR="00810906" w:rsidRPr="00BA0351">
        <w:t>;</w:t>
      </w:r>
    </w:p>
    <w:p w14:paraId="0824D280" w14:textId="0DF3836D" w:rsidR="003041B2" w:rsidRPr="00BA0351" w:rsidRDefault="003041B2" w:rsidP="003041B2">
      <w:r w:rsidRPr="00BA0351">
        <w:rPr>
          <w:i/>
          <w:iCs/>
        </w:rPr>
        <w:t>c)</w:t>
      </w:r>
      <w:r w:rsidRPr="00BA0351">
        <w:tab/>
      </w:r>
      <w:r w:rsidR="00793CBC" w:rsidRPr="00BA0351">
        <w:t xml:space="preserve">que l'OACI a décidé, </w:t>
      </w:r>
      <w:r w:rsidR="00D60099" w:rsidRPr="00BA0351">
        <w:t>lors</w:t>
      </w:r>
      <w:r w:rsidR="00884578" w:rsidRPr="00BA0351">
        <w:t xml:space="preserve"> de</w:t>
      </w:r>
      <w:r w:rsidR="00793CBC" w:rsidRPr="00BA0351">
        <w:t xml:space="preserve"> sa 40ème Assemblée tenue en octobre 2019, de prendre des mesures pour éviter et empêcher que des brouillages soient causés au SRNS</w:t>
      </w:r>
      <w:r w:rsidR="00810906" w:rsidRPr="00BA0351">
        <w:t>;</w:t>
      </w:r>
    </w:p>
    <w:p w14:paraId="07AC3EDD" w14:textId="582C1B6C" w:rsidR="003041B2" w:rsidRPr="00BA0351" w:rsidRDefault="003041B2" w:rsidP="003041B2">
      <w:r w:rsidRPr="00BA0351">
        <w:rPr>
          <w:i/>
          <w:iCs/>
        </w:rPr>
        <w:t>d)</w:t>
      </w:r>
      <w:r w:rsidRPr="00BA0351">
        <w:tab/>
      </w:r>
      <w:r w:rsidR="00793CBC" w:rsidRPr="00BA0351">
        <w:t>la Lettre circulaire CR/488 du Bureau des radiocommunications (BR)</w:t>
      </w:r>
      <w:r w:rsidR="00810906" w:rsidRPr="00BA0351">
        <w:t>;</w:t>
      </w:r>
    </w:p>
    <w:p w14:paraId="2BCC8A42" w14:textId="1A4EEFEE" w:rsidR="003041B2" w:rsidRPr="00BA0351" w:rsidRDefault="003041B2" w:rsidP="003041B2">
      <w:r w:rsidRPr="00BA0351">
        <w:rPr>
          <w:i/>
          <w:iCs/>
        </w:rPr>
        <w:t>e)</w:t>
      </w:r>
      <w:r w:rsidRPr="00BA0351">
        <w:tab/>
      </w:r>
      <w:r w:rsidR="000163AB" w:rsidRPr="00BA0351">
        <w:t xml:space="preserve">que l'article 45 de la Constitution de l'UIT dispose que </w:t>
      </w:r>
      <w:r w:rsidRPr="00BA0351">
        <w:t>«</w:t>
      </w:r>
      <w:r w:rsidR="000163AB" w:rsidRPr="00BA0351">
        <w:t>t</w:t>
      </w:r>
      <w:r w:rsidRPr="00BA0351">
        <w:t xml:space="preserve">outes les stations, quel que soit leur objet, doivent être établies et exploitées de manière à ne pas causer de brouillages préjudiciables aux communications ou services radioélectriques des autres </w:t>
      </w:r>
      <w:r w:rsidR="00BA0351" w:rsidRPr="00BA0351">
        <w:t>É</w:t>
      </w:r>
      <w:r w:rsidRPr="00BA0351">
        <w:t>tats Membres, des exploitations reconnues et des autres exploitations dûment autorisées à assurer un service de radiocommunication, et qui fonctionnent conformément aux dispositions du Règlement des radiocommunications»;</w:t>
      </w:r>
    </w:p>
    <w:p w14:paraId="35125AA8" w14:textId="2F3D0C09" w:rsidR="003041B2" w:rsidRPr="00BA0351" w:rsidRDefault="003041B2" w:rsidP="00CC15C0">
      <w:r w:rsidRPr="00BA0351">
        <w:rPr>
          <w:i/>
          <w:iCs/>
        </w:rPr>
        <w:lastRenderedPageBreak/>
        <w:t>f)</w:t>
      </w:r>
      <w:r w:rsidRPr="00BA0351">
        <w:tab/>
      </w:r>
      <w:r w:rsidR="00CC15C0" w:rsidRPr="00BA0351">
        <w:t xml:space="preserve">que le numéro </w:t>
      </w:r>
      <w:r w:rsidR="00CC15C0" w:rsidRPr="00BA0351">
        <w:rPr>
          <w:b/>
        </w:rPr>
        <w:t>4.10</w:t>
      </w:r>
      <w:r w:rsidR="00CC15C0" w:rsidRPr="00BA0351">
        <w:t xml:space="preserve"> dispose que </w:t>
      </w:r>
      <w:r w:rsidRPr="00BA0351">
        <w:t>«</w:t>
      </w:r>
      <w:r w:rsidR="00254F6E" w:rsidRPr="00BA0351">
        <w:t xml:space="preserve">le rôle joué </w:t>
      </w:r>
      <w:r w:rsidRPr="00BA0351">
        <w:t>en matière de sécurité par le service de radionavigation et les autres services de sécurité nécessite des dispositions spéciales pour les mettre à l'abri</w:t>
      </w:r>
      <w:r w:rsidR="0031591A" w:rsidRPr="00BA0351">
        <w:t xml:space="preserve"> des brouillages préjudiciables</w:t>
      </w:r>
      <w:r w:rsidRPr="00BA0351">
        <w:t>»</w:t>
      </w:r>
      <w:r w:rsidR="00810906" w:rsidRPr="00BA0351">
        <w:t>;</w:t>
      </w:r>
    </w:p>
    <w:p w14:paraId="0DB0FF0F" w14:textId="1906FECE" w:rsidR="003041B2" w:rsidRPr="00BA0351" w:rsidRDefault="003041B2" w:rsidP="00CC15C0">
      <w:r w:rsidRPr="00BA0351">
        <w:rPr>
          <w:i/>
          <w:iCs/>
        </w:rPr>
        <w:t>g)</w:t>
      </w:r>
      <w:r w:rsidRPr="00BA0351">
        <w:tab/>
      </w:r>
      <w:r w:rsidR="00254F6E" w:rsidRPr="00BA0351">
        <w:t xml:space="preserve">que l'article 48 de la Constitution de l'UIT dispose que </w:t>
      </w:r>
      <w:r w:rsidRPr="00BA0351">
        <w:t xml:space="preserve">«les </w:t>
      </w:r>
      <w:r w:rsidR="00F36F3B" w:rsidRPr="00BA0351">
        <w:t>É</w:t>
      </w:r>
      <w:r w:rsidRPr="00BA0351">
        <w:t>tats Membres conservent leur entière liberté en ce qui concerne les installations radioélectriques militaires»;</w:t>
      </w:r>
    </w:p>
    <w:p w14:paraId="5F6EBCF8" w14:textId="7E965AE3" w:rsidR="003041B2" w:rsidRPr="00BA0351" w:rsidRDefault="003041B2" w:rsidP="00BA0351">
      <w:r w:rsidRPr="00BA0351">
        <w:rPr>
          <w:i/>
          <w:iCs/>
        </w:rPr>
        <w:t>h)</w:t>
      </w:r>
      <w:r w:rsidRPr="00BA0351">
        <w:tab/>
      </w:r>
      <w:r w:rsidR="00465902" w:rsidRPr="00BA0351">
        <w:t xml:space="preserve">que le numéro </w:t>
      </w:r>
      <w:r w:rsidR="00465902" w:rsidRPr="00BA0351">
        <w:rPr>
          <w:b/>
        </w:rPr>
        <w:t>5.328A</w:t>
      </w:r>
      <w:r w:rsidR="00465902" w:rsidRPr="00BA0351">
        <w:t xml:space="preserve"> dispose que </w:t>
      </w:r>
      <w:r w:rsidR="00F1210A" w:rsidRPr="00BA0351">
        <w:t>«l</w:t>
      </w:r>
      <w:r w:rsidR="00810906" w:rsidRPr="00BA0351">
        <w:t>es stations du service de radionavigation par satellite exploitées dans la bande 1</w:t>
      </w:r>
      <w:r w:rsidR="00BA0351" w:rsidRPr="00BA0351">
        <w:t> </w:t>
      </w:r>
      <w:r w:rsidR="00810906" w:rsidRPr="00BA0351">
        <w:t>164</w:t>
      </w:r>
      <w:r w:rsidR="00810906" w:rsidRPr="00BA0351">
        <w:noBreakHyphen/>
        <w:t>1</w:t>
      </w:r>
      <w:r w:rsidR="00BA0351" w:rsidRPr="00BA0351">
        <w:t> </w:t>
      </w:r>
      <w:r w:rsidR="00810906" w:rsidRPr="00BA0351">
        <w:t xml:space="preserve">215 MHz </w:t>
      </w:r>
      <w:r w:rsidR="001959C4" w:rsidRPr="00BA0351">
        <w:t>[…]</w:t>
      </w:r>
      <w:r w:rsidR="00810906" w:rsidRPr="00BA0351">
        <w:t xml:space="preserve"> ne doivent pas demander à être protégées vis-à-vis des stations du service de radionavigation aéronautique dans la bande 960-1</w:t>
      </w:r>
      <w:r w:rsidR="00BA0351" w:rsidRPr="00BA0351">
        <w:t> </w:t>
      </w:r>
      <w:r w:rsidR="00810906" w:rsidRPr="00BA0351">
        <w:t>215 MHz</w:t>
      </w:r>
      <w:r w:rsidR="00F1210A" w:rsidRPr="00BA0351">
        <w:t>»</w:t>
      </w:r>
      <w:r w:rsidR="00810906" w:rsidRPr="00BA0351">
        <w:t>;</w:t>
      </w:r>
    </w:p>
    <w:p w14:paraId="0CD06D77" w14:textId="176C93E1" w:rsidR="003041B2" w:rsidRPr="00BA0351" w:rsidRDefault="003041B2" w:rsidP="00CC15C0">
      <w:r w:rsidRPr="00BA0351">
        <w:rPr>
          <w:i/>
          <w:iCs/>
        </w:rPr>
        <w:t>i)</w:t>
      </w:r>
      <w:r w:rsidRPr="00BA0351">
        <w:tab/>
      </w:r>
      <w:r w:rsidR="001959C4" w:rsidRPr="00BA0351">
        <w:t xml:space="preserve">que l'identification, le signalement et le traitement des cas de brouillages préjudiciables sont assujettis aux dispositions de l'Article </w:t>
      </w:r>
      <w:r w:rsidR="001959C4" w:rsidRPr="00BA0351">
        <w:rPr>
          <w:b/>
        </w:rPr>
        <w:t>15</w:t>
      </w:r>
      <w:r w:rsidR="00810906" w:rsidRPr="00BA0351">
        <w:t>,</w:t>
      </w:r>
    </w:p>
    <w:p w14:paraId="4C0F99D1" w14:textId="585FECFB" w:rsidR="004D3988" w:rsidRPr="00BA0351" w:rsidRDefault="001959C4" w:rsidP="00CC15C0">
      <w:pPr>
        <w:pStyle w:val="Call"/>
      </w:pPr>
      <w:r w:rsidRPr="00BA0351">
        <w:t>décide de prier instamment les administrations</w:t>
      </w:r>
    </w:p>
    <w:p w14:paraId="27728A75" w14:textId="1A4F4090" w:rsidR="004D3988" w:rsidRPr="00BA0351" w:rsidRDefault="004D3988" w:rsidP="00CC15C0">
      <w:r w:rsidRPr="00BA0351">
        <w:t>1</w:t>
      </w:r>
      <w:r w:rsidRPr="00BA0351">
        <w:tab/>
      </w:r>
      <w:r w:rsidR="004D6DD5" w:rsidRPr="00BA0351">
        <w:t>d'appliquer les mesures nécessaires à l'échelle nationale pour éviter la commercialisation, la multiplication et l'utilisation d'émetteurs illicites</w:t>
      </w:r>
      <w:r w:rsidRPr="00BA0351">
        <w:t>;</w:t>
      </w:r>
    </w:p>
    <w:p w14:paraId="7C1F1AFA" w14:textId="01AA805A" w:rsidR="004D3988" w:rsidRPr="00BA0351" w:rsidRDefault="004D3988" w:rsidP="00CC15C0">
      <w:r w:rsidRPr="00BA0351">
        <w:t>2</w:t>
      </w:r>
      <w:r w:rsidRPr="00BA0351">
        <w:tab/>
      </w:r>
      <w:r w:rsidR="00EE1283" w:rsidRPr="00BA0351">
        <w:t xml:space="preserve">de prendre les mesures ci-après pour éviter et empêcher que des brouillages préjudiciables soient causés au SRNS exploité dans les bandes de fréquences </w:t>
      </w:r>
      <w:r w:rsidR="00EE1283" w:rsidRPr="00BA0351">
        <w:rPr>
          <w:rFonts w:eastAsia="BatangChe"/>
        </w:rPr>
        <w:t>1 164-1 215 MHz et</w:t>
      </w:r>
      <w:r w:rsidR="00BA0351" w:rsidRPr="00BA0351">
        <w:rPr>
          <w:iCs/>
          <w:color w:val="000000"/>
        </w:rPr>
        <w:t> </w:t>
      </w:r>
      <w:r w:rsidR="00EE1283" w:rsidRPr="00BA0351">
        <w:rPr>
          <w:iCs/>
          <w:color w:val="000000"/>
        </w:rPr>
        <w:t xml:space="preserve">1 559-1 610 MHz, sans préjudice </w:t>
      </w:r>
      <w:r w:rsidR="0062529E" w:rsidRPr="00BA0351">
        <w:rPr>
          <w:iCs/>
          <w:color w:val="000000"/>
        </w:rPr>
        <w:t xml:space="preserve">du droit des administrations </w:t>
      </w:r>
      <w:r w:rsidR="005A3C52" w:rsidRPr="00BA0351">
        <w:rPr>
          <w:iCs/>
          <w:color w:val="000000"/>
        </w:rPr>
        <w:t>de</w:t>
      </w:r>
      <w:r w:rsidR="0062529E" w:rsidRPr="00BA0351">
        <w:rPr>
          <w:iCs/>
          <w:color w:val="000000"/>
        </w:rPr>
        <w:t xml:space="preserve"> refuser l'accès au SRNS </w:t>
      </w:r>
      <w:r w:rsidR="005A3C52" w:rsidRPr="00BA0351">
        <w:rPr>
          <w:iCs/>
          <w:color w:val="000000"/>
        </w:rPr>
        <w:t>à des fins de sécurité ou de défense</w:t>
      </w:r>
      <w:r w:rsidRPr="00BA0351">
        <w:t>:</w:t>
      </w:r>
    </w:p>
    <w:p w14:paraId="0B11F4A1" w14:textId="1691AEA8" w:rsidR="004D3988" w:rsidRPr="00BA0351" w:rsidRDefault="004D3988" w:rsidP="00CC15C0">
      <w:pPr>
        <w:pStyle w:val="enumlev1"/>
      </w:pPr>
      <w:r w:rsidRPr="00BA0351">
        <w:rPr>
          <w:i/>
          <w:iCs/>
        </w:rPr>
        <w:t>a)</w:t>
      </w:r>
      <w:r w:rsidRPr="00BA0351">
        <w:tab/>
      </w:r>
      <w:r w:rsidR="00C23F2A" w:rsidRPr="00BA0351">
        <w:t xml:space="preserve">encourager la collaboration entre les régulateurs nationaux du spectre, les autorités </w:t>
      </w:r>
      <w:r w:rsidR="004D3D1E" w:rsidRPr="00BA0351">
        <w:t xml:space="preserve">chargées de l'application des lois et les parties prenantes du SRNS </w:t>
      </w:r>
      <w:r w:rsidR="007F2D4E" w:rsidRPr="00BA0351">
        <w:t>dans les domaines aéronautique et maritime</w:t>
      </w:r>
      <w:r w:rsidRPr="00BA0351">
        <w:t>;</w:t>
      </w:r>
    </w:p>
    <w:p w14:paraId="690C6C7D" w14:textId="476F2A48" w:rsidR="004D3988" w:rsidRPr="00BA0351" w:rsidRDefault="004D3988" w:rsidP="00CC15C0">
      <w:pPr>
        <w:pStyle w:val="enumlev1"/>
      </w:pPr>
      <w:r w:rsidRPr="00BA0351">
        <w:rPr>
          <w:i/>
          <w:iCs/>
        </w:rPr>
        <w:t>b)</w:t>
      </w:r>
      <w:r w:rsidRPr="00BA0351">
        <w:tab/>
      </w:r>
      <w:r w:rsidR="007F2D4E" w:rsidRPr="00BA0351">
        <w:t xml:space="preserve">renforcer la coordination entre les autorités </w:t>
      </w:r>
      <w:r w:rsidR="00C65EB5" w:rsidRPr="00BA0351">
        <w:t>aéronautiques et</w:t>
      </w:r>
      <w:r w:rsidR="007F2D4E" w:rsidRPr="00BA0351">
        <w:t xml:space="preserve"> maritimes et </w:t>
      </w:r>
      <w:r w:rsidR="00C65EB5" w:rsidRPr="00BA0351">
        <w:t>les autorités nationales de sécurité,</w:t>
      </w:r>
      <w:r w:rsidR="007F2D4E" w:rsidRPr="00BA0351">
        <w:t xml:space="preserve"> afin </w:t>
      </w:r>
      <w:r w:rsidR="00AA56FD" w:rsidRPr="00BA0351">
        <w:t xml:space="preserve">de remédier aux risques de brouillage susceptibles de peser sur les systèmes du SRNS en raison des activités de ces autorités </w:t>
      </w:r>
      <w:r w:rsidR="00686D0E" w:rsidRPr="00BA0351">
        <w:t>nationales de sécurité</w:t>
      </w:r>
      <w:r w:rsidRPr="00BA0351">
        <w:t>;</w:t>
      </w:r>
    </w:p>
    <w:p w14:paraId="4F047B5C" w14:textId="225E083C" w:rsidR="004D3988" w:rsidRPr="00BA0351" w:rsidRDefault="004D3988" w:rsidP="00CC15C0">
      <w:r w:rsidRPr="00BA0351">
        <w:t>3</w:t>
      </w:r>
      <w:r w:rsidRPr="00BA0351">
        <w:tab/>
      </w:r>
      <w:r w:rsidR="00216927" w:rsidRPr="00BA0351">
        <w:t xml:space="preserve">signaler, </w:t>
      </w:r>
      <w:r w:rsidR="00C11399" w:rsidRPr="00BA0351">
        <w:t>si</w:t>
      </w:r>
      <w:r w:rsidR="00216927" w:rsidRPr="00BA0351">
        <w:t xml:space="preserve"> l'administration affectée le juge approprié, les cas de brouillages préjudiciables </w:t>
      </w:r>
      <w:r w:rsidR="00A37041" w:rsidRPr="00BA0351">
        <w:t xml:space="preserve">causés au SRNS, conformément à l'Article </w:t>
      </w:r>
      <w:r w:rsidR="00A37041" w:rsidRPr="00BA0351">
        <w:rPr>
          <w:b/>
        </w:rPr>
        <w:t>15</w:t>
      </w:r>
      <w:r w:rsidRPr="00BA0351">
        <w:t>,</w:t>
      </w:r>
    </w:p>
    <w:p w14:paraId="59516002" w14:textId="38A751CA" w:rsidR="004D3988" w:rsidRPr="00BA0351" w:rsidRDefault="004D3988" w:rsidP="004D3988">
      <w:pPr>
        <w:pStyle w:val="Call"/>
      </w:pPr>
      <w:r w:rsidRPr="00BA0351">
        <w:t>charge le Secrétaire général</w:t>
      </w:r>
    </w:p>
    <w:p w14:paraId="7BF8963A" w14:textId="34A7FEA6" w:rsidR="004D3988" w:rsidRPr="00BA0351" w:rsidRDefault="00A37041" w:rsidP="00A37041">
      <w:r w:rsidRPr="00BA0351">
        <w:t>de porter la présente Résolution à l'attention de l'OACI et de l'OMI</w:t>
      </w:r>
      <w:r w:rsidR="004D3988" w:rsidRPr="00BA0351">
        <w:t>.</w:t>
      </w:r>
    </w:p>
    <w:p w14:paraId="2BE0E70B" w14:textId="77777777" w:rsidR="00471FBA" w:rsidRPr="00BA0351" w:rsidRDefault="00471FBA" w:rsidP="00471FBA">
      <w:pPr>
        <w:pStyle w:val="Reasons"/>
      </w:pPr>
    </w:p>
    <w:p w14:paraId="28BFB961" w14:textId="4B836BD0" w:rsidR="004D3988" w:rsidRPr="00BA0351" w:rsidRDefault="004D3988" w:rsidP="004D3988">
      <w:pPr>
        <w:jc w:val="center"/>
      </w:pPr>
      <w:r w:rsidRPr="00BA0351">
        <w:t>______________</w:t>
      </w:r>
    </w:p>
    <w:sectPr w:rsidR="004D3988" w:rsidRPr="00BA0351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0B51" w14:textId="77777777" w:rsidR="00CB685A" w:rsidRDefault="00CB685A">
      <w:r>
        <w:separator/>
      </w:r>
    </w:p>
  </w:endnote>
  <w:endnote w:type="continuationSeparator" w:id="0">
    <w:p w14:paraId="07BEF822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0573" w14:textId="4E1D9079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0351">
      <w:rPr>
        <w:noProof/>
      </w:rPr>
      <w:t>15.11.23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306B" w14:textId="5C293A22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71FBA">
      <w:rPr>
        <w:lang w:val="en-US"/>
      </w:rPr>
      <w:t>P:\FRA\ITU-R\CONF-R\CMR23\000\065ADD25ADD05F.docx</w:t>
    </w:r>
    <w:r>
      <w:fldChar w:fldCharType="end"/>
    </w:r>
    <w:r w:rsidR="0083611B" w:rsidRPr="00C858A0">
      <w:rPr>
        <w:lang w:val="en-US"/>
      </w:rPr>
      <w:t>(530583)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1BC9" w14:textId="779F62E3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71FBA">
      <w:rPr>
        <w:lang w:val="en-US"/>
      </w:rPr>
      <w:t>P:\FRA\ITU-R\CONF-R\CMR23\000\065ADD25ADD05F.docx</w:t>
    </w:r>
    <w:r>
      <w:fldChar w:fldCharType="end"/>
    </w:r>
    <w:r w:rsidR="0083611B" w:rsidRPr="00C858A0">
      <w:rPr>
        <w:lang w:val="en-US"/>
      </w:rPr>
      <w:t>(530583)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5AE5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69B2A170" w14:textId="77777777" w:rsidR="00CB685A" w:rsidRDefault="00CB685A">
      <w:r>
        <w:continuationSeparator/>
      </w:r>
    </w:p>
  </w:footnote>
  <w:footnote w:id="1">
    <w:p w14:paraId="7D1D6001" w14:textId="77777777" w:rsidR="00485985" w:rsidRPr="00815FAF" w:rsidRDefault="00EB25E3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2BCE" w14:textId="455C6BAA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11399">
      <w:rPr>
        <w:noProof/>
      </w:rPr>
      <w:t>3</w:t>
    </w:r>
    <w:r>
      <w:fldChar w:fldCharType="end"/>
    </w:r>
  </w:p>
  <w:p w14:paraId="0E0051AF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65(Add.25)(Add.5)-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84692259">
    <w:abstractNumId w:val="0"/>
  </w:num>
  <w:num w:numId="2" w16cid:durableId="110376264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3AB"/>
    <w:rsid w:val="00016648"/>
    <w:rsid w:val="00017D11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03AA6"/>
    <w:rsid w:val="001167B9"/>
    <w:rsid w:val="001267A0"/>
    <w:rsid w:val="00126F59"/>
    <w:rsid w:val="00142CBD"/>
    <w:rsid w:val="0015203F"/>
    <w:rsid w:val="00160C64"/>
    <w:rsid w:val="0018169B"/>
    <w:rsid w:val="0019352B"/>
    <w:rsid w:val="001959C4"/>
    <w:rsid w:val="001960D0"/>
    <w:rsid w:val="001A11F6"/>
    <w:rsid w:val="001F17E8"/>
    <w:rsid w:val="00204306"/>
    <w:rsid w:val="00216927"/>
    <w:rsid w:val="00225CF2"/>
    <w:rsid w:val="00232FD2"/>
    <w:rsid w:val="00254F6E"/>
    <w:rsid w:val="0026554E"/>
    <w:rsid w:val="002A4622"/>
    <w:rsid w:val="002A6F8F"/>
    <w:rsid w:val="002B17E5"/>
    <w:rsid w:val="002C0EBF"/>
    <w:rsid w:val="002C28A4"/>
    <w:rsid w:val="002D7E0A"/>
    <w:rsid w:val="003041B2"/>
    <w:rsid w:val="0031591A"/>
    <w:rsid w:val="00315AFE"/>
    <w:rsid w:val="003411F6"/>
    <w:rsid w:val="003606A6"/>
    <w:rsid w:val="0036650C"/>
    <w:rsid w:val="00387AFC"/>
    <w:rsid w:val="00393ACD"/>
    <w:rsid w:val="0039764C"/>
    <w:rsid w:val="003A583E"/>
    <w:rsid w:val="003E112B"/>
    <w:rsid w:val="003E1D1C"/>
    <w:rsid w:val="003E7663"/>
    <w:rsid w:val="003E7B05"/>
    <w:rsid w:val="003F3719"/>
    <w:rsid w:val="003F6F2D"/>
    <w:rsid w:val="004044A2"/>
    <w:rsid w:val="00411A17"/>
    <w:rsid w:val="00413A21"/>
    <w:rsid w:val="00465902"/>
    <w:rsid w:val="00466211"/>
    <w:rsid w:val="00471FBA"/>
    <w:rsid w:val="00476EC1"/>
    <w:rsid w:val="00483196"/>
    <w:rsid w:val="004834A9"/>
    <w:rsid w:val="004A005B"/>
    <w:rsid w:val="004D01FC"/>
    <w:rsid w:val="004D3988"/>
    <w:rsid w:val="004D3D1E"/>
    <w:rsid w:val="004D6DD5"/>
    <w:rsid w:val="004E28C3"/>
    <w:rsid w:val="004F1F8E"/>
    <w:rsid w:val="00512A32"/>
    <w:rsid w:val="005343DA"/>
    <w:rsid w:val="00560874"/>
    <w:rsid w:val="00574C4E"/>
    <w:rsid w:val="00586007"/>
    <w:rsid w:val="00586CF2"/>
    <w:rsid w:val="00597BE3"/>
    <w:rsid w:val="005A0C15"/>
    <w:rsid w:val="005A3C52"/>
    <w:rsid w:val="005A7C75"/>
    <w:rsid w:val="005C3768"/>
    <w:rsid w:val="005C6C3F"/>
    <w:rsid w:val="0060107B"/>
    <w:rsid w:val="00613635"/>
    <w:rsid w:val="0062093D"/>
    <w:rsid w:val="0062529E"/>
    <w:rsid w:val="00631B7A"/>
    <w:rsid w:val="00637ECF"/>
    <w:rsid w:val="00647B59"/>
    <w:rsid w:val="00686D0E"/>
    <w:rsid w:val="00690C7B"/>
    <w:rsid w:val="006A4B45"/>
    <w:rsid w:val="006D4724"/>
    <w:rsid w:val="006D5AD5"/>
    <w:rsid w:val="006E44A6"/>
    <w:rsid w:val="006F5FA2"/>
    <w:rsid w:val="0070076C"/>
    <w:rsid w:val="00701BAE"/>
    <w:rsid w:val="007073DC"/>
    <w:rsid w:val="00712E30"/>
    <w:rsid w:val="00721F04"/>
    <w:rsid w:val="00730E95"/>
    <w:rsid w:val="00740C7D"/>
    <w:rsid w:val="0074132A"/>
    <w:rsid w:val="007426B9"/>
    <w:rsid w:val="00764342"/>
    <w:rsid w:val="00774362"/>
    <w:rsid w:val="00786598"/>
    <w:rsid w:val="00790C74"/>
    <w:rsid w:val="00793CBC"/>
    <w:rsid w:val="007A04E8"/>
    <w:rsid w:val="007B2C34"/>
    <w:rsid w:val="007F1E54"/>
    <w:rsid w:val="007F282B"/>
    <w:rsid w:val="007F2D4E"/>
    <w:rsid w:val="007F38EF"/>
    <w:rsid w:val="00810906"/>
    <w:rsid w:val="00826DA8"/>
    <w:rsid w:val="00830086"/>
    <w:rsid w:val="0083611B"/>
    <w:rsid w:val="0083678F"/>
    <w:rsid w:val="00851625"/>
    <w:rsid w:val="00863C0A"/>
    <w:rsid w:val="00884578"/>
    <w:rsid w:val="008A3120"/>
    <w:rsid w:val="008A4B97"/>
    <w:rsid w:val="008B3528"/>
    <w:rsid w:val="008C5B8E"/>
    <w:rsid w:val="008C5DD5"/>
    <w:rsid w:val="008C7123"/>
    <w:rsid w:val="008D41BE"/>
    <w:rsid w:val="008D58D3"/>
    <w:rsid w:val="008E3BC9"/>
    <w:rsid w:val="008E4C4C"/>
    <w:rsid w:val="00901689"/>
    <w:rsid w:val="00923064"/>
    <w:rsid w:val="00930FFD"/>
    <w:rsid w:val="00936D25"/>
    <w:rsid w:val="00941EA5"/>
    <w:rsid w:val="00964700"/>
    <w:rsid w:val="00966C16"/>
    <w:rsid w:val="00973557"/>
    <w:rsid w:val="00976F30"/>
    <w:rsid w:val="0098732F"/>
    <w:rsid w:val="009A045F"/>
    <w:rsid w:val="009A6A2B"/>
    <w:rsid w:val="009C7E7C"/>
    <w:rsid w:val="009F57BA"/>
    <w:rsid w:val="00A00473"/>
    <w:rsid w:val="00A03C9B"/>
    <w:rsid w:val="00A20522"/>
    <w:rsid w:val="00A215FF"/>
    <w:rsid w:val="00A3032D"/>
    <w:rsid w:val="00A3532D"/>
    <w:rsid w:val="00A37041"/>
    <w:rsid w:val="00A37105"/>
    <w:rsid w:val="00A606C3"/>
    <w:rsid w:val="00A741A7"/>
    <w:rsid w:val="00A83B09"/>
    <w:rsid w:val="00A84541"/>
    <w:rsid w:val="00AA56FD"/>
    <w:rsid w:val="00AC4EE8"/>
    <w:rsid w:val="00AC7B7B"/>
    <w:rsid w:val="00AE36A0"/>
    <w:rsid w:val="00B00294"/>
    <w:rsid w:val="00B3749C"/>
    <w:rsid w:val="00B64FD0"/>
    <w:rsid w:val="00B73265"/>
    <w:rsid w:val="00BA0351"/>
    <w:rsid w:val="00BA5BD0"/>
    <w:rsid w:val="00BB1CCA"/>
    <w:rsid w:val="00BB1D82"/>
    <w:rsid w:val="00BC217E"/>
    <w:rsid w:val="00BD51C5"/>
    <w:rsid w:val="00BE6B63"/>
    <w:rsid w:val="00BF26E7"/>
    <w:rsid w:val="00C11399"/>
    <w:rsid w:val="00C1305F"/>
    <w:rsid w:val="00C23F2A"/>
    <w:rsid w:val="00C53FCA"/>
    <w:rsid w:val="00C5415E"/>
    <w:rsid w:val="00C65EB5"/>
    <w:rsid w:val="00C71DEB"/>
    <w:rsid w:val="00C76BAF"/>
    <w:rsid w:val="00C814B9"/>
    <w:rsid w:val="00C858A0"/>
    <w:rsid w:val="00CB3D21"/>
    <w:rsid w:val="00CB685A"/>
    <w:rsid w:val="00CC15C0"/>
    <w:rsid w:val="00CD516F"/>
    <w:rsid w:val="00D119A7"/>
    <w:rsid w:val="00D25FBA"/>
    <w:rsid w:val="00D32B28"/>
    <w:rsid w:val="00D3426F"/>
    <w:rsid w:val="00D42954"/>
    <w:rsid w:val="00D54891"/>
    <w:rsid w:val="00D60099"/>
    <w:rsid w:val="00D66EAC"/>
    <w:rsid w:val="00D67719"/>
    <w:rsid w:val="00D730DF"/>
    <w:rsid w:val="00D772F0"/>
    <w:rsid w:val="00D77BDC"/>
    <w:rsid w:val="00DC402B"/>
    <w:rsid w:val="00DE0932"/>
    <w:rsid w:val="00DF15E8"/>
    <w:rsid w:val="00E03A27"/>
    <w:rsid w:val="00E049F1"/>
    <w:rsid w:val="00E06B96"/>
    <w:rsid w:val="00E37A25"/>
    <w:rsid w:val="00E537FF"/>
    <w:rsid w:val="00E60CB2"/>
    <w:rsid w:val="00E6539B"/>
    <w:rsid w:val="00E70A31"/>
    <w:rsid w:val="00E723A7"/>
    <w:rsid w:val="00EA3F38"/>
    <w:rsid w:val="00EA5AB6"/>
    <w:rsid w:val="00EB25E3"/>
    <w:rsid w:val="00EC7615"/>
    <w:rsid w:val="00ED16AA"/>
    <w:rsid w:val="00ED6B8D"/>
    <w:rsid w:val="00EE1283"/>
    <w:rsid w:val="00EE3D7B"/>
    <w:rsid w:val="00EF662E"/>
    <w:rsid w:val="00F030B8"/>
    <w:rsid w:val="00F10064"/>
    <w:rsid w:val="00F1210A"/>
    <w:rsid w:val="00F148F1"/>
    <w:rsid w:val="00F36F3B"/>
    <w:rsid w:val="00F711A7"/>
    <w:rsid w:val="00FA3BBF"/>
    <w:rsid w:val="00FC41F8"/>
    <w:rsid w:val="00FD7AA3"/>
    <w:rsid w:val="00FE2FCF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31F5D83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73D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40C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C7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0C7D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0C7D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740C7D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740C7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0C7D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R23-WRC23-C-0065!A25-A5!MSW-F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266616-65DA-44F2-AAFB-3D948583B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86F7D-DAD4-473A-A389-A3341FE8B4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249092-00FA-41FB-850B-C66DF0ECF2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813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R23-WRC23-C-0065!A25-A5!MSW-F</vt:lpstr>
    </vt:vector>
  </TitlesOfParts>
  <Manager>Secrétariat général - Pool</Manager>
  <Company>Union internationale des télécommunications (UIT)</Company>
  <LinksUpToDate>false</LinksUpToDate>
  <CharactersWithSpaces>5532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R23-WRC23-C-0065!A25-A5!MSW-F</dc:title>
  <dc:subject>Conférence mondiale des radiocommunications - 2019</dc:subject>
  <dc:creator>Documents Proposals Manager (DPM)</dc:creator>
  <cp:keywords>DPM_v2023.11.6.1_prod</cp:keywords>
  <dc:description/>
  <cp:lastModifiedBy>French</cp:lastModifiedBy>
  <cp:revision>5</cp:revision>
  <cp:lastPrinted>2003-06-05T19:34:00Z</cp:lastPrinted>
  <dcterms:created xsi:type="dcterms:W3CDTF">2023-11-15T18:09:00Z</dcterms:created>
  <dcterms:modified xsi:type="dcterms:W3CDTF">2023-11-16T07:41:00Z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