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2108BF" w14:paraId="284B658E" w14:textId="77777777" w:rsidTr="0080079E">
        <w:trPr>
          <w:cantSplit/>
        </w:trPr>
        <w:tc>
          <w:tcPr>
            <w:tcW w:w="1418" w:type="dxa"/>
            <w:vAlign w:val="center"/>
          </w:tcPr>
          <w:p w14:paraId="25CB4934" w14:textId="77777777" w:rsidR="0080079E" w:rsidRPr="002108B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2108BF">
              <w:rPr>
                <w:noProof/>
                <w:lang w:val="es-ES" w:eastAsia="es-ES"/>
              </w:rPr>
              <w:drawing>
                <wp:inline distT="0" distB="0" distL="0" distR="0" wp14:anchorId="60A5D3B8" wp14:editId="54B82D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2C41EDE" w14:textId="77777777" w:rsidR="0080079E" w:rsidRPr="002108B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2108B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2108B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2108BF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8E0EF5C" w14:textId="77777777" w:rsidR="0080079E" w:rsidRPr="002108BF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2108BF">
              <w:rPr>
                <w:noProof/>
                <w:lang w:val="es-ES" w:eastAsia="es-ES"/>
              </w:rPr>
              <w:drawing>
                <wp:inline distT="0" distB="0" distL="0" distR="0" wp14:anchorId="38AC2626" wp14:editId="3F4040F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108BF" w14:paraId="103B023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F83CDDA" w14:textId="77777777" w:rsidR="0090121B" w:rsidRPr="002108B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E7D1929" w14:textId="77777777" w:rsidR="0090121B" w:rsidRPr="002108B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2108BF" w14:paraId="5EF22ED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2D0433B" w14:textId="77777777" w:rsidR="0090121B" w:rsidRPr="002108B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AB00D11" w14:textId="77777777" w:rsidR="0090121B" w:rsidRPr="002108BF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2108BF" w14:paraId="51551176" w14:textId="77777777" w:rsidTr="0090121B">
        <w:trPr>
          <w:cantSplit/>
        </w:trPr>
        <w:tc>
          <w:tcPr>
            <w:tcW w:w="6911" w:type="dxa"/>
            <w:gridSpan w:val="2"/>
          </w:tcPr>
          <w:p w14:paraId="0BFB32D7" w14:textId="77777777" w:rsidR="0090121B" w:rsidRPr="002108B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2108BF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EDA21F2" w14:textId="0023F06B" w:rsidR="0090121B" w:rsidRPr="002108B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Addéndum </w:t>
            </w:r>
            <w:r w:rsidR="00163E70">
              <w:rPr>
                <w:rFonts w:ascii="Verdana" w:hAnsi="Verdana"/>
                <w:b/>
                <w:sz w:val="18"/>
                <w:szCs w:val="18"/>
                <w:lang w:val="es-ES"/>
              </w:rPr>
              <w:t>5</w:t>
            </w:r>
            <w:r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al</w:t>
            </w:r>
            <w:r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65(Add.25)</w:t>
            </w:r>
            <w:r w:rsidR="0090121B"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2108BF" w14:paraId="69D9B039" w14:textId="77777777" w:rsidTr="0090121B">
        <w:trPr>
          <w:cantSplit/>
        </w:trPr>
        <w:tc>
          <w:tcPr>
            <w:tcW w:w="6911" w:type="dxa"/>
            <w:gridSpan w:val="2"/>
          </w:tcPr>
          <w:p w14:paraId="478BBFD2" w14:textId="77777777" w:rsidR="000A5B9A" w:rsidRPr="002108B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574AC0F7" w14:textId="6404A97B" w:rsidR="000A5B9A" w:rsidRPr="002108BF" w:rsidRDefault="00163E70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>31</w:t>
            </w:r>
            <w:r w:rsidR="000A5B9A"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de 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octubre </w:t>
            </w:r>
            <w:r w:rsidR="000A5B9A"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>de 2023</w:t>
            </w:r>
          </w:p>
        </w:tc>
      </w:tr>
      <w:tr w:rsidR="000A5B9A" w:rsidRPr="002108BF" w14:paraId="571761F1" w14:textId="77777777" w:rsidTr="0090121B">
        <w:trPr>
          <w:cantSplit/>
        </w:trPr>
        <w:tc>
          <w:tcPr>
            <w:tcW w:w="6911" w:type="dxa"/>
            <w:gridSpan w:val="2"/>
          </w:tcPr>
          <w:p w14:paraId="5F4A7B82" w14:textId="77777777" w:rsidR="000A5B9A" w:rsidRPr="002108B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7710D48" w14:textId="77777777" w:rsidR="000A5B9A" w:rsidRPr="002108B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2108BF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2108BF" w14:paraId="423D20DF" w14:textId="77777777" w:rsidTr="006744FC">
        <w:trPr>
          <w:cantSplit/>
        </w:trPr>
        <w:tc>
          <w:tcPr>
            <w:tcW w:w="10031" w:type="dxa"/>
            <w:gridSpan w:val="4"/>
          </w:tcPr>
          <w:p w14:paraId="37152BC6" w14:textId="77777777" w:rsidR="000A5B9A" w:rsidRPr="002108B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2108BF" w14:paraId="5DA95A3C" w14:textId="77777777" w:rsidTr="0050008E">
        <w:trPr>
          <w:cantSplit/>
        </w:trPr>
        <w:tc>
          <w:tcPr>
            <w:tcW w:w="10031" w:type="dxa"/>
            <w:gridSpan w:val="4"/>
          </w:tcPr>
          <w:p w14:paraId="3E22F1F7" w14:textId="77777777" w:rsidR="000A5B9A" w:rsidRPr="002108BF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2108BF">
              <w:rPr>
                <w:lang w:val="es-ES"/>
              </w:rPr>
              <w:t>Propuestas Comunes Europeas</w:t>
            </w:r>
          </w:p>
        </w:tc>
      </w:tr>
      <w:tr w:rsidR="000A5B9A" w:rsidRPr="002108BF" w14:paraId="687ED757" w14:textId="77777777" w:rsidTr="0050008E">
        <w:trPr>
          <w:cantSplit/>
        </w:trPr>
        <w:tc>
          <w:tcPr>
            <w:tcW w:w="10031" w:type="dxa"/>
            <w:gridSpan w:val="4"/>
          </w:tcPr>
          <w:p w14:paraId="44F790E7" w14:textId="1D8587E9" w:rsidR="000A5B9A" w:rsidRPr="002108BF" w:rsidRDefault="00955679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2108BF">
              <w:rPr>
                <w:lang w:val="es-ES"/>
              </w:rPr>
              <w:t>PROPUESTAS PARA LOS TRABAJOS DE LA CONFERNCIA</w:t>
            </w:r>
          </w:p>
        </w:tc>
      </w:tr>
      <w:tr w:rsidR="000A5B9A" w:rsidRPr="002108BF" w14:paraId="67CDA773" w14:textId="77777777" w:rsidTr="0050008E">
        <w:trPr>
          <w:cantSplit/>
        </w:trPr>
        <w:tc>
          <w:tcPr>
            <w:tcW w:w="10031" w:type="dxa"/>
            <w:gridSpan w:val="4"/>
          </w:tcPr>
          <w:p w14:paraId="6518143F" w14:textId="77777777" w:rsidR="000A5B9A" w:rsidRPr="002108B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2108BF" w14:paraId="5E236ED5" w14:textId="77777777" w:rsidTr="0050008E">
        <w:trPr>
          <w:cantSplit/>
        </w:trPr>
        <w:tc>
          <w:tcPr>
            <w:tcW w:w="10031" w:type="dxa"/>
            <w:gridSpan w:val="4"/>
          </w:tcPr>
          <w:p w14:paraId="579DDC90" w14:textId="77777777" w:rsidR="000A5B9A" w:rsidRPr="002108BF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2108BF">
              <w:rPr>
                <w:lang w:val="es-ES"/>
              </w:rPr>
              <w:t>Punto 9.2 del orden del día</w:t>
            </w:r>
          </w:p>
        </w:tc>
      </w:tr>
    </w:tbl>
    <w:bookmarkEnd w:id="5"/>
    <w:p w14:paraId="105FB826" w14:textId="77777777" w:rsidR="00CA2965" w:rsidRPr="002108BF" w:rsidRDefault="00B43A1C" w:rsidP="0018290C">
      <w:pPr>
        <w:pStyle w:val="Normalaftertitle"/>
        <w:rPr>
          <w:lang w:val="es-ES"/>
        </w:rPr>
      </w:pPr>
      <w:r w:rsidRPr="002108BF">
        <w:rPr>
          <w:lang w:val="es-ES"/>
        </w:rPr>
        <w:t>9</w:t>
      </w:r>
      <w:r w:rsidRPr="002108BF">
        <w:rPr>
          <w:lang w:val="es-ES"/>
        </w:rPr>
        <w:tab/>
        <w:t>examinar y aprobar el Informe del Director de la Oficina de Radiocomunicaciones, de conformidad con el Artículo 7 del Convenio de la UIT:</w:t>
      </w:r>
    </w:p>
    <w:p w14:paraId="43284A51" w14:textId="77777777" w:rsidR="00CA2965" w:rsidRPr="002108BF" w:rsidRDefault="00B43A1C" w:rsidP="00822E96">
      <w:pPr>
        <w:rPr>
          <w:lang w:val="es-ES"/>
        </w:rPr>
      </w:pPr>
      <w:r w:rsidRPr="002108BF">
        <w:rPr>
          <w:lang w:val="es-ES"/>
        </w:rPr>
        <w:t>9.2</w:t>
      </w:r>
      <w:r w:rsidRPr="002108BF">
        <w:rPr>
          <w:lang w:val="es-ES"/>
        </w:rPr>
        <w:tab/>
        <w:t>sobre las dificultades o incoherencias observadas en la aplicación del Reglamento de Radiocomunicaciones;</w:t>
      </w:r>
      <w:r w:rsidRPr="002108BF">
        <w:rPr>
          <w:rStyle w:val="FootnoteReference"/>
          <w:lang w:val="es-ES"/>
        </w:rPr>
        <w:footnoteReference w:customMarkFollows="1" w:id="1"/>
        <w:t>1</w:t>
      </w:r>
      <w:r w:rsidRPr="002108BF">
        <w:rPr>
          <w:lang w:val="es-ES"/>
        </w:rPr>
        <w:t xml:space="preserve"> y</w:t>
      </w:r>
    </w:p>
    <w:p w14:paraId="1EF0F13F" w14:textId="5CC0689A" w:rsidR="00D022AC" w:rsidRPr="002108BF" w:rsidRDefault="00D022AC" w:rsidP="00D022AC">
      <w:pPr>
        <w:pStyle w:val="Part1"/>
        <w:rPr>
          <w:lang w:val="es-ES"/>
        </w:rPr>
      </w:pPr>
      <w:r w:rsidRPr="002108BF">
        <w:rPr>
          <w:lang w:val="es-ES"/>
        </w:rPr>
        <w:t xml:space="preserve">Parte 5: Sección 3.1.7.2 del Addéndum 2 al Informe del Director a la CMR-23, </w:t>
      </w:r>
      <w:r w:rsidRPr="002108BF">
        <w:rPr>
          <w:lang w:val="es-ES"/>
        </w:rPr>
        <w:br/>
        <w:t xml:space="preserve">Interferencia perjudicial al SRNS </w:t>
      </w:r>
    </w:p>
    <w:p w14:paraId="1C63CF26" w14:textId="73DF6B35" w:rsidR="00D022AC" w:rsidRPr="002108BF" w:rsidRDefault="00D022AC" w:rsidP="00D022AC">
      <w:pPr>
        <w:pStyle w:val="Headingb"/>
        <w:rPr>
          <w:lang w:val="es-ES"/>
        </w:rPr>
      </w:pPr>
      <w:r w:rsidRPr="002108BF">
        <w:rPr>
          <w:lang w:val="es-ES"/>
        </w:rPr>
        <w:t>Propuesta</w:t>
      </w:r>
    </w:p>
    <w:p w14:paraId="7BB7EE52" w14:textId="77777777" w:rsidR="00363A65" w:rsidRPr="002108BF" w:rsidRDefault="00363A65" w:rsidP="002C1A52">
      <w:pPr>
        <w:rPr>
          <w:lang w:val="es-ES"/>
        </w:rPr>
      </w:pPr>
    </w:p>
    <w:p w14:paraId="5A3ECB61" w14:textId="77777777" w:rsidR="008750A8" w:rsidRPr="002108B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2108BF">
        <w:rPr>
          <w:lang w:val="es-ES"/>
        </w:rPr>
        <w:br w:type="page"/>
      </w:r>
    </w:p>
    <w:p w14:paraId="57B8BBDB" w14:textId="467C5A9C" w:rsidR="00CB2489" w:rsidRPr="002108BF" w:rsidRDefault="00B43A1C">
      <w:pPr>
        <w:pStyle w:val="Proposal"/>
        <w:rPr>
          <w:lang w:val="es-ES"/>
        </w:rPr>
      </w:pPr>
      <w:r w:rsidRPr="002108BF">
        <w:rPr>
          <w:lang w:val="es-ES"/>
        </w:rPr>
        <w:lastRenderedPageBreak/>
        <w:t>ADD</w:t>
      </w:r>
      <w:r w:rsidRPr="002108BF">
        <w:rPr>
          <w:lang w:val="es-ES"/>
        </w:rPr>
        <w:tab/>
      </w:r>
      <w:r w:rsidRPr="003A2411">
        <w:rPr>
          <w:lang w:val="es-ES"/>
        </w:rPr>
        <w:t>EUR/65A25A</w:t>
      </w:r>
      <w:r w:rsidR="00163E70">
        <w:rPr>
          <w:lang w:val="es-ES"/>
        </w:rPr>
        <w:t>5</w:t>
      </w:r>
      <w:r w:rsidRPr="003A2411">
        <w:rPr>
          <w:lang w:val="es-ES"/>
        </w:rPr>
        <w:t>/</w:t>
      </w:r>
      <w:r w:rsidR="00163E70">
        <w:rPr>
          <w:lang w:val="es-ES"/>
        </w:rPr>
        <w:t>1</w:t>
      </w:r>
    </w:p>
    <w:p w14:paraId="17A1BDFE" w14:textId="0107A5A0" w:rsidR="00D022AC" w:rsidRPr="002108BF" w:rsidRDefault="002B173E" w:rsidP="00D022AC">
      <w:pPr>
        <w:pStyle w:val="ResNo"/>
        <w:rPr>
          <w:lang w:val="es-ES"/>
        </w:rPr>
      </w:pPr>
      <w:r w:rsidRPr="002108BF">
        <w:rPr>
          <w:lang w:val="es-ES"/>
        </w:rPr>
        <w:t>proyecto de nueva resolución</w:t>
      </w:r>
      <w:r w:rsidR="00D022AC" w:rsidRPr="002108BF">
        <w:rPr>
          <w:lang w:val="es-ES"/>
        </w:rPr>
        <w:t xml:space="preserve"> [EUR-A25-RNSS-interference-prevention] (</w:t>
      </w:r>
      <w:r w:rsidRPr="002108BF">
        <w:rPr>
          <w:lang w:val="es-ES"/>
        </w:rPr>
        <w:t>cmr</w:t>
      </w:r>
      <w:r w:rsidR="00D022AC" w:rsidRPr="002108BF">
        <w:rPr>
          <w:lang w:val="es-ES"/>
        </w:rPr>
        <w:t>-23)</w:t>
      </w:r>
    </w:p>
    <w:p w14:paraId="330270B9" w14:textId="49957D9B" w:rsidR="00D022AC" w:rsidRPr="002108BF" w:rsidRDefault="002B173E" w:rsidP="00D022AC">
      <w:pPr>
        <w:pStyle w:val="Restitle"/>
        <w:rPr>
          <w:lang w:val="es-ES"/>
        </w:rPr>
      </w:pPr>
      <w:r w:rsidRPr="002108BF">
        <w:rPr>
          <w:lang w:val="es-ES"/>
        </w:rPr>
        <w:t>Prevención y atenuación de la interferencia pe</w:t>
      </w:r>
      <w:r w:rsidR="00986D56" w:rsidRPr="002108BF">
        <w:rPr>
          <w:lang w:val="es-ES"/>
        </w:rPr>
        <w:t>r</w:t>
      </w:r>
      <w:r w:rsidRPr="002108BF">
        <w:rPr>
          <w:lang w:val="es-ES"/>
        </w:rPr>
        <w:t xml:space="preserve">judicial causada al servicio de radionavegación por satélite en las bandas de frecuencias </w:t>
      </w:r>
      <w:r w:rsidR="00D022AC" w:rsidRPr="002108BF">
        <w:rPr>
          <w:lang w:val="es-ES"/>
        </w:rPr>
        <w:t xml:space="preserve">1 164-1 215 MHz </w:t>
      </w:r>
      <w:r w:rsidRPr="002108BF">
        <w:rPr>
          <w:lang w:val="es-ES"/>
        </w:rPr>
        <w:t xml:space="preserve">y </w:t>
      </w:r>
      <w:r w:rsidR="00D022AC" w:rsidRPr="002108BF">
        <w:rPr>
          <w:lang w:val="es-ES"/>
        </w:rPr>
        <w:t>1 559-1 610 MHz</w:t>
      </w:r>
    </w:p>
    <w:p w14:paraId="7FAB2C90" w14:textId="75DC9624" w:rsidR="00D022AC" w:rsidRPr="002108BF" w:rsidRDefault="002B173E" w:rsidP="00D022AC">
      <w:pPr>
        <w:pStyle w:val="Normalaftertitle"/>
        <w:rPr>
          <w:lang w:val="es-ES" w:eastAsia="zh-CN"/>
        </w:rPr>
      </w:pPr>
      <w:r w:rsidRPr="002108BF">
        <w:rPr>
          <w:lang w:val="es-ES" w:eastAsia="zh-CN"/>
        </w:rPr>
        <w:t>La Conferencia Mundial de Radiocomunicaciones (Dubá</w:t>
      </w:r>
      <w:r w:rsidR="00D022AC" w:rsidRPr="002108BF">
        <w:rPr>
          <w:lang w:val="es-ES" w:eastAsia="zh-CN"/>
        </w:rPr>
        <w:t>i, 2023),</w:t>
      </w:r>
    </w:p>
    <w:p w14:paraId="64D99BD4" w14:textId="6E9EE340" w:rsidR="00D022AC" w:rsidRPr="002108BF" w:rsidRDefault="002B173E" w:rsidP="00163E70">
      <w:pPr>
        <w:pStyle w:val="Call"/>
        <w:rPr>
          <w:rFonts w:eastAsia="TimesNewRoman,Italic"/>
          <w:lang w:val="es-ES"/>
        </w:rPr>
      </w:pPr>
      <w:r w:rsidRPr="00163E70">
        <w:rPr>
          <w:rFonts w:eastAsia="TimesNewRoman,Italic"/>
        </w:rPr>
        <w:t>considerando</w:t>
      </w:r>
    </w:p>
    <w:p w14:paraId="0B3BF640" w14:textId="67398FCD" w:rsidR="00D022AC" w:rsidRPr="00163E70" w:rsidRDefault="00D022AC" w:rsidP="00163E70">
      <w:pPr>
        <w:rPr>
          <w:rFonts w:eastAsia="BatangChe"/>
        </w:rPr>
      </w:pPr>
      <w:r w:rsidRPr="002108BF">
        <w:rPr>
          <w:i/>
          <w:iCs/>
          <w:lang w:val="es-ES"/>
        </w:rPr>
        <w:t>a)</w:t>
      </w:r>
      <w:r w:rsidRPr="002108BF">
        <w:rPr>
          <w:lang w:val="es-ES"/>
        </w:rPr>
        <w:tab/>
      </w:r>
      <w:r w:rsidR="009477C4" w:rsidRPr="00163E70">
        <w:rPr>
          <w:rFonts w:eastAsia="BatangChe"/>
        </w:rPr>
        <w:t xml:space="preserve">que el servicio de radionavegación por satélite (SRNS) que opera en las bandas de frecuencias </w:t>
      </w:r>
      <w:r w:rsidRPr="00163E70">
        <w:rPr>
          <w:rFonts w:eastAsia="BatangChe"/>
        </w:rPr>
        <w:t xml:space="preserve">1 164-1 215 MHz </w:t>
      </w:r>
      <w:r w:rsidR="009477C4" w:rsidRPr="00163E70">
        <w:rPr>
          <w:rFonts w:eastAsia="BatangChe"/>
        </w:rPr>
        <w:t xml:space="preserve">y </w:t>
      </w:r>
      <w:r w:rsidRPr="00163E70">
        <w:rPr>
          <w:rFonts w:eastAsia="BatangChe"/>
        </w:rPr>
        <w:t xml:space="preserve">1 559-1 610 MHz </w:t>
      </w:r>
      <w:r w:rsidR="009477C4" w:rsidRPr="00163E70">
        <w:rPr>
          <w:rFonts w:eastAsia="BatangChe"/>
        </w:rPr>
        <w:t>se utiliza en varios sis</w:t>
      </w:r>
      <w:r w:rsidR="0002581B" w:rsidRPr="00163E70">
        <w:rPr>
          <w:rFonts w:eastAsia="BatangChe"/>
        </w:rPr>
        <w:t>t</w:t>
      </w:r>
      <w:r w:rsidR="009477C4" w:rsidRPr="00163E70">
        <w:rPr>
          <w:rFonts w:eastAsia="BatangChe"/>
        </w:rPr>
        <w:t>emas de comunicación aeronáutica, navegaci</w:t>
      </w:r>
      <w:r w:rsidR="0002581B" w:rsidRPr="00163E70">
        <w:rPr>
          <w:rFonts w:eastAsia="BatangChe"/>
        </w:rPr>
        <w:t xml:space="preserve">ón, </w:t>
      </w:r>
      <w:r w:rsidR="009477C4" w:rsidRPr="00DA329E">
        <w:rPr>
          <w:lang w:val="es-ES"/>
        </w:rPr>
        <w:t>vigilancia</w:t>
      </w:r>
      <w:r w:rsidR="009477C4" w:rsidRPr="00163E70">
        <w:rPr>
          <w:rFonts w:eastAsia="BatangChe"/>
        </w:rPr>
        <w:t xml:space="preserve"> </w:t>
      </w:r>
      <w:r w:rsidR="0002581B" w:rsidRPr="00163E70">
        <w:rPr>
          <w:rFonts w:eastAsia="BatangChe"/>
        </w:rPr>
        <w:t>y seguridad de la vida humana</w:t>
      </w:r>
      <w:r w:rsidRPr="00163E70">
        <w:rPr>
          <w:rFonts w:eastAsia="BatangChe"/>
        </w:rPr>
        <w:t>;</w:t>
      </w:r>
    </w:p>
    <w:p w14:paraId="1662ADC0" w14:textId="40CB98AC" w:rsidR="00D022AC" w:rsidRPr="002108BF" w:rsidRDefault="00D022AC" w:rsidP="00DA329E">
      <w:pPr>
        <w:rPr>
          <w:rFonts w:eastAsia="BatangChe"/>
          <w:lang w:val="es-ES"/>
        </w:rPr>
      </w:pPr>
      <w:r w:rsidRPr="002108BF">
        <w:rPr>
          <w:rFonts w:eastAsia="BatangChe"/>
          <w:i/>
          <w:iCs/>
          <w:lang w:val="es-ES"/>
        </w:rPr>
        <w:t>b)</w:t>
      </w:r>
      <w:r w:rsidRPr="002108BF">
        <w:rPr>
          <w:rFonts w:eastAsia="BatangChe"/>
          <w:lang w:val="es-ES"/>
        </w:rPr>
        <w:tab/>
      </w:r>
      <w:r w:rsidR="0002581B" w:rsidRPr="00DA329E">
        <w:rPr>
          <w:lang w:val="es-ES"/>
        </w:rPr>
        <w:t>que</w:t>
      </w:r>
      <w:r w:rsidR="0002581B" w:rsidRPr="002108BF">
        <w:rPr>
          <w:rFonts w:eastAsia="BatangChe"/>
          <w:lang w:val="es-ES"/>
        </w:rPr>
        <w:t xml:space="preserve"> las bandas de frecuencias </w:t>
      </w:r>
      <w:r w:rsidRPr="002108BF">
        <w:rPr>
          <w:rFonts w:eastAsia="BatangChe"/>
          <w:lang w:val="es-ES"/>
        </w:rPr>
        <w:t xml:space="preserve">1 164-1 215 MHz </w:t>
      </w:r>
      <w:r w:rsidR="0002581B" w:rsidRPr="002108BF">
        <w:rPr>
          <w:rFonts w:eastAsia="BatangChe"/>
          <w:lang w:val="es-ES"/>
        </w:rPr>
        <w:t xml:space="preserve">y </w:t>
      </w:r>
      <w:r w:rsidRPr="002108BF">
        <w:rPr>
          <w:rFonts w:eastAsia="BatangChe"/>
          <w:lang w:val="es-ES"/>
        </w:rPr>
        <w:t xml:space="preserve">1 559-1 610 MHz </w:t>
      </w:r>
      <w:r w:rsidR="0002581B" w:rsidRPr="002108BF">
        <w:rPr>
          <w:rFonts w:eastAsia="BatangChe"/>
          <w:lang w:val="es-ES"/>
        </w:rPr>
        <w:t xml:space="preserve">están atribuidas al servicio de radionavegación </w:t>
      </w:r>
      <w:r w:rsidR="0002581B" w:rsidRPr="00DA329E">
        <w:rPr>
          <w:lang w:val="es-ES"/>
        </w:rPr>
        <w:t>aeronáutica</w:t>
      </w:r>
      <w:r w:rsidR="0002581B" w:rsidRPr="002108BF">
        <w:rPr>
          <w:rFonts w:eastAsia="BatangChe"/>
          <w:lang w:val="es-ES"/>
        </w:rPr>
        <w:t xml:space="preserve"> o al servicio de radionavegación por satélite (espacio</w:t>
      </w:r>
      <w:r w:rsidR="00DA329E">
        <w:rPr>
          <w:rFonts w:eastAsia="BatangChe"/>
          <w:lang w:val="es-ES"/>
        </w:rPr>
        <w:noBreakHyphen/>
      </w:r>
      <w:r w:rsidR="0002581B" w:rsidRPr="002108BF">
        <w:rPr>
          <w:rFonts w:eastAsia="BatangChe"/>
          <w:lang w:val="es-ES"/>
        </w:rPr>
        <w:t>Tierra y espacio-espacio) a título primario</w:t>
      </w:r>
      <w:r w:rsidRPr="002108BF">
        <w:rPr>
          <w:rFonts w:eastAsia="BatangChe"/>
          <w:lang w:val="es-ES"/>
        </w:rPr>
        <w:t>;</w:t>
      </w:r>
    </w:p>
    <w:p w14:paraId="62B05093" w14:textId="17D91C5F" w:rsidR="00D022AC" w:rsidRPr="002108BF" w:rsidRDefault="00D022AC" w:rsidP="00D022AC">
      <w:pPr>
        <w:rPr>
          <w:lang w:val="es-ES"/>
        </w:rPr>
      </w:pPr>
      <w:r w:rsidRPr="002108BF">
        <w:rPr>
          <w:i/>
          <w:iCs/>
          <w:lang w:val="es-ES"/>
        </w:rPr>
        <w:t>c)</w:t>
      </w:r>
      <w:r w:rsidRPr="002108BF">
        <w:rPr>
          <w:lang w:val="es-ES"/>
        </w:rPr>
        <w:tab/>
      </w:r>
      <w:r w:rsidR="0002581B" w:rsidRPr="002108BF">
        <w:rPr>
          <w:lang w:val="es-ES"/>
        </w:rPr>
        <w:t>que la interferencia pe</w:t>
      </w:r>
      <w:r w:rsidR="00986D56" w:rsidRPr="002108BF">
        <w:rPr>
          <w:lang w:val="es-ES"/>
        </w:rPr>
        <w:t>r</w:t>
      </w:r>
      <w:r w:rsidR="0002581B" w:rsidRPr="002108BF">
        <w:rPr>
          <w:lang w:val="es-ES"/>
        </w:rPr>
        <w:t>judicial causada al SRNS puede tener consecuencias para los sistemas de seguridad que utilizan el servicio aeronáutico y marítimo y para la regularidad y eficacia de las operaciones de aviación civil</w:t>
      </w:r>
      <w:r w:rsidRPr="002108BF">
        <w:rPr>
          <w:lang w:val="es-ES"/>
        </w:rPr>
        <w:t>;</w:t>
      </w:r>
    </w:p>
    <w:p w14:paraId="21100F97" w14:textId="312664CF" w:rsidR="00D022AC" w:rsidRPr="002108BF" w:rsidRDefault="00D022AC" w:rsidP="00D022AC">
      <w:pPr>
        <w:rPr>
          <w:iCs/>
          <w:color w:val="000000"/>
          <w:lang w:val="es-ES"/>
        </w:rPr>
      </w:pPr>
      <w:r w:rsidRPr="002108BF">
        <w:rPr>
          <w:i/>
          <w:iCs/>
          <w:lang w:val="es-ES"/>
        </w:rPr>
        <w:t>d)</w:t>
      </w:r>
      <w:r w:rsidRPr="002108BF">
        <w:rPr>
          <w:lang w:val="es-ES"/>
        </w:rPr>
        <w:tab/>
      </w:r>
      <w:r w:rsidR="0002581B" w:rsidRPr="002108BF">
        <w:rPr>
          <w:lang w:val="es-ES"/>
        </w:rPr>
        <w:t>que la Organización de Aviación Civil Internacional (OACI) ha adoptado medidas para reforzar la resiliencia a las interferencias de los sistemas náuticos de posicionamiento, navegación y temporización</w:t>
      </w:r>
      <w:r w:rsidRPr="002108BF">
        <w:rPr>
          <w:iCs/>
          <w:color w:val="000000"/>
          <w:lang w:val="es-ES"/>
        </w:rPr>
        <w:t>;</w:t>
      </w:r>
    </w:p>
    <w:p w14:paraId="0032D4D3" w14:textId="3C55C1EF" w:rsidR="00D022AC" w:rsidRPr="002108BF" w:rsidRDefault="00D022AC" w:rsidP="00D022AC">
      <w:pPr>
        <w:rPr>
          <w:rFonts w:eastAsia="BatangChe"/>
          <w:lang w:val="es-ES"/>
        </w:rPr>
      </w:pPr>
      <w:r w:rsidRPr="002108BF">
        <w:rPr>
          <w:i/>
          <w:color w:val="000000"/>
          <w:lang w:val="es-ES"/>
        </w:rPr>
        <w:t>e)</w:t>
      </w:r>
      <w:r w:rsidRPr="002108BF">
        <w:rPr>
          <w:iCs/>
          <w:color w:val="000000"/>
          <w:lang w:val="es-ES"/>
        </w:rPr>
        <w:tab/>
      </w:r>
      <w:r w:rsidR="008B75EC" w:rsidRPr="00DA329E">
        <w:t xml:space="preserve">que la OACI ha determinado una estrategia para conservar las infraestructuras </w:t>
      </w:r>
      <w:r w:rsidR="009A07DD" w:rsidRPr="00DA329E">
        <w:t>básicas</w:t>
      </w:r>
      <w:r w:rsidR="008B75EC" w:rsidRPr="00DA329E">
        <w:t xml:space="preserve"> </w:t>
      </w:r>
      <w:r w:rsidR="009A07DD" w:rsidRPr="00DA329E">
        <w:t xml:space="preserve">convencionales </w:t>
      </w:r>
      <w:r w:rsidR="008B75EC" w:rsidRPr="00DA329E">
        <w:t xml:space="preserve">de posicionamiento, navegación y temporización </w:t>
      </w:r>
      <w:r w:rsidR="00E33796" w:rsidRPr="00DA329E">
        <w:t>a fin de</w:t>
      </w:r>
      <w:r w:rsidR="008B75EC" w:rsidRPr="00DA329E">
        <w:t xml:space="preserve"> prestar apoyo de contingencia en caso de interrupción del SRNS, y para elaborar técnicas de mitigación </w:t>
      </w:r>
      <w:r w:rsidR="00E33796" w:rsidRPr="00DA329E">
        <w:t xml:space="preserve">para la pérdida de servicios </w:t>
      </w:r>
      <w:r w:rsidRPr="00DA329E">
        <w:t>(</w:t>
      </w:r>
      <w:r w:rsidR="00E33796" w:rsidRPr="00DA329E">
        <w:t xml:space="preserve">véase el Anexo 10, Vol. 1, </w:t>
      </w:r>
      <w:r w:rsidR="00E76CC2" w:rsidRPr="00DA329E">
        <w:t>Adj. H de la OACI</w:t>
      </w:r>
      <w:r w:rsidRPr="00DA329E">
        <w:t xml:space="preserve">); </w:t>
      </w:r>
      <w:r w:rsidR="00743B73" w:rsidRPr="00DA329E">
        <w:t>sin embargo, es pos</w:t>
      </w:r>
      <w:r w:rsidR="00E76CC2" w:rsidRPr="00DA329E">
        <w:t>ible que esas infraestructuras y técnicas de mitigación no estén disponibles en algunas zonas, por ejemplo, sobre alta mar</w:t>
      </w:r>
      <w:r w:rsidRPr="00DA329E">
        <w:t xml:space="preserve">), </w:t>
      </w:r>
    </w:p>
    <w:p w14:paraId="391B4246" w14:textId="4535F329" w:rsidR="00D022AC" w:rsidRPr="00DA329E" w:rsidRDefault="00E76CC2" w:rsidP="00DA329E">
      <w:pPr>
        <w:pStyle w:val="Call"/>
        <w:rPr>
          <w:rFonts w:eastAsia="TimesNewRoman,Italic"/>
        </w:rPr>
      </w:pPr>
      <w:r w:rsidRPr="00DA329E">
        <w:rPr>
          <w:rFonts w:eastAsia="TimesNewRoman,Italic"/>
        </w:rPr>
        <w:t>reconociendo</w:t>
      </w:r>
    </w:p>
    <w:p w14:paraId="65CA43EE" w14:textId="62367359" w:rsidR="00D022AC" w:rsidRPr="002108BF" w:rsidRDefault="00D022AC" w:rsidP="00D022AC">
      <w:pPr>
        <w:rPr>
          <w:rFonts w:eastAsia="BatangChe"/>
          <w:lang w:val="es-ES"/>
        </w:rPr>
      </w:pPr>
      <w:r w:rsidRPr="002108BF">
        <w:rPr>
          <w:i/>
          <w:lang w:val="es-ES"/>
        </w:rPr>
        <w:t>a</w:t>
      </w:r>
      <w:r w:rsidRPr="002108BF">
        <w:rPr>
          <w:i/>
          <w:iCs/>
          <w:lang w:val="es-ES"/>
        </w:rPr>
        <w:t>)</w:t>
      </w:r>
      <w:r w:rsidRPr="002108BF">
        <w:rPr>
          <w:lang w:val="es-ES"/>
        </w:rPr>
        <w:tab/>
      </w:r>
      <w:r w:rsidR="00FE79D6" w:rsidRPr="002108BF">
        <w:rPr>
          <w:lang w:val="es-ES"/>
        </w:rPr>
        <w:t>que la comunidad internacional y la Organización Marítima Internacional (OMI) han detectado interrupciones en el SRNS en todo el mundo</w:t>
      </w:r>
      <w:r w:rsidRPr="002108BF">
        <w:rPr>
          <w:rFonts w:eastAsia="BatangChe"/>
          <w:lang w:val="es-ES"/>
        </w:rPr>
        <w:t>;</w:t>
      </w:r>
    </w:p>
    <w:p w14:paraId="1B9CFB26" w14:textId="2B8ED87F" w:rsidR="00D022AC" w:rsidRPr="002108BF" w:rsidRDefault="00D022AC" w:rsidP="00D022AC">
      <w:pPr>
        <w:rPr>
          <w:szCs w:val="24"/>
          <w:lang w:val="es-ES"/>
        </w:rPr>
      </w:pPr>
      <w:r w:rsidRPr="002108BF">
        <w:rPr>
          <w:i/>
          <w:lang w:val="es-ES"/>
        </w:rPr>
        <w:t>b)</w:t>
      </w:r>
      <w:r w:rsidRPr="002108BF">
        <w:rPr>
          <w:lang w:val="es-ES"/>
        </w:rPr>
        <w:tab/>
      </w:r>
      <w:r w:rsidR="00FE79D6" w:rsidRPr="002108BF">
        <w:rPr>
          <w:lang w:val="es-ES"/>
        </w:rPr>
        <w:t>que existen diferentes tipos de actividades que pueden provocar perturbaci</w:t>
      </w:r>
      <w:r w:rsidR="00C56225" w:rsidRPr="002108BF">
        <w:rPr>
          <w:lang w:val="es-ES"/>
        </w:rPr>
        <w:t>ones</w:t>
      </w:r>
      <w:r w:rsidR="00FE79D6" w:rsidRPr="002108BF">
        <w:rPr>
          <w:lang w:val="es-ES"/>
        </w:rPr>
        <w:t>, entre las que destaca el uso de transmisores ilegales</w:t>
      </w:r>
      <w:r w:rsidRPr="002108BF">
        <w:rPr>
          <w:szCs w:val="24"/>
          <w:lang w:val="es-ES"/>
        </w:rPr>
        <w:t>;</w:t>
      </w:r>
    </w:p>
    <w:p w14:paraId="705B93AE" w14:textId="61A5ACB6" w:rsidR="00D022AC" w:rsidRPr="002108BF" w:rsidRDefault="00D022AC" w:rsidP="00D022AC">
      <w:pPr>
        <w:rPr>
          <w:lang w:val="es-ES"/>
        </w:rPr>
      </w:pPr>
      <w:r w:rsidRPr="002108BF">
        <w:rPr>
          <w:i/>
          <w:iCs/>
          <w:lang w:val="es-ES"/>
        </w:rPr>
        <w:t>c)</w:t>
      </w:r>
      <w:r w:rsidRPr="002108BF">
        <w:rPr>
          <w:lang w:val="es-ES"/>
        </w:rPr>
        <w:tab/>
      </w:r>
      <w:r w:rsidR="00C56225" w:rsidRPr="002108BF">
        <w:rPr>
          <w:lang w:val="es-ES"/>
        </w:rPr>
        <w:t>que, en su 40ª Asamblea de octubre de 2019, la OACI decidió adoptar medidas para evitar las interferencias al SRNS</w:t>
      </w:r>
      <w:r w:rsidRPr="002108BF">
        <w:rPr>
          <w:lang w:val="es-ES"/>
        </w:rPr>
        <w:t>;</w:t>
      </w:r>
    </w:p>
    <w:p w14:paraId="043D60DE" w14:textId="4CD84B26" w:rsidR="00D022AC" w:rsidRPr="002108BF" w:rsidRDefault="00D022AC" w:rsidP="00D022AC">
      <w:pPr>
        <w:rPr>
          <w:lang w:val="es-ES"/>
        </w:rPr>
      </w:pPr>
      <w:r w:rsidRPr="002108BF">
        <w:rPr>
          <w:i/>
          <w:lang w:val="es-ES"/>
        </w:rPr>
        <w:t>d)</w:t>
      </w:r>
      <w:r w:rsidRPr="002108BF">
        <w:rPr>
          <w:lang w:val="es-ES"/>
        </w:rPr>
        <w:tab/>
      </w:r>
      <w:r w:rsidR="00C56225" w:rsidRPr="002108BF">
        <w:rPr>
          <w:lang w:val="es-ES"/>
        </w:rPr>
        <w:t xml:space="preserve">la Carta </w:t>
      </w:r>
      <w:r w:rsidRPr="002108BF">
        <w:rPr>
          <w:lang w:val="es-ES"/>
        </w:rPr>
        <w:t xml:space="preserve">Circular CR/488 </w:t>
      </w:r>
      <w:r w:rsidR="00C56225" w:rsidRPr="002108BF">
        <w:rPr>
          <w:lang w:val="es-ES"/>
        </w:rPr>
        <w:t xml:space="preserve">de la Oficina de Radiocomunicaciones </w:t>
      </w:r>
      <w:r w:rsidRPr="002108BF">
        <w:rPr>
          <w:lang w:val="es-ES"/>
        </w:rPr>
        <w:t>(BR);</w:t>
      </w:r>
    </w:p>
    <w:p w14:paraId="41B9D26E" w14:textId="7A318220" w:rsidR="00D022AC" w:rsidRPr="002108BF" w:rsidRDefault="00D022AC" w:rsidP="00D022AC">
      <w:pPr>
        <w:rPr>
          <w:i/>
          <w:lang w:val="es-ES"/>
        </w:rPr>
      </w:pPr>
      <w:r w:rsidRPr="002108BF">
        <w:rPr>
          <w:i/>
          <w:lang w:val="es-ES"/>
        </w:rPr>
        <w:t>e)</w:t>
      </w:r>
      <w:r w:rsidRPr="002108BF">
        <w:rPr>
          <w:i/>
          <w:lang w:val="es-ES"/>
        </w:rPr>
        <w:tab/>
      </w:r>
      <w:r w:rsidR="006F4731" w:rsidRPr="002108BF">
        <w:rPr>
          <w:lang w:val="es-ES"/>
        </w:rPr>
        <w:t>que</w:t>
      </w:r>
      <w:r w:rsidR="006E1D42" w:rsidRPr="002108BF">
        <w:rPr>
          <w:lang w:val="es-ES"/>
        </w:rPr>
        <w:t xml:space="preserve"> </w:t>
      </w:r>
      <w:r w:rsidR="00007F7E" w:rsidRPr="002108BF">
        <w:rPr>
          <w:lang w:val="es-ES"/>
        </w:rPr>
        <w:t>e</w:t>
      </w:r>
      <w:r w:rsidR="006F4731" w:rsidRPr="002108BF">
        <w:rPr>
          <w:lang w:val="es-ES"/>
        </w:rPr>
        <w:t xml:space="preserve">l Artículo </w:t>
      </w:r>
      <w:r w:rsidRPr="002108BF">
        <w:rPr>
          <w:bCs/>
          <w:lang w:val="es-ES"/>
        </w:rPr>
        <w:t>45</w:t>
      </w:r>
      <w:r w:rsidRPr="002108BF">
        <w:rPr>
          <w:lang w:val="es-ES"/>
        </w:rPr>
        <w:t xml:space="preserve"> </w:t>
      </w:r>
      <w:r w:rsidR="006F4731" w:rsidRPr="002108BF">
        <w:rPr>
          <w:lang w:val="es-ES"/>
        </w:rPr>
        <w:t>de la Constituci</w:t>
      </w:r>
      <w:r w:rsidR="00007F7E" w:rsidRPr="002108BF">
        <w:rPr>
          <w:lang w:val="es-ES"/>
        </w:rPr>
        <w:t>ón de la UIT</w:t>
      </w:r>
      <w:r w:rsidR="006E1D42" w:rsidRPr="002108BF">
        <w:rPr>
          <w:lang w:val="es-ES"/>
        </w:rPr>
        <w:t xml:space="preserve"> establece que</w:t>
      </w:r>
      <w:r w:rsidR="00007F7E" w:rsidRPr="002108BF">
        <w:rPr>
          <w:lang w:val="es-ES"/>
        </w:rPr>
        <w:t xml:space="preserve"> </w:t>
      </w:r>
      <w:r w:rsidR="00DA329E">
        <w:rPr>
          <w:lang w:val="es-ES"/>
        </w:rPr>
        <w:t>«</w:t>
      </w:r>
      <w:r w:rsidR="00007F7E" w:rsidRPr="002108BF">
        <w:rPr>
          <w:color w:val="000000"/>
          <w:lang w:val="es-ES"/>
        </w:rPr>
        <w:t>Todas las estaciones, cualquiera que sea su objeto, deberán ser instaladas y explotadas de tal manera que no puedan causar interferencias perjudiciales a las comunicaciones o servicios radioeléctricos de otros Estados Miembros, de las empresas de explotación reconocidas o de aquellas otras debidamente autorizadas para realizar un servicio de radiocomunicación y que funcionen de conformidad con las disposiciones del Reglamento de Radiocomunicaciones</w:t>
      </w:r>
      <w:r w:rsidR="00DA329E">
        <w:rPr>
          <w:lang w:val="es-ES"/>
        </w:rPr>
        <w:t>»</w:t>
      </w:r>
      <w:r w:rsidRPr="002108BF">
        <w:rPr>
          <w:lang w:val="es-ES"/>
        </w:rPr>
        <w:t>;</w:t>
      </w:r>
    </w:p>
    <w:p w14:paraId="10CA9F21" w14:textId="303A14D8" w:rsidR="00D022AC" w:rsidRPr="002108BF" w:rsidRDefault="00D022AC" w:rsidP="00D022AC">
      <w:pPr>
        <w:rPr>
          <w:lang w:val="es-ES"/>
        </w:rPr>
      </w:pPr>
      <w:r w:rsidRPr="002108BF">
        <w:rPr>
          <w:i/>
          <w:lang w:val="es-ES"/>
        </w:rPr>
        <w:lastRenderedPageBreak/>
        <w:t>f)</w:t>
      </w:r>
      <w:r w:rsidRPr="002108BF">
        <w:rPr>
          <w:lang w:val="es-ES"/>
        </w:rPr>
        <w:tab/>
      </w:r>
      <w:r w:rsidR="00007F7E" w:rsidRPr="002108BF">
        <w:rPr>
          <w:lang w:val="es-ES"/>
        </w:rPr>
        <w:t xml:space="preserve">que el número </w:t>
      </w:r>
      <w:r w:rsidRPr="002108BF">
        <w:rPr>
          <w:rStyle w:val="Artref"/>
          <w:b/>
          <w:bCs/>
          <w:lang w:val="es-ES"/>
        </w:rPr>
        <w:t>4.10</w:t>
      </w:r>
      <w:r w:rsidR="006E1D42" w:rsidRPr="002108BF">
        <w:rPr>
          <w:rStyle w:val="Artref"/>
          <w:b/>
          <w:bCs/>
          <w:lang w:val="es-ES"/>
        </w:rPr>
        <w:t xml:space="preserve"> </w:t>
      </w:r>
      <w:r w:rsidR="006E1D42" w:rsidRPr="002108BF">
        <w:rPr>
          <w:rStyle w:val="Artref"/>
          <w:bCs/>
          <w:lang w:val="es-ES"/>
        </w:rPr>
        <w:t>establece que</w:t>
      </w:r>
      <w:r w:rsidR="00007F7E" w:rsidRPr="002108BF">
        <w:rPr>
          <w:lang w:val="es-ES"/>
        </w:rPr>
        <w:t xml:space="preserve"> </w:t>
      </w:r>
      <w:r w:rsidR="00DA329E">
        <w:rPr>
          <w:lang w:val="es-ES"/>
        </w:rPr>
        <w:t>«</w:t>
      </w:r>
      <w:r w:rsidR="00007F7E" w:rsidRPr="002108BF">
        <w:rPr>
          <w:lang w:val="es-ES"/>
        </w:rPr>
        <w:t>los aspectos de seguridad del servicio de radionavegación y otros servicios de seguridad requieren medidas especiales para garantizar que estén libres de interferencia perjudicial</w:t>
      </w:r>
      <w:r w:rsidR="00DA329E">
        <w:rPr>
          <w:lang w:val="es-ES"/>
        </w:rPr>
        <w:t>»</w:t>
      </w:r>
      <w:r w:rsidRPr="002108BF">
        <w:rPr>
          <w:lang w:val="es-ES"/>
        </w:rPr>
        <w:t>;</w:t>
      </w:r>
    </w:p>
    <w:p w14:paraId="48476E4F" w14:textId="4A09E52E" w:rsidR="00D022AC" w:rsidRPr="002108BF" w:rsidRDefault="00D022AC" w:rsidP="00D022AC">
      <w:pPr>
        <w:rPr>
          <w:lang w:val="es-ES"/>
        </w:rPr>
      </w:pPr>
      <w:r w:rsidRPr="002108BF">
        <w:rPr>
          <w:i/>
          <w:lang w:val="es-ES"/>
        </w:rPr>
        <w:t>g)</w:t>
      </w:r>
      <w:r w:rsidRPr="002108BF">
        <w:rPr>
          <w:lang w:val="es-ES"/>
        </w:rPr>
        <w:tab/>
      </w:r>
      <w:r w:rsidR="00007F7E" w:rsidRPr="002108BF">
        <w:rPr>
          <w:lang w:val="es-ES"/>
        </w:rPr>
        <w:t>que</w:t>
      </w:r>
      <w:r w:rsidR="006E1D42" w:rsidRPr="002108BF">
        <w:rPr>
          <w:lang w:val="es-ES"/>
        </w:rPr>
        <w:t xml:space="preserve"> </w:t>
      </w:r>
      <w:r w:rsidR="00007F7E" w:rsidRPr="002108BF">
        <w:rPr>
          <w:lang w:val="es-ES"/>
        </w:rPr>
        <w:t>el Artículo 48 de la Constitución de la UIT</w:t>
      </w:r>
      <w:r w:rsidR="006E1D42" w:rsidRPr="002108BF">
        <w:rPr>
          <w:lang w:val="es-ES"/>
        </w:rPr>
        <w:t xml:space="preserve"> establece que</w:t>
      </w:r>
      <w:r w:rsidR="00007F7E" w:rsidRPr="002108BF">
        <w:rPr>
          <w:lang w:val="es-ES"/>
        </w:rPr>
        <w:t xml:space="preserve"> </w:t>
      </w:r>
      <w:r w:rsidR="00DA329E">
        <w:rPr>
          <w:lang w:val="es-ES"/>
        </w:rPr>
        <w:t>«</w:t>
      </w:r>
      <w:r w:rsidR="00007F7E" w:rsidRPr="002108BF">
        <w:rPr>
          <w:lang w:val="es-ES"/>
        </w:rPr>
        <w:t>Los Estados Miembros conservarán su entera libertad en lo relativo a las instalaciones radioeléctricas militares</w:t>
      </w:r>
      <w:r w:rsidR="00DA329E">
        <w:rPr>
          <w:lang w:val="es-ES"/>
        </w:rPr>
        <w:t>»</w:t>
      </w:r>
      <w:r w:rsidRPr="002108BF">
        <w:rPr>
          <w:lang w:val="es-ES"/>
        </w:rPr>
        <w:t>;</w:t>
      </w:r>
    </w:p>
    <w:p w14:paraId="775FA4D0" w14:textId="579C36A0" w:rsidR="00D022AC" w:rsidRPr="002108BF" w:rsidRDefault="00D022AC" w:rsidP="00D022AC">
      <w:pPr>
        <w:rPr>
          <w:iCs/>
          <w:lang w:val="es-ES"/>
        </w:rPr>
      </w:pPr>
      <w:r w:rsidRPr="002108BF">
        <w:rPr>
          <w:i/>
          <w:lang w:val="es-ES"/>
        </w:rPr>
        <w:t>h)</w:t>
      </w:r>
      <w:r w:rsidRPr="002108BF">
        <w:rPr>
          <w:i/>
          <w:lang w:val="es-ES"/>
        </w:rPr>
        <w:tab/>
      </w:r>
      <w:r w:rsidR="00007F7E" w:rsidRPr="002108BF">
        <w:rPr>
          <w:iCs/>
          <w:lang w:val="es-ES"/>
        </w:rPr>
        <w:t>q</w:t>
      </w:r>
      <w:r w:rsidR="003C7855" w:rsidRPr="002108BF">
        <w:rPr>
          <w:iCs/>
          <w:lang w:val="es-ES"/>
        </w:rPr>
        <w:t xml:space="preserve">ue </w:t>
      </w:r>
      <w:r w:rsidR="00007F7E" w:rsidRPr="002108BF">
        <w:rPr>
          <w:iCs/>
          <w:lang w:val="es-ES"/>
        </w:rPr>
        <w:t>el número</w:t>
      </w:r>
      <w:r w:rsidRPr="002108BF">
        <w:rPr>
          <w:lang w:val="es-ES"/>
        </w:rPr>
        <w:t xml:space="preserve"> </w:t>
      </w:r>
      <w:r w:rsidRPr="002108BF">
        <w:rPr>
          <w:rStyle w:val="Artref"/>
          <w:b/>
          <w:bCs/>
          <w:lang w:val="es-ES"/>
        </w:rPr>
        <w:t>5.328</w:t>
      </w:r>
      <w:r w:rsidR="003C7855" w:rsidRPr="002108BF">
        <w:rPr>
          <w:rStyle w:val="Artref"/>
          <w:b/>
          <w:bCs/>
          <w:lang w:val="es-ES"/>
        </w:rPr>
        <w:t xml:space="preserve">A </w:t>
      </w:r>
      <w:r w:rsidR="003C7855" w:rsidRPr="002108BF">
        <w:rPr>
          <w:rStyle w:val="Artref"/>
          <w:bCs/>
          <w:lang w:val="es-ES"/>
        </w:rPr>
        <w:t>establece que</w:t>
      </w:r>
      <w:r w:rsidR="00007F7E" w:rsidRPr="002108BF">
        <w:rPr>
          <w:b/>
          <w:lang w:val="es-ES"/>
        </w:rPr>
        <w:t xml:space="preserve"> </w:t>
      </w:r>
      <w:r w:rsidR="00DA329E">
        <w:rPr>
          <w:iCs/>
          <w:lang w:val="es-ES"/>
        </w:rPr>
        <w:t>«</w:t>
      </w:r>
      <w:r w:rsidR="00007F7E" w:rsidRPr="002108BF">
        <w:rPr>
          <w:color w:val="000000"/>
          <w:szCs w:val="24"/>
          <w:lang w:val="es-ES"/>
        </w:rPr>
        <w:t>Las estaciones del servicio de radionavegación por satélite en la banda 1</w:t>
      </w:r>
      <w:r w:rsidR="00007F7E" w:rsidRPr="002108BF">
        <w:rPr>
          <w:rFonts w:ascii="Tms Rmn" w:hAnsi="Tms Rmn" w:cs="Tms Rmn"/>
          <w:color w:val="000000"/>
          <w:szCs w:val="24"/>
          <w:lang w:val="es-ES"/>
        </w:rPr>
        <w:t> </w:t>
      </w:r>
      <w:r w:rsidR="00007F7E" w:rsidRPr="002108BF">
        <w:rPr>
          <w:color w:val="000000"/>
          <w:szCs w:val="24"/>
          <w:lang w:val="es-ES"/>
        </w:rPr>
        <w:t>164</w:t>
      </w:r>
      <w:r w:rsidR="00007F7E" w:rsidRPr="002108BF">
        <w:rPr>
          <w:color w:val="000000"/>
          <w:szCs w:val="24"/>
          <w:lang w:val="es-ES"/>
        </w:rPr>
        <w:noBreakHyphen/>
        <w:t>1</w:t>
      </w:r>
      <w:r w:rsidR="00007F7E" w:rsidRPr="002108BF">
        <w:rPr>
          <w:rFonts w:ascii="Tms Rmn" w:hAnsi="Tms Rmn" w:cs="Tms Rmn"/>
          <w:color w:val="000000"/>
          <w:szCs w:val="24"/>
          <w:lang w:val="es-ES"/>
        </w:rPr>
        <w:t> </w:t>
      </w:r>
      <w:r w:rsidR="00007F7E" w:rsidRPr="002108BF">
        <w:rPr>
          <w:color w:val="000000"/>
          <w:szCs w:val="24"/>
          <w:lang w:val="es-ES"/>
        </w:rPr>
        <w:t>215 MHz […]</w:t>
      </w:r>
      <w:r w:rsidR="00007F7E" w:rsidRPr="002108BF">
        <w:rPr>
          <w:b/>
          <w:bCs/>
          <w:color w:val="000000"/>
          <w:szCs w:val="24"/>
          <w:lang w:val="es-ES"/>
        </w:rPr>
        <w:t xml:space="preserve"> </w:t>
      </w:r>
      <w:r w:rsidR="00007F7E" w:rsidRPr="002108BF">
        <w:rPr>
          <w:color w:val="000000"/>
          <w:szCs w:val="24"/>
          <w:lang w:val="es-ES"/>
        </w:rPr>
        <w:t>y no reclamarán protección contra las estaciones del servicio de radionavegación aeronáutica en la banda 960-1</w:t>
      </w:r>
      <w:r w:rsidR="00007F7E" w:rsidRPr="002108BF">
        <w:rPr>
          <w:rFonts w:ascii="Tms Rmn" w:hAnsi="Tms Rmn" w:cs="Tms Rmn"/>
          <w:color w:val="000000"/>
          <w:szCs w:val="24"/>
          <w:lang w:val="es-ES"/>
        </w:rPr>
        <w:t> </w:t>
      </w:r>
      <w:r w:rsidR="00007F7E" w:rsidRPr="002108BF">
        <w:rPr>
          <w:color w:val="000000"/>
          <w:szCs w:val="24"/>
          <w:lang w:val="es-ES"/>
        </w:rPr>
        <w:t>215 MHz</w:t>
      </w:r>
      <w:r w:rsidR="00DA329E">
        <w:rPr>
          <w:iCs/>
          <w:lang w:val="es-ES"/>
        </w:rPr>
        <w:t>»</w:t>
      </w:r>
      <w:r w:rsidRPr="002108BF">
        <w:rPr>
          <w:iCs/>
          <w:lang w:val="es-ES"/>
        </w:rPr>
        <w:t>;</w:t>
      </w:r>
    </w:p>
    <w:p w14:paraId="2B42B0C8" w14:textId="0D5D263A" w:rsidR="00D022AC" w:rsidRPr="002108BF" w:rsidRDefault="00D022AC" w:rsidP="00D022AC">
      <w:pPr>
        <w:rPr>
          <w:lang w:val="es-ES"/>
        </w:rPr>
      </w:pPr>
      <w:r w:rsidRPr="002108BF">
        <w:rPr>
          <w:i/>
          <w:lang w:val="es-ES"/>
        </w:rPr>
        <w:t>i)</w:t>
      </w:r>
      <w:r w:rsidRPr="002108BF">
        <w:rPr>
          <w:lang w:val="es-ES"/>
        </w:rPr>
        <w:tab/>
      </w:r>
      <w:r w:rsidR="00090EEF" w:rsidRPr="002108BF">
        <w:rPr>
          <w:lang w:val="es-ES"/>
        </w:rPr>
        <w:t xml:space="preserve">que la </w:t>
      </w:r>
      <w:r w:rsidR="005F687D" w:rsidRPr="002108BF">
        <w:rPr>
          <w:lang w:val="es-ES"/>
        </w:rPr>
        <w:t>detección</w:t>
      </w:r>
      <w:r w:rsidR="00090EEF" w:rsidRPr="002108BF">
        <w:rPr>
          <w:lang w:val="es-ES"/>
        </w:rPr>
        <w:t xml:space="preserve">, </w:t>
      </w:r>
      <w:r w:rsidR="005F687D" w:rsidRPr="002108BF">
        <w:rPr>
          <w:lang w:val="es-ES"/>
        </w:rPr>
        <w:t>la notificación</w:t>
      </w:r>
      <w:r w:rsidR="00090EEF" w:rsidRPr="002108BF">
        <w:rPr>
          <w:lang w:val="es-ES"/>
        </w:rPr>
        <w:t xml:space="preserve"> y</w:t>
      </w:r>
      <w:r w:rsidR="005F687D" w:rsidRPr="002108BF">
        <w:rPr>
          <w:lang w:val="es-ES"/>
        </w:rPr>
        <w:t xml:space="preserve"> el tratamiento </w:t>
      </w:r>
      <w:r w:rsidR="00090EEF" w:rsidRPr="002108BF">
        <w:rPr>
          <w:lang w:val="es-ES"/>
        </w:rPr>
        <w:t>de los casos de interferencia perjudici</w:t>
      </w:r>
      <w:r w:rsidR="005F687D" w:rsidRPr="002108BF">
        <w:rPr>
          <w:lang w:val="es-ES"/>
        </w:rPr>
        <w:t>al están sujeto</w:t>
      </w:r>
      <w:r w:rsidR="00090EEF" w:rsidRPr="002108BF">
        <w:rPr>
          <w:lang w:val="es-ES"/>
        </w:rPr>
        <w:t xml:space="preserve">s a las disposiciones del Artículo </w:t>
      </w:r>
      <w:r w:rsidRPr="002108BF">
        <w:rPr>
          <w:rStyle w:val="Artref"/>
          <w:b/>
          <w:bCs/>
          <w:lang w:val="es-ES"/>
        </w:rPr>
        <w:t>15</w:t>
      </w:r>
      <w:r w:rsidRPr="002108BF">
        <w:rPr>
          <w:lang w:val="es-ES"/>
        </w:rPr>
        <w:t>,</w:t>
      </w:r>
    </w:p>
    <w:p w14:paraId="3884ADD1" w14:textId="52060EF5" w:rsidR="00D022AC" w:rsidRPr="002108BF" w:rsidRDefault="00090EEF" w:rsidP="00DA329E">
      <w:pPr>
        <w:pStyle w:val="Call"/>
        <w:rPr>
          <w:rFonts w:eastAsia="MS Mincho"/>
          <w:lang w:val="es-ES"/>
        </w:rPr>
      </w:pPr>
      <w:r w:rsidRPr="002108BF">
        <w:rPr>
          <w:rFonts w:eastAsia="MS Mincho"/>
          <w:lang w:val="es-ES"/>
        </w:rPr>
        <w:t xml:space="preserve">resuelve rogar encarecidamente a las </w:t>
      </w:r>
      <w:r w:rsidRPr="00DA329E">
        <w:rPr>
          <w:rFonts w:eastAsia="MS Mincho"/>
        </w:rPr>
        <w:t>administraciones</w:t>
      </w:r>
    </w:p>
    <w:p w14:paraId="550CF780" w14:textId="2A50044B" w:rsidR="00D022AC" w:rsidRPr="002108BF" w:rsidRDefault="00D022AC" w:rsidP="00D022AC">
      <w:pPr>
        <w:rPr>
          <w:rFonts w:eastAsia="MS Mincho"/>
          <w:lang w:val="es-ES"/>
        </w:rPr>
      </w:pPr>
      <w:r w:rsidRPr="002108BF">
        <w:rPr>
          <w:rFonts w:eastAsia="MS Mincho"/>
          <w:lang w:val="es-ES"/>
        </w:rPr>
        <w:t>1</w:t>
      </w:r>
      <w:r w:rsidRPr="002108BF">
        <w:rPr>
          <w:rFonts w:eastAsia="MS Mincho"/>
          <w:lang w:val="es-ES"/>
        </w:rPr>
        <w:tab/>
      </w:r>
      <w:r w:rsidR="002D482C" w:rsidRPr="00DA329E">
        <w:rPr>
          <w:rFonts w:eastAsia="MS Mincho"/>
        </w:rPr>
        <w:t xml:space="preserve">que apliquen las medidas </w:t>
      </w:r>
      <w:r w:rsidR="002D482C" w:rsidRPr="00DA329E">
        <w:rPr>
          <w:rFonts w:eastAsia="SimSun"/>
        </w:rPr>
        <w:t>necesarias</w:t>
      </w:r>
      <w:r w:rsidR="002D482C" w:rsidRPr="00DA329E">
        <w:rPr>
          <w:rFonts w:eastAsia="MS Mincho"/>
        </w:rPr>
        <w:t xml:space="preserve"> a nivel nacional para impedir la comercialización, proliferación y utilización de transmisores ilegales</w:t>
      </w:r>
      <w:r w:rsidRPr="00DA329E">
        <w:rPr>
          <w:rFonts w:eastAsia="MS Mincho"/>
        </w:rPr>
        <w:t>;</w:t>
      </w:r>
    </w:p>
    <w:p w14:paraId="6D7FDBC3" w14:textId="3CE0FB29" w:rsidR="00D022AC" w:rsidRPr="002108BF" w:rsidRDefault="00D022AC" w:rsidP="00D022AC">
      <w:pPr>
        <w:rPr>
          <w:iCs/>
          <w:color w:val="000000"/>
          <w:lang w:val="es-ES"/>
        </w:rPr>
      </w:pPr>
      <w:r w:rsidRPr="002108BF">
        <w:rPr>
          <w:rFonts w:eastAsia="SimSun"/>
          <w:lang w:val="es-ES" w:eastAsia="zh-CN"/>
        </w:rPr>
        <w:t>2</w:t>
      </w:r>
      <w:r w:rsidRPr="002108BF">
        <w:rPr>
          <w:rFonts w:eastAsia="SimSun"/>
          <w:lang w:val="es-ES" w:eastAsia="zh-CN"/>
        </w:rPr>
        <w:tab/>
      </w:r>
      <w:r w:rsidR="002D482C" w:rsidRPr="00DA329E">
        <w:rPr>
          <w:rFonts w:eastAsia="SimSun"/>
        </w:rPr>
        <w:t>que emprendan las acciones siguientes para evitar y atenuar la interferencia pe</w:t>
      </w:r>
      <w:r w:rsidR="00986D56" w:rsidRPr="00DA329E">
        <w:rPr>
          <w:rFonts w:eastAsia="SimSun"/>
        </w:rPr>
        <w:t>r</w:t>
      </w:r>
      <w:r w:rsidR="002D482C" w:rsidRPr="00DA329E">
        <w:rPr>
          <w:rFonts w:eastAsia="SimSun"/>
        </w:rPr>
        <w:t xml:space="preserve">judicial contra el SRNS que opera en las bandas de frecuencias </w:t>
      </w:r>
      <w:r w:rsidRPr="00DA329E">
        <w:rPr>
          <w:rFonts w:eastAsia="BatangChe"/>
        </w:rPr>
        <w:t xml:space="preserve">1 164-1 215 MHz </w:t>
      </w:r>
      <w:r w:rsidR="002D482C" w:rsidRPr="00DA329E">
        <w:rPr>
          <w:rFonts w:eastAsia="BatangChe"/>
        </w:rPr>
        <w:t xml:space="preserve">y </w:t>
      </w:r>
      <w:r w:rsidRPr="00DA329E">
        <w:t>1 559-1 610 MHz</w:t>
      </w:r>
      <w:r w:rsidR="002D482C" w:rsidRPr="00DA329E">
        <w:t>, sin perjuicio del derecho de las administraciones a denegar el acceso al SRNS por motivos de seguridad o defensa</w:t>
      </w:r>
      <w:r w:rsidRPr="00DA329E">
        <w:t>:</w:t>
      </w:r>
    </w:p>
    <w:p w14:paraId="5D1EC81E" w14:textId="473791DD" w:rsidR="00D022AC" w:rsidRPr="002108BF" w:rsidRDefault="00D022AC" w:rsidP="00D022AC">
      <w:pPr>
        <w:pStyle w:val="enumlev1"/>
        <w:rPr>
          <w:lang w:val="es-ES"/>
        </w:rPr>
      </w:pPr>
      <w:r w:rsidRPr="002108BF">
        <w:rPr>
          <w:i/>
          <w:iCs/>
          <w:lang w:val="es-ES"/>
        </w:rPr>
        <w:t>a)</w:t>
      </w:r>
      <w:r w:rsidRPr="002108BF">
        <w:rPr>
          <w:lang w:val="es-ES"/>
        </w:rPr>
        <w:tab/>
      </w:r>
      <w:r w:rsidR="002D482C" w:rsidRPr="002108BF">
        <w:rPr>
          <w:lang w:val="es-ES"/>
        </w:rPr>
        <w:t>fomentar la colaboración entre los reguladores nacionales del espectro, las autoridades competentes y las partes interesadas del SRNS en los ámbitos aeronáutico y marítimo</w:t>
      </w:r>
      <w:r w:rsidRPr="002108BF">
        <w:rPr>
          <w:lang w:val="es-ES"/>
        </w:rPr>
        <w:t>;</w:t>
      </w:r>
    </w:p>
    <w:p w14:paraId="00EFFF8B" w14:textId="4E7E6879" w:rsidR="00D022AC" w:rsidRPr="002108BF" w:rsidRDefault="00D022AC" w:rsidP="00D022AC">
      <w:pPr>
        <w:pStyle w:val="enumlev1"/>
        <w:rPr>
          <w:lang w:val="es-ES"/>
        </w:rPr>
      </w:pPr>
      <w:r w:rsidRPr="002108BF">
        <w:rPr>
          <w:i/>
          <w:iCs/>
          <w:lang w:val="es-ES"/>
        </w:rPr>
        <w:t>b)</w:t>
      </w:r>
      <w:r w:rsidRPr="002108BF">
        <w:rPr>
          <w:lang w:val="es-ES"/>
        </w:rPr>
        <w:tab/>
      </w:r>
      <w:r w:rsidR="002D482C" w:rsidRPr="002108BF">
        <w:rPr>
          <w:lang w:val="es-ES"/>
        </w:rPr>
        <w:t xml:space="preserve">fortalecer la coordinación entre las autoridades aeronáuticas, marítimas y de seguridad nacional para </w:t>
      </w:r>
      <w:r w:rsidR="000C43EF" w:rsidRPr="002108BF">
        <w:rPr>
          <w:lang w:val="es-ES"/>
        </w:rPr>
        <w:t xml:space="preserve">gestionar </w:t>
      </w:r>
      <w:r w:rsidR="002D482C" w:rsidRPr="002108BF">
        <w:rPr>
          <w:lang w:val="es-ES"/>
        </w:rPr>
        <w:t>los riesgos de interferencia a los sistemas del SRNS que se podrían derivar de las actividades de dichas autoridades de seguridad nacional</w:t>
      </w:r>
      <w:r w:rsidRPr="002108BF">
        <w:rPr>
          <w:lang w:val="es-ES"/>
        </w:rPr>
        <w:t>;</w:t>
      </w:r>
    </w:p>
    <w:p w14:paraId="122B2668" w14:textId="4EE78436" w:rsidR="00D022AC" w:rsidRPr="002108BF" w:rsidRDefault="00D022AC" w:rsidP="00D022AC">
      <w:pPr>
        <w:rPr>
          <w:lang w:val="es-ES"/>
        </w:rPr>
      </w:pPr>
      <w:r w:rsidRPr="002108BF">
        <w:rPr>
          <w:lang w:val="es-ES"/>
        </w:rPr>
        <w:t>3</w:t>
      </w:r>
      <w:r w:rsidRPr="002108BF">
        <w:rPr>
          <w:lang w:val="es-ES"/>
        </w:rPr>
        <w:tab/>
      </w:r>
      <w:r w:rsidR="0006463D" w:rsidRPr="002108BF">
        <w:rPr>
          <w:lang w:val="es-ES"/>
        </w:rPr>
        <w:t xml:space="preserve">que informen de los casos de interferencia perjudicial al SRNS, según considere adecuado la administración afectada y de conformidad con el Artículo </w:t>
      </w:r>
      <w:r w:rsidRPr="002108BF">
        <w:rPr>
          <w:rStyle w:val="Artref"/>
          <w:b/>
          <w:bCs/>
          <w:lang w:val="es-ES"/>
        </w:rPr>
        <w:t>15</w:t>
      </w:r>
      <w:r w:rsidRPr="002108BF">
        <w:rPr>
          <w:lang w:val="es-ES"/>
        </w:rPr>
        <w:t>,</w:t>
      </w:r>
    </w:p>
    <w:p w14:paraId="1C6D0C05" w14:textId="502EA39A" w:rsidR="00D022AC" w:rsidRPr="002108BF" w:rsidRDefault="00BC1482" w:rsidP="00DA329E">
      <w:pPr>
        <w:pStyle w:val="Call"/>
        <w:rPr>
          <w:rFonts w:eastAsia="MS Mincho"/>
          <w:lang w:val="es-ES"/>
        </w:rPr>
      </w:pPr>
      <w:r w:rsidRPr="002108BF">
        <w:rPr>
          <w:rFonts w:eastAsia="MS Mincho"/>
          <w:lang w:val="es-ES"/>
        </w:rPr>
        <w:t>e</w:t>
      </w:r>
      <w:r w:rsidR="0006463D" w:rsidRPr="002108BF">
        <w:rPr>
          <w:rFonts w:eastAsia="MS Mincho"/>
          <w:lang w:val="es-ES"/>
        </w:rPr>
        <w:t xml:space="preserve">ncarga a la </w:t>
      </w:r>
      <w:r w:rsidR="0006463D" w:rsidRPr="00DA329E">
        <w:rPr>
          <w:rFonts w:eastAsia="MS Mincho"/>
        </w:rPr>
        <w:t>Secretaria</w:t>
      </w:r>
      <w:r w:rsidR="0006463D" w:rsidRPr="002108BF">
        <w:rPr>
          <w:rFonts w:eastAsia="MS Mincho"/>
          <w:lang w:val="es-ES"/>
        </w:rPr>
        <w:t xml:space="preserve"> </w:t>
      </w:r>
      <w:r w:rsidR="00D022AC" w:rsidRPr="002108BF">
        <w:rPr>
          <w:rFonts w:eastAsia="MS Mincho"/>
          <w:lang w:val="es-ES"/>
        </w:rPr>
        <w:t>General</w:t>
      </w:r>
    </w:p>
    <w:p w14:paraId="1E72EF8D" w14:textId="223BF019" w:rsidR="00D022AC" w:rsidRPr="002108BF" w:rsidRDefault="0006463D" w:rsidP="00D022AC">
      <w:pPr>
        <w:rPr>
          <w:lang w:val="es-ES"/>
        </w:rPr>
      </w:pPr>
      <w:r w:rsidRPr="002108BF">
        <w:rPr>
          <w:lang w:val="es-ES"/>
        </w:rPr>
        <w:t>que ponga esta Resolución en conocimiento de la OACI y la OMI</w:t>
      </w:r>
      <w:r w:rsidR="00D022AC" w:rsidRPr="002108BF">
        <w:rPr>
          <w:lang w:val="es-ES"/>
        </w:rPr>
        <w:t>.</w:t>
      </w:r>
    </w:p>
    <w:p w14:paraId="394BC55D" w14:textId="77777777" w:rsidR="00DA329E" w:rsidRDefault="00DA329E" w:rsidP="00411C49">
      <w:pPr>
        <w:pStyle w:val="Reasons"/>
      </w:pPr>
    </w:p>
    <w:p w14:paraId="2ADF58C1" w14:textId="77777777" w:rsidR="00DA329E" w:rsidRDefault="00DA329E">
      <w:pPr>
        <w:jc w:val="center"/>
      </w:pPr>
      <w:r>
        <w:t>______________</w:t>
      </w:r>
    </w:p>
    <w:sectPr w:rsidR="00DA329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2289" w14:textId="77777777" w:rsidR="00666B37" w:rsidRDefault="00666B37">
      <w:r>
        <w:separator/>
      </w:r>
    </w:p>
  </w:endnote>
  <w:endnote w:type="continuationSeparator" w:id="0">
    <w:p w14:paraId="2E3C373E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783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A80B8" w14:textId="76FAB24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2D37">
      <w:rPr>
        <w:noProof/>
      </w:rPr>
      <w:t>09.11.23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B9CC" w14:textId="1D2DC366" w:rsidR="0077084A" w:rsidRDefault="00DA329E" w:rsidP="00DA329E">
    <w:pPr>
      <w:pStyle w:val="Footer"/>
      <w:rPr>
        <w:lang w:val="en-US"/>
      </w:rPr>
    </w:pPr>
    <w:fldSimple w:instr=" FILENAME \p  \* MERGEFORMAT ">
      <w:r>
        <w:t>P:\ESP\ITU-R\CONF-R\CMR23\000\065ADD25ADD05S.docx</w:t>
      </w:r>
    </w:fldSimple>
    <w:r>
      <w:t xml:space="preserve"> (530583)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281A" w14:textId="77433320" w:rsidR="0077084A" w:rsidRPr="00B43A1C" w:rsidRDefault="00DA329E" w:rsidP="00DA329E">
    <w:pPr>
      <w:pStyle w:val="Footer"/>
      <w:rPr>
        <w:lang w:val="en-US"/>
      </w:rPr>
    </w:pPr>
    <w:fldSimple w:instr=" FILENAME \p  \* MERGEFORMAT ">
      <w:r>
        <w:t>P:\ESP\ITU-R\CONF-R\CMR23\000\065ADD25ADD05S.docx</w:t>
      </w:r>
    </w:fldSimple>
    <w:r>
      <w:t xml:space="preserve"> (530583)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2B2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A63D11D" w14:textId="77777777" w:rsidR="00666B37" w:rsidRDefault="00666B37">
      <w:r>
        <w:continuationSeparator/>
      </w:r>
    </w:p>
  </w:footnote>
  <w:footnote w:id="1">
    <w:p w14:paraId="66BC4545" w14:textId="77777777" w:rsidR="00822E96" w:rsidRPr="00E878C0" w:rsidRDefault="00B43A1C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60D7" w14:textId="3A712949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8CC3C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65(Add.25)(Add.2)-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72995330">
    <w:abstractNumId w:val="8"/>
  </w:num>
  <w:num w:numId="2" w16cid:durableId="156383455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6905458">
    <w:abstractNumId w:val="9"/>
  </w:num>
  <w:num w:numId="4" w16cid:durableId="2101638631">
    <w:abstractNumId w:val="7"/>
  </w:num>
  <w:num w:numId="5" w16cid:durableId="1445151927">
    <w:abstractNumId w:val="6"/>
  </w:num>
  <w:num w:numId="6" w16cid:durableId="1281493161">
    <w:abstractNumId w:val="5"/>
  </w:num>
  <w:num w:numId="7" w16cid:durableId="1925339596">
    <w:abstractNumId w:val="4"/>
  </w:num>
  <w:num w:numId="8" w16cid:durableId="1266812029">
    <w:abstractNumId w:val="3"/>
  </w:num>
  <w:num w:numId="9" w16cid:durableId="2144612352">
    <w:abstractNumId w:val="2"/>
  </w:num>
  <w:num w:numId="10" w16cid:durableId="1840584464">
    <w:abstractNumId w:val="1"/>
  </w:num>
  <w:num w:numId="11" w16cid:durableId="127999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7F7E"/>
    <w:rsid w:val="0002581B"/>
    <w:rsid w:val="0002785D"/>
    <w:rsid w:val="0006463D"/>
    <w:rsid w:val="00087AE8"/>
    <w:rsid w:val="00090EEF"/>
    <w:rsid w:val="00091054"/>
    <w:rsid w:val="000A2A7D"/>
    <w:rsid w:val="000A5B9A"/>
    <w:rsid w:val="000C43EF"/>
    <w:rsid w:val="000E5BF9"/>
    <w:rsid w:val="000F0E6D"/>
    <w:rsid w:val="00121170"/>
    <w:rsid w:val="00123CC5"/>
    <w:rsid w:val="0015142D"/>
    <w:rsid w:val="001616DC"/>
    <w:rsid w:val="00163962"/>
    <w:rsid w:val="00163E70"/>
    <w:rsid w:val="0018290C"/>
    <w:rsid w:val="00191A97"/>
    <w:rsid w:val="0019729C"/>
    <w:rsid w:val="001A083F"/>
    <w:rsid w:val="001C41FA"/>
    <w:rsid w:val="001E2B52"/>
    <w:rsid w:val="001E3F27"/>
    <w:rsid w:val="001E7D42"/>
    <w:rsid w:val="002108BF"/>
    <w:rsid w:val="0023659C"/>
    <w:rsid w:val="00236D2A"/>
    <w:rsid w:val="0024569E"/>
    <w:rsid w:val="00255F12"/>
    <w:rsid w:val="00262C09"/>
    <w:rsid w:val="002A791F"/>
    <w:rsid w:val="002B173E"/>
    <w:rsid w:val="002C1A52"/>
    <w:rsid w:val="002C1B26"/>
    <w:rsid w:val="002C5D6C"/>
    <w:rsid w:val="002D482C"/>
    <w:rsid w:val="002E701F"/>
    <w:rsid w:val="003248A9"/>
    <w:rsid w:val="00324FFA"/>
    <w:rsid w:val="0032680B"/>
    <w:rsid w:val="00363A65"/>
    <w:rsid w:val="003A2411"/>
    <w:rsid w:val="003B1E8C"/>
    <w:rsid w:val="003C0613"/>
    <w:rsid w:val="003C2508"/>
    <w:rsid w:val="003C7855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53AFD"/>
    <w:rsid w:val="0058350F"/>
    <w:rsid w:val="00583C7E"/>
    <w:rsid w:val="0059098E"/>
    <w:rsid w:val="005D46FB"/>
    <w:rsid w:val="005F2605"/>
    <w:rsid w:val="005F3B0E"/>
    <w:rsid w:val="005F3DB8"/>
    <w:rsid w:val="005F559C"/>
    <w:rsid w:val="005F687D"/>
    <w:rsid w:val="00602857"/>
    <w:rsid w:val="006124AD"/>
    <w:rsid w:val="00624009"/>
    <w:rsid w:val="00662BA0"/>
    <w:rsid w:val="00666B37"/>
    <w:rsid w:val="0067344B"/>
    <w:rsid w:val="00682D37"/>
    <w:rsid w:val="00684A94"/>
    <w:rsid w:val="00692AAE"/>
    <w:rsid w:val="006C0E38"/>
    <w:rsid w:val="006D6E67"/>
    <w:rsid w:val="006E1A13"/>
    <w:rsid w:val="006E1D42"/>
    <w:rsid w:val="006F4731"/>
    <w:rsid w:val="00701C20"/>
    <w:rsid w:val="00702947"/>
    <w:rsid w:val="00702F3D"/>
    <w:rsid w:val="0070518E"/>
    <w:rsid w:val="007354E9"/>
    <w:rsid w:val="007424E8"/>
    <w:rsid w:val="00743B73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B75EC"/>
    <w:rsid w:val="008D3316"/>
    <w:rsid w:val="008E5AF2"/>
    <w:rsid w:val="0090121B"/>
    <w:rsid w:val="009144C9"/>
    <w:rsid w:val="0094091F"/>
    <w:rsid w:val="009477C4"/>
    <w:rsid w:val="00955679"/>
    <w:rsid w:val="00962171"/>
    <w:rsid w:val="00973754"/>
    <w:rsid w:val="00986D56"/>
    <w:rsid w:val="009A07DD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3A1C"/>
    <w:rsid w:val="00B47331"/>
    <w:rsid w:val="00B52D55"/>
    <w:rsid w:val="00B53CEE"/>
    <w:rsid w:val="00B8288C"/>
    <w:rsid w:val="00B86034"/>
    <w:rsid w:val="00BC1482"/>
    <w:rsid w:val="00BE2E80"/>
    <w:rsid w:val="00BE5EDD"/>
    <w:rsid w:val="00BE6A1F"/>
    <w:rsid w:val="00C126C4"/>
    <w:rsid w:val="00C44E9E"/>
    <w:rsid w:val="00C56225"/>
    <w:rsid w:val="00C63EB5"/>
    <w:rsid w:val="00C87DA7"/>
    <w:rsid w:val="00CA4945"/>
    <w:rsid w:val="00CB2489"/>
    <w:rsid w:val="00CC01E0"/>
    <w:rsid w:val="00CD5FEE"/>
    <w:rsid w:val="00CE60D2"/>
    <w:rsid w:val="00CE7431"/>
    <w:rsid w:val="00D00CA8"/>
    <w:rsid w:val="00D022AC"/>
    <w:rsid w:val="00D0288A"/>
    <w:rsid w:val="00D3290B"/>
    <w:rsid w:val="00D72A5D"/>
    <w:rsid w:val="00DA329E"/>
    <w:rsid w:val="00DA71A3"/>
    <w:rsid w:val="00DC1922"/>
    <w:rsid w:val="00DC629B"/>
    <w:rsid w:val="00DE1C31"/>
    <w:rsid w:val="00E05BFF"/>
    <w:rsid w:val="00E262F1"/>
    <w:rsid w:val="00E3176A"/>
    <w:rsid w:val="00E33796"/>
    <w:rsid w:val="00E36CE4"/>
    <w:rsid w:val="00E54754"/>
    <w:rsid w:val="00E56BD3"/>
    <w:rsid w:val="00E71D14"/>
    <w:rsid w:val="00E76CC2"/>
    <w:rsid w:val="00EA77F0"/>
    <w:rsid w:val="00F32316"/>
    <w:rsid w:val="00F66597"/>
    <w:rsid w:val="00F675D0"/>
    <w:rsid w:val="00F8150C"/>
    <w:rsid w:val="00FD03C4"/>
    <w:rsid w:val="00FE4574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92B6F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D022AC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D022A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2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R23-WRC23-C-0065!A25-A2!MSW-S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B3CBD125-B44C-472F-B426-565B36DA8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60DB9-34E3-4AFB-ACC1-2A0AF38B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1D08D-3093-4C8F-BFF0-0714AD3FBC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BA6474-5552-440D-AC2F-957A59399B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D9CA26-188D-4CFD-A490-C9329FAC2AF3}">
  <ds:schemaRefs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814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R23-WRC23-C-0065!A25-A2!MSW-S</vt:lpstr>
    </vt:vector>
  </TitlesOfParts>
  <Manager>Secretaría General - Pool</Manager>
  <Company>Unión Internacional de Telecomunicaciones (UIT)</Company>
  <LinksUpToDate>false</LinksUpToDate>
  <CharactersWithSpaces>5404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R23-WRC23-C-0065!A25-A2!MSW-S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2023-11-09T13:55:00Z</dcterms:created>
  <dcterms:modified xsi:type="dcterms:W3CDTF">2023-11-09T14:36:00Z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