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290D58" w14:paraId="51486B48" w14:textId="77777777" w:rsidTr="00C1305F">
        <w:trPr>
          <w:cantSplit/>
        </w:trPr>
        <w:tc>
          <w:tcPr>
            <w:tcW w:w="1418" w:type="dxa"/>
            <w:vAlign w:val="center"/>
          </w:tcPr>
          <w:p w14:paraId="72294166" w14:textId="77777777" w:rsidR="00C1305F" w:rsidRPr="00290D58" w:rsidRDefault="00C1305F" w:rsidP="00C1305F">
            <w:pPr>
              <w:spacing w:before="0" w:line="240" w:lineRule="atLeast"/>
              <w:rPr>
                <w:rFonts w:ascii="Verdana" w:hAnsi="Verdana"/>
                <w:b/>
                <w:bCs/>
                <w:sz w:val="20"/>
              </w:rPr>
            </w:pPr>
            <w:r w:rsidRPr="00290D58">
              <w:drawing>
                <wp:inline distT="0" distB="0" distL="0" distR="0" wp14:anchorId="1D22E1B4" wp14:editId="5E397627">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33BECD02" w14:textId="0C67D534" w:rsidR="00C1305F" w:rsidRPr="00290D58" w:rsidRDefault="00C1305F" w:rsidP="00F10064">
            <w:pPr>
              <w:spacing w:before="400" w:after="48" w:line="240" w:lineRule="atLeast"/>
              <w:rPr>
                <w:rFonts w:ascii="Verdana" w:hAnsi="Verdana"/>
                <w:b/>
                <w:bCs/>
                <w:sz w:val="20"/>
              </w:rPr>
            </w:pPr>
            <w:r w:rsidRPr="00290D58">
              <w:rPr>
                <w:rFonts w:ascii="Verdana" w:hAnsi="Verdana"/>
                <w:b/>
                <w:bCs/>
                <w:sz w:val="20"/>
              </w:rPr>
              <w:t>Conférence mondiale des radiocommunications (CMR-23)</w:t>
            </w:r>
            <w:r w:rsidRPr="00290D58">
              <w:rPr>
                <w:rFonts w:ascii="Verdana" w:hAnsi="Verdana"/>
                <w:b/>
                <w:bCs/>
                <w:sz w:val="20"/>
              </w:rPr>
              <w:br/>
            </w:r>
            <w:r w:rsidRPr="00290D58">
              <w:rPr>
                <w:rFonts w:ascii="Verdana" w:hAnsi="Verdana"/>
                <w:b/>
                <w:bCs/>
                <w:sz w:val="18"/>
                <w:szCs w:val="18"/>
              </w:rPr>
              <w:t xml:space="preserve">Dubaï, 20 novembre </w:t>
            </w:r>
            <w:r w:rsidR="004C1B2B" w:rsidRPr="00290D58">
              <w:rPr>
                <w:rFonts w:ascii="Verdana" w:hAnsi="Verdana"/>
                <w:b/>
                <w:bCs/>
                <w:sz w:val="18"/>
                <w:szCs w:val="18"/>
              </w:rPr>
              <w:t>–</w:t>
            </w:r>
            <w:r w:rsidRPr="00290D58">
              <w:rPr>
                <w:rFonts w:ascii="Verdana" w:hAnsi="Verdana"/>
                <w:b/>
                <w:bCs/>
                <w:sz w:val="18"/>
                <w:szCs w:val="18"/>
              </w:rPr>
              <w:t xml:space="preserve"> 15 décembre 2023</w:t>
            </w:r>
          </w:p>
        </w:tc>
        <w:tc>
          <w:tcPr>
            <w:tcW w:w="1809" w:type="dxa"/>
            <w:vAlign w:val="center"/>
          </w:tcPr>
          <w:p w14:paraId="39CB8F62" w14:textId="77777777" w:rsidR="00C1305F" w:rsidRPr="00290D58" w:rsidRDefault="00C1305F" w:rsidP="00C1305F">
            <w:pPr>
              <w:spacing w:before="0" w:line="240" w:lineRule="atLeast"/>
            </w:pPr>
            <w:bookmarkStart w:id="0" w:name="ditulogo"/>
            <w:bookmarkEnd w:id="0"/>
            <w:r w:rsidRPr="00290D58">
              <w:drawing>
                <wp:inline distT="0" distB="0" distL="0" distR="0" wp14:anchorId="5D76A61C" wp14:editId="2BCF6840">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290D58" w14:paraId="77AF335F" w14:textId="77777777" w:rsidTr="0050008E">
        <w:trPr>
          <w:cantSplit/>
        </w:trPr>
        <w:tc>
          <w:tcPr>
            <w:tcW w:w="6911" w:type="dxa"/>
            <w:gridSpan w:val="2"/>
            <w:tcBorders>
              <w:bottom w:val="single" w:sz="12" w:space="0" w:color="auto"/>
            </w:tcBorders>
          </w:tcPr>
          <w:p w14:paraId="62488A56" w14:textId="77777777" w:rsidR="00BB1D82" w:rsidRPr="00290D58" w:rsidRDefault="00BB1D82" w:rsidP="00BB1D82">
            <w:pPr>
              <w:spacing w:before="0" w:after="48" w:line="240" w:lineRule="atLeast"/>
              <w:rPr>
                <w:b/>
                <w:smallCaps/>
                <w:szCs w:val="24"/>
              </w:rPr>
            </w:pPr>
            <w:bookmarkStart w:id="1" w:name="dhead"/>
          </w:p>
        </w:tc>
        <w:tc>
          <w:tcPr>
            <w:tcW w:w="3120" w:type="dxa"/>
            <w:gridSpan w:val="2"/>
            <w:tcBorders>
              <w:bottom w:val="single" w:sz="12" w:space="0" w:color="auto"/>
            </w:tcBorders>
          </w:tcPr>
          <w:p w14:paraId="13EFF5A3" w14:textId="77777777" w:rsidR="00BB1D82" w:rsidRPr="00290D58" w:rsidRDefault="00BB1D82" w:rsidP="00BB1D82">
            <w:pPr>
              <w:spacing w:before="0" w:line="240" w:lineRule="atLeast"/>
              <w:rPr>
                <w:rFonts w:ascii="Verdana" w:hAnsi="Verdana"/>
                <w:szCs w:val="24"/>
              </w:rPr>
            </w:pPr>
          </w:p>
        </w:tc>
      </w:tr>
      <w:tr w:rsidR="00BB1D82" w:rsidRPr="00290D58" w14:paraId="1A2DDBA7" w14:textId="77777777" w:rsidTr="00BB1D82">
        <w:trPr>
          <w:cantSplit/>
        </w:trPr>
        <w:tc>
          <w:tcPr>
            <w:tcW w:w="6911" w:type="dxa"/>
            <w:gridSpan w:val="2"/>
            <w:tcBorders>
              <w:top w:val="single" w:sz="12" w:space="0" w:color="auto"/>
            </w:tcBorders>
          </w:tcPr>
          <w:p w14:paraId="1752B674" w14:textId="77777777" w:rsidR="00BB1D82" w:rsidRPr="00290D58" w:rsidRDefault="00BB1D82" w:rsidP="00BB1D82">
            <w:pPr>
              <w:spacing w:before="0" w:after="48" w:line="240" w:lineRule="atLeast"/>
              <w:rPr>
                <w:rFonts w:ascii="Verdana" w:hAnsi="Verdana"/>
                <w:b/>
                <w:smallCaps/>
                <w:sz w:val="20"/>
              </w:rPr>
            </w:pPr>
          </w:p>
        </w:tc>
        <w:tc>
          <w:tcPr>
            <w:tcW w:w="3120" w:type="dxa"/>
            <w:gridSpan w:val="2"/>
            <w:tcBorders>
              <w:top w:val="single" w:sz="12" w:space="0" w:color="auto"/>
            </w:tcBorders>
          </w:tcPr>
          <w:p w14:paraId="5B2E4C31" w14:textId="77777777" w:rsidR="00BB1D82" w:rsidRPr="00290D58" w:rsidRDefault="00BB1D82" w:rsidP="00BB1D82">
            <w:pPr>
              <w:spacing w:before="0" w:line="240" w:lineRule="atLeast"/>
              <w:rPr>
                <w:rFonts w:ascii="Verdana" w:hAnsi="Verdana"/>
                <w:sz w:val="20"/>
              </w:rPr>
            </w:pPr>
          </w:p>
        </w:tc>
      </w:tr>
      <w:tr w:rsidR="00BB1D82" w:rsidRPr="00290D58" w14:paraId="38A4F5B9" w14:textId="77777777" w:rsidTr="00BB1D82">
        <w:trPr>
          <w:cantSplit/>
        </w:trPr>
        <w:tc>
          <w:tcPr>
            <w:tcW w:w="6911" w:type="dxa"/>
            <w:gridSpan w:val="2"/>
          </w:tcPr>
          <w:p w14:paraId="6C506610" w14:textId="77777777" w:rsidR="00BB1D82" w:rsidRPr="00290D58" w:rsidRDefault="006D4724" w:rsidP="00BA5BD0">
            <w:pPr>
              <w:spacing w:before="0"/>
              <w:rPr>
                <w:rFonts w:ascii="Verdana" w:hAnsi="Verdana"/>
                <w:b/>
                <w:sz w:val="20"/>
              </w:rPr>
            </w:pPr>
            <w:r w:rsidRPr="00290D58">
              <w:rPr>
                <w:rFonts w:ascii="Verdana" w:hAnsi="Verdana"/>
                <w:b/>
                <w:sz w:val="20"/>
              </w:rPr>
              <w:t>SÉANCE PLÉNIÈRE</w:t>
            </w:r>
          </w:p>
        </w:tc>
        <w:tc>
          <w:tcPr>
            <w:tcW w:w="3120" w:type="dxa"/>
            <w:gridSpan w:val="2"/>
          </w:tcPr>
          <w:p w14:paraId="63687031" w14:textId="77777777" w:rsidR="00BB1D82" w:rsidRPr="00290D58" w:rsidRDefault="006D4724" w:rsidP="00BA5BD0">
            <w:pPr>
              <w:spacing w:before="0"/>
              <w:rPr>
                <w:rFonts w:ascii="Verdana" w:hAnsi="Verdana"/>
                <w:sz w:val="20"/>
              </w:rPr>
            </w:pPr>
            <w:r w:rsidRPr="00290D58">
              <w:rPr>
                <w:rFonts w:ascii="Verdana" w:hAnsi="Verdana"/>
                <w:b/>
                <w:sz w:val="20"/>
              </w:rPr>
              <w:t>Addendum 3 au</w:t>
            </w:r>
            <w:r w:rsidRPr="00290D58">
              <w:rPr>
                <w:rFonts w:ascii="Verdana" w:hAnsi="Verdana"/>
                <w:b/>
                <w:sz w:val="20"/>
              </w:rPr>
              <w:br/>
              <w:t>Document 85(Add.24)</w:t>
            </w:r>
            <w:r w:rsidR="00BB1D82" w:rsidRPr="00290D58">
              <w:rPr>
                <w:rFonts w:ascii="Verdana" w:hAnsi="Verdana"/>
                <w:b/>
                <w:sz w:val="20"/>
              </w:rPr>
              <w:t>-</w:t>
            </w:r>
            <w:r w:rsidRPr="00290D58">
              <w:rPr>
                <w:rFonts w:ascii="Verdana" w:hAnsi="Verdana"/>
                <w:b/>
                <w:sz w:val="20"/>
              </w:rPr>
              <w:t>F</w:t>
            </w:r>
          </w:p>
        </w:tc>
      </w:tr>
      <w:bookmarkEnd w:id="1"/>
      <w:tr w:rsidR="00690C7B" w:rsidRPr="00290D58" w14:paraId="5FBDBA25" w14:textId="77777777" w:rsidTr="00BB1D82">
        <w:trPr>
          <w:cantSplit/>
        </w:trPr>
        <w:tc>
          <w:tcPr>
            <w:tcW w:w="6911" w:type="dxa"/>
            <w:gridSpan w:val="2"/>
          </w:tcPr>
          <w:p w14:paraId="2B737F98" w14:textId="77777777" w:rsidR="00690C7B" w:rsidRPr="00290D58" w:rsidRDefault="00690C7B" w:rsidP="00BA5BD0">
            <w:pPr>
              <w:spacing w:before="0"/>
              <w:rPr>
                <w:rFonts w:ascii="Verdana" w:hAnsi="Verdana"/>
                <w:b/>
                <w:sz w:val="20"/>
              </w:rPr>
            </w:pPr>
          </w:p>
        </w:tc>
        <w:tc>
          <w:tcPr>
            <w:tcW w:w="3120" w:type="dxa"/>
            <w:gridSpan w:val="2"/>
          </w:tcPr>
          <w:p w14:paraId="08F2A557" w14:textId="77777777" w:rsidR="00690C7B" w:rsidRPr="00290D58" w:rsidRDefault="00690C7B" w:rsidP="00BA5BD0">
            <w:pPr>
              <w:spacing w:before="0"/>
              <w:rPr>
                <w:rFonts w:ascii="Verdana" w:hAnsi="Verdana"/>
                <w:b/>
                <w:sz w:val="20"/>
              </w:rPr>
            </w:pPr>
            <w:r w:rsidRPr="00290D58">
              <w:rPr>
                <w:rFonts w:ascii="Verdana" w:hAnsi="Verdana"/>
                <w:b/>
                <w:sz w:val="20"/>
              </w:rPr>
              <w:t>22 octobre 2023</w:t>
            </w:r>
          </w:p>
        </w:tc>
      </w:tr>
      <w:tr w:rsidR="00690C7B" w:rsidRPr="00290D58" w14:paraId="6F2F7AA7" w14:textId="77777777" w:rsidTr="00BB1D82">
        <w:trPr>
          <w:cantSplit/>
        </w:trPr>
        <w:tc>
          <w:tcPr>
            <w:tcW w:w="6911" w:type="dxa"/>
            <w:gridSpan w:val="2"/>
          </w:tcPr>
          <w:p w14:paraId="0C9AF87C" w14:textId="77777777" w:rsidR="00690C7B" w:rsidRPr="00290D58" w:rsidRDefault="00690C7B" w:rsidP="00BA5BD0">
            <w:pPr>
              <w:spacing w:before="0" w:after="48"/>
              <w:rPr>
                <w:rFonts w:ascii="Verdana" w:hAnsi="Verdana"/>
                <w:b/>
                <w:smallCaps/>
                <w:sz w:val="20"/>
              </w:rPr>
            </w:pPr>
          </w:p>
        </w:tc>
        <w:tc>
          <w:tcPr>
            <w:tcW w:w="3120" w:type="dxa"/>
            <w:gridSpan w:val="2"/>
          </w:tcPr>
          <w:p w14:paraId="303B54C3" w14:textId="77777777" w:rsidR="00690C7B" w:rsidRPr="00290D58" w:rsidRDefault="00690C7B" w:rsidP="00BA5BD0">
            <w:pPr>
              <w:spacing w:before="0"/>
              <w:rPr>
                <w:rFonts w:ascii="Verdana" w:hAnsi="Verdana"/>
                <w:b/>
                <w:sz w:val="20"/>
              </w:rPr>
            </w:pPr>
            <w:r w:rsidRPr="00290D58">
              <w:rPr>
                <w:rFonts w:ascii="Verdana" w:hAnsi="Verdana"/>
                <w:b/>
                <w:sz w:val="20"/>
              </w:rPr>
              <w:t>Original: russe</w:t>
            </w:r>
          </w:p>
        </w:tc>
      </w:tr>
      <w:tr w:rsidR="00690C7B" w:rsidRPr="00290D58" w14:paraId="7B639E61" w14:textId="77777777" w:rsidTr="00C11970">
        <w:trPr>
          <w:cantSplit/>
        </w:trPr>
        <w:tc>
          <w:tcPr>
            <w:tcW w:w="10031" w:type="dxa"/>
            <w:gridSpan w:val="4"/>
          </w:tcPr>
          <w:p w14:paraId="0B815341" w14:textId="77777777" w:rsidR="00690C7B" w:rsidRPr="00290D58" w:rsidRDefault="00690C7B" w:rsidP="00BA5BD0">
            <w:pPr>
              <w:spacing w:before="0"/>
              <w:rPr>
                <w:rFonts w:ascii="Verdana" w:hAnsi="Verdana"/>
                <w:b/>
                <w:sz w:val="20"/>
              </w:rPr>
            </w:pPr>
          </w:p>
        </w:tc>
      </w:tr>
      <w:tr w:rsidR="00690C7B" w:rsidRPr="00290D58" w14:paraId="5993B0E6" w14:textId="77777777" w:rsidTr="0050008E">
        <w:trPr>
          <w:cantSplit/>
        </w:trPr>
        <w:tc>
          <w:tcPr>
            <w:tcW w:w="10031" w:type="dxa"/>
            <w:gridSpan w:val="4"/>
          </w:tcPr>
          <w:p w14:paraId="37BFF12A" w14:textId="77777777" w:rsidR="00690C7B" w:rsidRPr="00290D58" w:rsidRDefault="00690C7B" w:rsidP="00690C7B">
            <w:pPr>
              <w:pStyle w:val="Source"/>
            </w:pPr>
            <w:bookmarkStart w:id="2" w:name="dsource" w:colFirst="0" w:colLast="0"/>
            <w:r w:rsidRPr="00290D58">
              <w:t>Propositions communes de la Communauté régionale des communications</w:t>
            </w:r>
          </w:p>
        </w:tc>
      </w:tr>
      <w:tr w:rsidR="00690C7B" w:rsidRPr="00290D58" w14:paraId="2E883941" w14:textId="77777777" w:rsidTr="0050008E">
        <w:trPr>
          <w:cantSplit/>
        </w:trPr>
        <w:tc>
          <w:tcPr>
            <w:tcW w:w="10031" w:type="dxa"/>
            <w:gridSpan w:val="4"/>
          </w:tcPr>
          <w:p w14:paraId="11F63CD4" w14:textId="32FD33A2" w:rsidR="00690C7B" w:rsidRPr="00290D58" w:rsidRDefault="004C1B2B" w:rsidP="00690C7B">
            <w:pPr>
              <w:pStyle w:val="Title1"/>
            </w:pPr>
            <w:bookmarkStart w:id="3" w:name="dtitle1" w:colFirst="0" w:colLast="0"/>
            <w:bookmarkEnd w:id="2"/>
            <w:r w:rsidRPr="00290D58">
              <w:t>Propositions pour les travaux de la Conférence</w:t>
            </w:r>
          </w:p>
        </w:tc>
      </w:tr>
      <w:tr w:rsidR="00690C7B" w:rsidRPr="00290D58" w14:paraId="6C234E34" w14:textId="77777777" w:rsidTr="0050008E">
        <w:trPr>
          <w:cantSplit/>
        </w:trPr>
        <w:tc>
          <w:tcPr>
            <w:tcW w:w="10031" w:type="dxa"/>
            <w:gridSpan w:val="4"/>
          </w:tcPr>
          <w:p w14:paraId="3B093AD8" w14:textId="77777777" w:rsidR="00690C7B" w:rsidRPr="00290D58" w:rsidRDefault="00690C7B" w:rsidP="00690C7B">
            <w:pPr>
              <w:pStyle w:val="Title2"/>
            </w:pPr>
            <w:bookmarkStart w:id="4" w:name="dtitle2" w:colFirst="0" w:colLast="0"/>
            <w:bookmarkEnd w:id="3"/>
          </w:p>
        </w:tc>
      </w:tr>
      <w:tr w:rsidR="00690C7B" w:rsidRPr="00290D58" w14:paraId="2DA4BA5E" w14:textId="77777777" w:rsidTr="0050008E">
        <w:trPr>
          <w:cantSplit/>
        </w:trPr>
        <w:tc>
          <w:tcPr>
            <w:tcW w:w="10031" w:type="dxa"/>
            <w:gridSpan w:val="4"/>
          </w:tcPr>
          <w:p w14:paraId="217C03A6" w14:textId="77777777" w:rsidR="00690C7B" w:rsidRPr="00290D58" w:rsidRDefault="00690C7B" w:rsidP="00690C7B">
            <w:pPr>
              <w:pStyle w:val="Agendaitem"/>
              <w:rPr>
                <w:lang w:val="fr-FR"/>
              </w:rPr>
            </w:pPr>
            <w:bookmarkStart w:id="5" w:name="dtitle3" w:colFirst="0" w:colLast="0"/>
            <w:bookmarkEnd w:id="4"/>
            <w:r w:rsidRPr="00290D58">
              <w:rPr>
                <w:lang w:val="fr-FR"/>
              </w:rPr>
              <w:t>Point 9.1(9.1-c) de l'ordre du jour</w:t>
            </w:r>
          </w:p>
        </w:tc>
      </w:tr>
    </w:tbl>
    <w:bookmarkEnd w:id="5"/>
    <w:p w14:paraId="238E716E" w14:textId="77777777" w:rsidR="00F5133A" w:rsidRPr="00290D58" w:rsidRDefault="004C1B2B" w:rsidP="003D082A">
      <w:r w:rsidRPr="00290D58">
        <w:t>9</w:t>
      </w:r>
      <w:r w:rsidRPr="00290D58">
        <w:tab/>
        <w:t>examiner et approuver le rapport du Directeur du Bureau des radiocommunications, conformément à l'article 7 de la Convention de l'UIT:</w:t>
      </w:r>
    </w:p>
    <w:p w14:paraId="2AA2552A" w14:textId="77777777" w:rsidR="00F5133A" w:rsidRPr="00290D58" w:rsidRDefault="004C1B2B" w:rsidP="00E6271D">
      <w:r w:rsidRPr="00290D58">
        <w:t>9.1</w:t>
      </w:r>
      <w:r w:rsidRPr="00290D58">
        <w:tab/>
        <w:t>sur les activités du Secteur des radiocommunications de l'UIT depuis la CMR</w:t>
      </w:r>
      <w:r w:rsidRPr="00290D58">
        <w:noBreakHyphen/>
        <w:t>19;</w:t>
      </w:r>
    </w:p>
    <w:p w14:paraId="30A9FBAF" w14:textId="77777777" w:rsidR="00E606A1" w:rsidRPr="00290D58" w:rsidRDefault="004C1B2B" w:rsidP="00ED7382">
      <w:r w:rsidRPr="00290D58">
        <w:t>(9.1-c)</w:t>
      </w:r>
      <w:r w:rsidRPr="00290D58">
        <w:tab/>
        <w:t xml:space="preserve">Étudier l'utilisation des systèmes de Télécommunications mobiles internationales pour le large bande hertzien fixe dans les bandes de fréquences attribuées au service fixe à titre primaire, conformément à la Résolution </w:t>
      </w:r>
      <w:r w:rsidRPr="00290D58">
        <w:rPr>
          <w:b/>
          <w:bCs/>
        </w:rPr>
        <w:t>175 (CMR</w:t>
      </w:r>
      <w:r w:rsidRPr="00290D58">
        <w:rPr>
          <w:b/>
          <w:bCs/>
        </w:rPr>
        <w:noBreakHyphen/>
        <w:t>19)</w:t>
      </w:r>
      <w:r w:rsidRPr="00290D58">
        <w:t>;</w:t>
      </w:r>
    </w:p>
    <w:p w14:paraId="042930BC" w14:textId="2644F062" w:rsidR="00ED7382" w:rsidRPr="00290D58" w:rsidRDefault="004C1B2B" w:rsidP="00EE232C">
      <w:r w:rsidRPr="00290D58">
        <w:t xml:space="preserve">Résolution </w:t>
      </w:r>
      <w:r w:rsidRPr="00290D58">
        <w:rPr>
          <w:b/>
          <w:bCs/>
        </w:rPr>
        <w:t>175 (CMR-19)</w:t>
      </w:r>
      <w:r w:rsidRPr="00290D58">
        <w:t xml:space="preserve"> </w:t>
      </w:r>
      <w:r w:rsidR="00290D58" w:rsidRPr="00290D58">
        <w:t>–</w:t>
      </w:r>
      <w:r w:rsidRPr="00290D58">
        <w:t xml:space="preserve"> Utilisation des systèmes de Télécommunications mobiles internationales pour le large bande hertzien fixe dans les bandes de fréquences attribuées au service fixe à titre primaire</w:t>
      </w:r>
    </w:p>
    <w:p w14:paraId="3B3F4CB4" w14:textId="05BE4154" w:rsidR="003A583E" w:rsidRPr="00290D58" w:rsidRDefault="004C1B2B" w:rsidP="004C1B2B">
      <w:pPr>
        <w:pStyle w:val="Headingb"/>
      </w:pPr>
      <w:r w:rsidRPr="00290D58">
        <w:t>Introduction</w:t>
      </w:r>
    </w:p>
    <w:p w14:paraId="6EDCE112" w14:textId="0406AE33" w:rsidR="004C1B2B" w:rsidRPr="00290D58" w:rsidRDefault="00066D2E" w:rsidP="000F7B1F">
      <w:r w:rsidRPr="00290D58">
        <w:t xml:space="preserve">En vertu de la Résolution </w:t>
      </w:r>
      <w:r w:rsidRPr="00290D58">
        <w:rPr>
          <w:b/>
          <w:bCs/>
        </w:rPr>
        <w:t>175 (CMR-19)</w:t>
      </w:r>
      <w:r w:rsidRPr="00290D58">
        <w:t xml:space="preserve">, le Secteur des radiocommunications de l'UIT (UIT-R) </w:t>
      </w:r>
      <w:r w:rsidR="007F7160" w:rsidRPr="00290D58">
        <w:t xml:space="preserve">est invité </w:t>
      </w:r>
      <w:r w:rsidR="004C1B2B" w:rsidRPr="00290D58">
        <w:t>à procéder aux études qui pourraient être nécessaires concernant l'utilisation des systèmes</w:t>
      </w:r>
      <w:r w:rsidR="00290D58" w:rsidRPr="00290D58">
        <w:t xml:space="preserve"> </w:t>
      </w:r>
      <w:r w:rsidR="004C1B2B" w:rsidRPr="00290D58">
        <w:t xml:space="preserve">IMT pour le large bande hertzien fixe dans les bandes de fréquences attribuées au service fixe à titre primaire, en tenant compte des études, des manuels, des </w:t>
      </w:r>
      <w:r w:rsidR="00290D58" w:rsidRPr="00290D58">
        <w:t>r</w:t>
      </w:r>
      <w:r w:rsidR="004C1B2B" w:rsidRPr="00290D58">
        <w:t>ecommandations et des rapports pertinents de l'UIT R</w:t>
      </w:r>
      <w:r w:rsidR="000F7B1F" w:rsidRPr="00290D58">
        <w:t>, et le Directeur du Bureau a été chargé de faire rapport à la CMR sur les résultats de ces études.</w:t>
      </w:r>
    </w:p>
    <w:p w14:paraId="66FD9758" w14:textId="585E7F2F" w:rsidR="004C1B2B" w:rsidRPr="00290D58" w:rsidRDefault="000F7B1F" w:rsidP="005A7C75">
      <w:r w:rsidRPr="00290D58">
        <w:t>La CMR, par cette Résolution, n'a pas invité l'UIT-R à effectuer des études sur la coexistence et la compatibilité avec d'autres services dans le contexte de l'utilisation des IMT dans des bandes de fréquences concrètes attribuées au service fixe.</w:t>
      </w:r>
    </w:p>
    <w:p w14:paraId="70E8B6CD" w14:textId="6AA3E499" w:rsidR="00290D58" w:rsidRPr="00290D58" w:rsidRDefault="000F7B1F" w:rsidP="00290D58">
      <w:r w:rsidRPr="00290D58">
        <w:t xml:space="preserve">Conformément aux résultats de la première session de la Réunion de préparation à la Conférence en vue de la CMR-23 </w:t>
      </w:r>
      <w:r w:rsidR="0082513E" w:rsidRPr="00290D58">
        <w:t>concernant</w:t>
      </w:r>
      <w:r w:rsidRPr="00290D58">
        <w:t xml:space="preserve"> la préparation des textes destinés au projet de rapport de la RPC sur les questions relevant du point 9.1 de l'ordre du jour de la CMR-23, </w:t>
      </w:r>
      <w:r w:rsidR="0082513E" w:rsidRPr="00290D58">
        <w:t>le projet de texte sur la question</w:t>
      </w:r>
      <w:r w:rsidR="00492B8B" w:rsidRPr="00290D58">
        <w:t> </w:t>
      </w:r>
      <w:r w:rsidR="0082513E" w:rsidRPr="00290D58">
        <w:t>c) n'est pas censé contenir de méthodes pour traiter le point de l'ordre du jour ni de</w:t>
      </w:r>
      <w:r w:rsidR="00290D58" w:rsidRPr="00290D58">
        <w:t xml:space="preserve"> </w:t>
      </w:r>
      <w:r w:rsidR="00290D58" w:rsidRPr="00290D58">
        <w:br w:type="page"/>
      </w:r>
    </w:p>
    <w:p w14:paraId="3C42157A" w14:textId="4887B42D" w:rsidR="000F7B1F" w:rsidRPr="00290D58" w:rsidRDefault="0082513E" w:rsidP="005A7C75">
      <w:r w:rsidRPr="00290D58">
        <w:lastRenderedPageBreak/>
        <w:t>considérations touchant à la réglementation et aux procédures. Cela signifie que la question c) relevant du point 9.1 de l'ordre du jour de la CMR-23 n'est pas censé aboutir à la modification du</w:t>
      </w:r>
      <w:r w:rsidR="00290D58" w:rsidRPr="00290D58">
        <w:t xml:space="preserve"> </w:t>
      </w:r>
      <w:r w:rsidRPr="00290D58">
        <w:t>Règlement des radiocommunications de l'UIT (RR) ou que, pour traiter cette question, il ne faudra pas se limiter à une conclusion figurant dans le Rapport de la RPC.</w:t>
      </w:r>
    </w:p>
    <w:p w14:paraId="44160702" w14:textId="731C4961" w:rsidR="0082513E" w:rsidRPr="00290D58" w:rsidRDefault="0082513E" w:rsidP="005A7C75">
      <w:r w:rsidRPr="00290D58">
        <w:t xml:space="preserve">Dans le cadre des discussions sur la question c) lors des réunions des </w:t>
      </w:r>
      <w:r w:rsidR="00575054" w:rsidRPr="00290D58">
        <w:t>Groupes de travail (</w:t>
      </w:r>
      <w:r w:rsidRPr="00290D58">
        <w:t>GT</w:t>
      </w:r>
      <w:r w:rsidR="00575054" w:rsidRPr="00290D58">
        <w:t>)</w:t>
      </w:r>
      <w:r w:rsidRPr="00290D58">
        <w:t xml:space="preserve"> 5A et</w:t>
      </w:r>
      <w:r w:rsidR="00492B8B" w:rsidRPr="00290D58">
        <w:t> </w:t>
      </w:r>
      <w:r w:rsidRPr="00290D58">
        <w:t>5C</w:t>
      </w:r>
      <w:r w:rsidR="00892DBF" w:rsidRPr="00290D58">
        <w:t xml:space="preserve"> de l'UIT-R, il a été établi que l'objet des études était l'utilisation des technologies IMT pour le large bande hertzien fixe dans le service fixe, et non le déploiement de systèmes large bande mobiles dans les bandes de fréquences attribuées au service fixe.</w:t>
      </w:r>
    </w:p>
    <w:p w14:paraId="6AE8DFF9" w14:textId="06218192" w:rsidR="00892DBF" w:rsidRPr="00290D58" w:rsidRDefault="00892DBF" w:rsidP="005A7C75">
      <w:r w:rsidRPr="00290D58">
        <w:t xml:space="preserve">Compte tenu des résultats des travaux de l'UIT-R, les </w:t>
      </w:r>
      <w:r w:rsidR="00290D58" w:rsidRPr="00290D58">
        <w:t>A</w:t>
      </w:r>
      <w:r w:rsidRPr="00290D58">
        <w:t xml:space="preserve">dministrations des pays membres de la RCC estiment que les dispositions du RR existantes permettent l'utilisation des technologies IMT pour le large bande hertzien fixe dans les bandes de fréquences attribuées à titre primaire au service fixe, sans qu'il soit nécessaire de procéder à des études sur les bandes de fréquences concrètes ou sur l'élaboration de nouvelles dispositions réglementaires. Les </w:t>
      </w:r>
      <w:r w:rsidR="00290D58" w:rsidRPr="00290D58">
        <w:t>A</w:t>
      </w:r>
      <w:r w:rsidRPr="00290D58">
        <w:t>dministrations des pays membres de la</w:t>
      </w:r>
      <w:r w:rsidR="00290D58" w:rsidRPr="00290D58">
        <w:t xml:space="preserve"> </w:t>
      </w:r>
      <w:r w:rsidRPr="00290D58">
        <w:t>RCC sont par conséquent opposées à toute modification du RR au titre de la question c) relevant du point 9.1 de la CMR-23.</w:t>
      </w:r>
    </w:p>
    <w:p w14:paraId="162B5E5B" w14:textId="6E217A75" w:rsidR="00892DBF" w:rsidRPr="00290D58" w:rsidRDefault="00892DBF" w:rsidP="005A7C75">
      <w:r w:rsidRPr="00290D58">
        <w:t>Après la CMR-23, les travaux en cours au sein des GT 5A et 5C concernant la mise à jour des études, Manuels, Recommandations et Rapports de l'UIT-R pertinent pourront reprendre selon les besoins.</w:t>
      </w:r>
    </w:p>
    <w:p w14:paraId="14677301" w14:textId="4C1D7BEA" w:rsidR="004C1B2B" w:rsidRPr="00290D58" w:rsidRDefault="004C1B2B" w:rsidP="004C1B2B">
      <w:pPr>
        <w:pStyle w:val="Headingb"/>
      </w:pPr>
      <w:r w:rsidRPr="00290D58">
        <w:t>Propositions</w:t>
      </w:r>
    </w:p>
    <w:p w14:paraId="22278C49" w14:textId="4FB53FDD" w:rsidR="004C1B2B" w:rsidRPr="00290D58" w:rsidRDefault="00892DBF" w:rsidP="005A7C75">
      <w:r w:rsidRPr="00290D58">
        <w:t xml:space="preserve">Les </w:t>
      </w:r>
      <w:r w:rsidR="00290D58" w:rsidRPr="00290D58">
        <w:t>A</w:t>
      </w:r>
      <w:r w:rsidRPr="00290D58">
        <w:t>dministrations des pays membres de la RCC estiment qu</w:t>
      </w:r>
      <w:r w:rsidR="00575054" w:rsidRPr="00290D58">
        <w:t xml:space="preserve">'il n'y a pas lieu de modifier le RR </w:t>
      </w:r>
      <w:r w:rsidRPr="00290D58">
        <w:t>pour traiter la question c) relevant du point 9.1 de la CMR-23</w:t>
      </w:r>
      <w:r w:rsidR="00575054" w:rsidRPr="00290D58">
        <w:t xml:space="preserve"> et que la Résolution </w:t>
      </w:r>
      <w:r w:rsidR="00575054" w:rsidRPr="00290D58">
        <w:rPr>
          <w:b/>
          <w:bCs/>
        </w:rPr>
        <w:t>17</w:t>
      </w:r>
      <w:r w:rsidR="007A602C" w:rsidRPr="00290D58">
        <w:rPr>
          <w:b/>
          <w:bCs/>
        </w:rPr>
        <w:t>5</w:t>
      </w:r>
      <w:r w:rsidR="00575054" w:rsidRPr="00290D58">
        <w:rPr>
          <w:b/>
          <w:bCs/>
        </w:rPr>
        <w:t xml:space="preserve"> (CMR-19)</w:t>
      </w:r>
      <w:r w:rsidR="00575054" w:rsidRPr="00290D58">
        <w:t>.</w:t>
      </w:r>
    </w:p>
    <w:p w14:paraId="066E55E8" w14:textId="77777777" w:rsidR="0015203F" w:rsidRPr="00290D58" w:rsidRDefault="0015203F">
      <w:pPr>
        <w:tabs>
          <w:tab w:val="clear" w:pos="1134"/>
          <w:tab w:val="clear" w:pos="1871"/>
          <w:tab w:val="clear" w:pos="2268"/>
        </w:tabs>
        <w:overflowPunct/>
        <w:autoSpaceDE/>
        <w:autoSpaceDN/>
        <w:adjustRightInd/>
        <w:spacing w:before="0"/>
        <w:textAlignment w:val="auto"/>
      </w:pPr>
      <w:r w:rsidRPr="00290D58">
        <w:br w:type="page"/>
      </w:r>
    </w:p>
    <w:p w14:paraId="51E267D1" w14:textId="77777777" w:rsidR="002E3487" w:rsidRPr="00290D58" w:rsidRDefault="004C1B2B">
      <w:pPr>
        <w:pStyle w:val="Proposal"/>
      </w:pPr>
      <w:r w:rsidRPr="00290D58">
        <w:rPr>
          <w:u w:val="single"/>
        </w:rPr>
        <w:lastRenderedPageBreak/>
        <w:t>NOC</w:t>
      </w:r>
      <w:r w:rsidRPr="00290D58">
        <w:tab/>
        <w:t>RCC/85A24A3/1</w:t>
      </w:r>
    </w:p>
    <w:p w14:paraId="75B5A227" w14:textId="77777777" w:rsidR="00DC48DB" w:rsidRPr="00290D58" w:rsidRDefault="004C1B2B" w:rsidP="004C1B2B">
      <w:pPr>
        <w:pStyle w:val="Volumetitle"/>
        <w:rPr>
          <w:lang w:val="fr-FR"/>
        </w:rPr>
      </w:pPr>
      <w:bookmarkStart w:id="6" w:name="_Toc455752901"/>
      <w:bookmarkStart w:id="7" w:name="_Toc455756140"/>
      <w:r w:rsidRPr="00290D58">
        <w:rPr>
          <w:lang w:val="fr-FR"/>
        </w:rPr>
        <w:t>ARTICLES</w:t>
      </w:r>
      <w:bookmarkEnd w:id="6"/>
      <w:bookmarkEnd w:id="7"/>
    </w:p>
    <w:p w14:paraId="541A9B37" w14:textId="2854506D" w:rsidR="002E3487" w:rsidRPr="00290D58" w:rsidRDefault="004C1B2B">
      <w:pPr>
        <w:pStyle w:val="Reasons"/>
      </w:pPr>
      <w:r w:rsidRPr="00290D58">
        <w:rPr>
          <w:b/>
        </w:rPr>
        <w:t>Motifs:</w:t>
      </w:r>
      <w:r w:rsidRPr="00290D58">
        <w:tab/>
      </w:r>
      <w:r w:rsidR="007A602C" w:rsidRPr="00290D58">
        <w:t>Les dispositions existantes du RR sont compatibles avec l'utilisation de diverses technologies, y compris les IMT, pour les systèmes d'accès hertzien fixe. Aucune disposition supplémentaire n'est nécessaire pour prévue. En outre, une modification du RR sortirait du cadre de la question c) du point 9.1 de l'ordre du jour de la CMR-23.</w:t>
      </w:r>
    </w:p>
    <w:p w14:paraId="1BC1804C" w14:textId="77777777" w:rsidR="002E3487" w:rsidRPr="00290D58" w:rsidRDefault="004C1B2B">
      <w:pPr>
        <w:pStyle w:val="Proposal"/>
      </w:pPr>
      <w:r w:rsidRPr="00290D58">
        <w:rPr>
          <w:u w:val="single"/>
        </w:rPr>
        <w:t>NOC</w:t>
      </w:r>
      <w:r w:rsidRPr="00290D58">
        <w:tab/>
        <w:t>RCC/85A24A3/2</w:t>
      </w:r>
    </w:p>
    <w:p w14:paraId="6963ABFD" w14:textId="77777777" w:rsidR="00D80A8A" w:rsidRPr="00290D58" w:rsidRDefault="004C1B2B" w:rsidP="004C1B2B">
      <w:pPr>
        <w:pStyle w:val="Volumetitle"/>
        <w:rPr>
          <w:lang w:val="fr-FR"/>
        </w:rPr>
      </w:pPr>
      <w:bookmarkStart w:id="8" w:name="_Toc327956568"/>
      <w:r w:rsidRPr="00290D58">
        <w:rPr>
          <w:lang w:val="fr-FR"/>
        </w:rPr>
        <w:t>APPENDICES</w:t>
      </w:r>
      <w:bookmarkEnd w:id="8"/>
    </w:p>
    <w:p w14:paraId="2FC9F495" w14:textId="56B6910B" w:rsidR="002E3487" w:rsidRPr="00290D58" w:rsidRDefault="004C1B2B">
      <w:pPr>
        <w:pStyle w:val="Reasons"/>
      </w:pPr>
      <w:r w:rsidRPr="00290D58">
        <w:rPr>
          <w:b/>
        </w:rPr>
        <w:t>Motifs:</w:t>
      </w:r>
      <w:r w:rsidRPr="00290D58">
        <w:tab/>
      </w:r>
      <w:r w:rsidR="007A602C" w:rsidRPr="00290D58">
        <w:t>Les dispositions existantes du RR sont compatibles avec l'utilisation de diverses technologies, y compris les IMT, pour les systèmes d'accès hertzien fixe. Aucune disposition supplémentaire n'est nécessaire pour prévue. En outre, une modification du RR sortirait du cadre de la question c) du point 9.1 de l'ordre du jour de la CMR-23.</w:t>
      </w:r>
    </w:p>
    <w:p w14:paraId="71B8D2A4" w14:textId="77777777" w:rsidR="002E3487" w:rsidRPr="00290D58" w:rsidRDefault="004C1B2B">
      <w:pPr>
        <w:pStyle w:val="Proposal"/>
      </w:pPr>
      <w:r w:rsidRPr="00290D58">
        <w:t>SUP</w:t>
      </w:r>
      <w:r w:rsidRPr="00290D58">
        <w:tab/>
        <w:t>RCC/85A24A3/3</w:t>
      </w:r>
    </w:p>
    <w:p w14:paraId="5A75C79A" w14:textId="77777777" w:rsidR="003B031C" w:rsidRPr="00290D58" w:rsidRDefault="004C1B2B" w:rsidP="004C1B2B">
      <w:pPr>
        <w:pStyle w:val="ResNo"/>
      </w:pPr>
      <w:bookmarkStart w:id="9" w:name="_Toc39829185"/>
      <w:r w:rsidRPr="00290D58">
        <w:t xml:space="preserve">RÉSOLUTION </w:t>
      </w:r>
      <w:r w:rsidRPr="00290D58">
        <w:rPr>
          <w:rStyle w:val="href"/>
          <w:caps w:val="0"/>
        </w:rPr>
        <w:t>175</w:t>
      </w:r>
      <w:r w:rsidRPr="00290D58">
        <w:t xml:space="preserve"> (CMR-19)</w:t>
      </w:r>
      <w:bookmarkEnd w:id="9"/>
    </w:p>
    <w:p w14:paraId="737739AE" w14:textId="77777777" w:rsidR="003B031C" w:rsidRPr="00290D58" w:rsidRDefault="004C1B2B" w:rsidP="003B031C">
      <w:pPr>
        <w:pStyle w:val="Restitle"/>
      </w:pPr>
      <w:bookmarkStart w:id="10" w:name="_Toc35933784"/>
      <w:bookmarkStart w:id="11" w:name="_Toc39829186"/>
      <w:r w:rsidRPr="00290D58">
        <w:t xml:space="preserve">Utilisation des systèmes de Télécommunications mobiles internationales </w:t>
      </w:r>
      <w:r w:rsidRPr="00290D58">
        <w:br/>
        <w:t xml:space="preserve">pour le large bande hertzien fixe dans les bandes de fréquences </w:t>
      </w:r>
      <w:r w:rsidRPr="00290D58">
        <w:br/>
        <w:t>attribuées au service fixe à titre primaire</w:t>
      </w:r>
      <w:bookmarkEnd w:id="10"/>
      <w:bookmarkEnd w:id="11"/>
    </w:p>
    <w:p w14:paraId="11E292A6" w14:textId="31D73BDE" w:rsidR="004C1B2B" w:rsidRPr="00290D58" w:rsidRDefault="004C1B2B" w:rsidP="00411C49">
      <w:pPr>
        <w:pStyle w:val="Reasons"/>
      </w:pPr>
      <w:r w:rsidRPr="00290D58">
        <w:rPr>
          <w:b/>
        </w:rPr>
        <w:t>Motifs:</w:t>
      </w:r>
      <w:r w:rsidRPr="00290D58">
        <w:tab/>
      </w:r>
      <w:r w:rsidR="007A602C" w:rsidRPr="00290D58">
        <w:t>Toute condition qu'il faudrait éventuellement établir pour permettre l'utilisation des technologies IMT pour l'accès large bande hertzien fixe dans les bandes de fréquences attribuées au</w:t>
      </w:r>
      <w:r w:rsidR="00290D58" w:rsidRPr="00290D58">
        <w:t xml:space="preserve"> </w:t>
      </w:r>
      <w:r w:rsidR="007A602C" w:rsidRPr="00290D58">
        <w:t>SF peut être examinée dans le cadre des travaux courants d'actualisation des</w:t>
      </w:r>
      <w:r w:rsidR="00290D58" w:rsidRPr="00290D58">
        <w:t xml:space="preserve"> </w:t>
      </w:r>
      <w:r w:rsidR="007A602C" w:rsidRPr="00290D58">
        <w:t>Recommandations/Rapports/Manuels de l'UIT-R existants menées par les GT 5A et 5C de</w:t>
      </w:r>
      <w:r w:rsidR="00290D58" w:rsidRPr="00290D58">
        <w:t xml:space="preserve"> </w:t>
      </w:r>
      <w:r w:rsidR="007A602C" w:rsidRPr="00290D58">
        <w:t xml:space="preserve">l'UIT-R. La Résolution </w:t>
      </w:r>
      <w:r w:rsidR="007A602C" w:rsidRPr="00290D58">
        <w:rPr>
          <w:b/>
          <w:bCs/>
        </w:rPr>
        <w:t xml:space="preserve">175 (CMR-19) </w:t>
      </w:r>
      <w:r w:rsidR="007A602C" w:rsidRPr="00290D58">
        <w:t>n'est donc plus nécessaire.</w:t>
      </w:r>
    </w:p>
    <w:p w14:paraId="79A07E86" w14:textId="6C45CA15" w:rsidR="002E3487" w:rsidRPr="00290D58" w:rsidRDefault="004C1B2B" w:rsidP="004C1B2B">
      <w:pPr>
        <w:jc w:val="center"/>
      </w:pPr>
      <w:r w:rsidRPr="00290D58">
        <w:t>______________</w:t>
      </w:r>
    </w:p>
    <w:sectPr w:rsidR="002E3487" w:rsidRPr="00290D58">
      <w:headerReference w:type="default" r:id="rId13"/>
      <w:footerReference w:type="even" r:id="rId14"/>
      <w:footerReference w:type="default" r:id="rId15"/>
      <w:footerReference w:type="first" r:id="rId16"/>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C2614" w14:textId="77777777" w:rsidR="00CB685A" w:rsidRDefault="00CB685A">
      <w:r>
        <w:separator/>
      </w:r>
    </w:p>
  </w:endnote>
  <w:endnote w:type="continuationSeparator" w:id="0">
    <w:p w14:paraId="0F223DEF"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11411" w14:textId="6264861F"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290D58">
      <w:rPr>
        <w:noProof/>
      </w:rPr>
      <w:t>13.11.23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D97FE" w14:textId="5AFB45F8"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BA6B6F">
      <w:rPr>
        <w:lang w:val="en-US"/>
      </w:rPr>
      <w:t>P:\FRA\ITU-R\CONF-R\CMR23\000\085ADD24ADD03F.docx</w:t>
    </w:r>
    <w:r>
      <w:fldChar w:fldCharType="end"/>
    </w:r>
    <w:r w:rsidR="004C1B2B">
      <w:t xml:space="preserve"> (529923)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078D2" w14:textId="76AA4422" w:rsidR="00936D25" w:rsidRPr="004C1B2B" w:rsidRDefault="004C1B2B" w:rsidP="004C1B2B">
    <w:pPr>
      <w:pStyle w:val="Footer"/>
      <w:rPr>
        <w:lang w:val="en-US"/>
      </w:rPr>
    </w:pPr>
    <w:r>
      <w:fldChar w:fldCharType="begin"/>
    </w:r>
    <w:r>
      <w:rPr>
        <w:lang w:val="en-US"/>
      </w:rPr>
      <w:instrText xml:space="preserve"> FILENAME \p  \* MERGEFORMAT </w:instrText>
    </w:r>
    <w:r>
      <w:fldChar w:fldCharType="separate"/>
    </w:r>
    <w:r w:rsidR="00BA6B6F">
      <w:rPr>
        <w:lang w:val="en-US"/>
      </w:rPr>
      <w:t>P:\FRA\ITU-R\CONF-R\CMR23\000\085ADD24ADD03F.docx</w:t>
    </w:r>
    <w:r>
      <w:fldChar w:fldCharType="end"/>
    </w:r>
    <w:r>
      <w:t xml:space="preserve"> (529923)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F1E30" w14:textId="77777777" w:rsidR="00CB685A" w:rsidRDefault="00CB685A">
      <w:r>
        <w:rPr>
          <w:b/>
        </w:rPr>
        <w:t>_______________</w:t>
      </w:r>
    </w:p>
  </w:footnote>
  <w:footnote w:type="continuationSeparator" w:id="0">
    <w:p w14:paraId="76A8DC2E" w14:textId="77777777" w:rsidR="00CB685A" w:rsidRDefault="00CB6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589B5"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0CB0CB09" w14:textId="77777777" w:rsidR="004F1F8E" w:rsidRDefault="00225CF2" w:rsidP="00FD7AA3">
    <w:pPr>
      <w:pStyle w:val="Header"/>
    </w:pPr>
    <w:r>
      <w:t>WRC</w:t>
    </w:r>
    <w:r w:rsidR="00D3426F">
      <w:t>23</w:t>
    </w:r>
    <w:r w:rsidR="004F1F8E">
      <w:t>/</w:t>
    </w:r>
    <w:r w:rsidR="006A4B45">
      <w:t>85(Add.24)(Add.3)-</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680230128">
    <w:abstractNumId w:val="0"/>
  </w:num>
  <w:num w:numId="2" w16cid:durableId="62550803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66D2E"/>
    <w:rsid w:val="00080E2C"/>
    <w:rsid w:val="00081366"/>
    <w:rsid w:val="000863B3"/>
    <w:rsid w:val="000A4755"/>
    <w:rsid w:val="000A55AE"/>
    <w:rsid w:val="000B2E0C"/>
    <w:rsid w:val="000B3D0C"/>
    <w:rsid w:val="000F7B1F"/>
    <w:rsid w:val="001167B9"/>
    <w:rsid w:val="001267A0"/>
    <w:rsid w:val="0015203F"/>
    <w:rsid w:val="00160C64"/>
    <w:rsid w:val="0018169B"/>
    <w:rsid w:val="0019352B"/>
    <w:rsid w:val="001960D0"/>
    <w:rsid w:val="001A11F6"/>
    <w:rsid w:val="001F17E8"/>
    <w:rsid w:val="00204306"/>
    <w:rsid w:val="00225CF2"/>
    <w:rsid w:val="00232FD2"/>
    <w:rsid w:val="0026554E"/>
    <w:rsid w:val="00290D58"/>
    <w:rsid w:val="002A4622"/>
    <w:rsid w:val="002A6F8F"/>
    <w:rsid w:val="002B17E5"/>
    <w:rsid w:val="002C0EBF"/>
    <w:rsid w:val="002C28A4"/>
    <w:rsid w:val="002D7E0A"/>
    <w:rsid w:val="002E3487"/>
    <w:rsid w:val="00315AFE"/>
    <w:rsid w:val="003411F6"/>
    <w:rsid w:val="003606A6"/>
    <w:rsid w:val="0036650C"/>
    <w:rsid w:val="00393ACD"/>
    <w:rsid w:val="003A583E"/>
    <w:rsid w:val="003E112B"/>
    <w:rsid w:val="003E1D1C"/>
    <w:rsid w:val="003E7B05"/>
    <w:rsid w:val="003F3719"/>
    <w:rsid w:val="003F6F2D"/>
    <w:rsid w:val="00466211"/>
    <w:rsid w:val="00483196"/>
    <w:rsid w:val="004834A9"/>
    <w:rsid w:val="00492B8B"/>
    <w:rsid w:val="004C1B2B"/>
    <w:rsid w:val="004D01FC"/>
    <w:rsid w:val="004E28C3"/>
    <w:rsid w:val="004F1F8E"/>
    <w:rsid w:val="00512A32"/>
    <w:rsid w:val="005343DA"/>
    <w:rsid w:val="00560874"/>
    <w:rsid w:val="00575054"/>
    <w:rsid w:val="00586CF2"/>
    <w:rsid w:val="005A7C75"/>
    <w:rsid w:val="005B53B1"/>
    <w:rsid w:val="005C3768"/>
    <w:rsid w:val="005C6C3F"/>
    <w:rsid w:val="00613635"/>
    <w:rsid w:val="0062093D"/>
    <w:rsid w:val="00637ECF"/>
    <w:rsid w:val="00647B59"/>
    <w:rsid w:val="00690C7B"/>
    <w:rsid w:val="006A4B45"/>
    <w:rsid w:val="006D4724"/>
    <w:rsid w:val="006E0724"/>
    <w:rsid w:val="006F5FA2"/>
    <w:rsid w:val="0070076C"/>
    <w:rsid w:val="00701BAE"/>
    <w:rsid w:val="00721F04"/>
    <w:rsid w:val="00730E95"/>
    <w:rsid w:val="007426B9"/>
    <w:rsid w:val="00764342"/>
    <w:rsid w:val="00774362"/>
    <w:rsid w:val="00786598"/>
    <w:rsid w:val="00790C74"/>
    <w:rsid w:val="007A04E8"/>
    <w:rsid w:val="007A38C5"/>
    <w:rsid w:val="007A602C"/>
    <w:rsid w:val="007B2C34"/>
    <w:rsid w:val="007F282B"/>
    <w:rsid w:val="007F7160"/>
    <w:rsid w:val="0082513E"/>
    <w:rsid w:val="00830086"/>
    <w:rsid w:val="00851625"/>
    <w:rsid w:val="00863C0A"/>
    <w:rsid w:val="00892DBF"/>
    <w:rsid w:val="008A3120"/>
    <w:rsid w:val="008A4B97"/>
    <w:rsid w:val="008C5B8E"/>
    <w:rsid w:val="008C5DD5"/>
    <w:rsid w:val="008C7123"/>
    <w:rsid w:val="008D41BE"/>
    <w:rsid w:val="008D58D3"/>
    <w:rsid w:val="008E3BC9"/>
    <w:rsid w:val="00923064"/>
    <w:rsid w:val="00930FFD"/>
    <w:rsid w:val="00936D25"/>
    <w:rsid w:val="00941EA5"/>
    <w:rsid w:val="00964700"/>
    <w:rsid w:val="00966C16"/>
    <w:rsid w:val="0098732F"/>
    <w:rsid w:val="009A045F"/>
    <w:rsid w:val="009A6A2B"/>
    <w:rsid w:val="009C7E7C"/>
    <w:rsid w:val="00A00473"/>
    <w:rsid w:val="00A03C9B"/>
    <w:rsid w:val="00A37105"/>
    <w:rsid w:val="00A606C3"/>
    <w:rsid w:val="00A83B09"/>
    <w:rsid w:val="00A84541"/>
    <w:rsid w:val="00AE36A0"/>
    <w:rsid w:val="00B00294"/>
    <w:rsid w:val="00B3749C"/>
    <w:rsid w:val="00B64FD0"/>
    <w:rsid w:val="00BA5BD0"/>
    <w:rsid w:val="00BA6B6F"/>
    <w:rsid w:val="00BB1D82"/>
    <w:rsid w:val="00BC217E"/>
    <w:rsid w:val="00BD51C5"/>
    <w:rsid w:val="00BD7326"/>
    <w:rsid w:val="00BF26E7"/>
    <w:rsid w:val="00C1305F"/>
    <w:rsid w:val="00C53FCA"/>
    <w:rsid w:val="00C71DEB"/>
    <w:rsid w:val="00C76BAF"/>
    <w:rsid w:val="00C814B9"/>
    <w:rsid w:val="00CB685A"/>
    <w:rsid w:val="00CD516F"/>
    <w:rsid w:val="00D119A7"/>
    <w:rsid w:val="00D25FBA"/>
    <w:rsid w:val="00D32B28"/>
    <w:rsid w:val="00D3426F"/>
    <w:rsid w:val="00D42954"/>
    <w:rsid w:val="00D66EAC"/>
    <w:rsid w:val="00D730DF"/>
    <w:rsid w:val="00D772F0"/>
    <w:rsid w:val="00D77BDC"/>
    <w:rsid w:val="00DC402B"/>
    <w:rsid w:val="00DE0932"/>
    <w:rsid w:val="00DF15E8"/>
    <w:rsid w:val="00E03A27"/>
    <w:rsid w:val="00E049F1"/>
    <w:rsid w:val="00E37A25"/>
    <w:rsid w:val="00E537FF"/>
    <w:rsid w:val="00E60CB2"/>
    <w:rsid w:val="00E6539B"/>
    <w:rsid w:val="00E70A31"/>
    <w:rsid w:val="00E723A7"/>
    <w:rsid w:val="00EA3F38"/>
    <w:rsid w:val="00EA5AB6"/>
    <w:rsid w:val="00EC7615"/>
    <w:rsid w:val="00ED16AA"/>
    <w:rsid w:val="00ED6B8D"/>
    <w:rsid w:val="00EE3D7B"/>
    <w:rsid w:val="00EF662E"/>
    <w:rsid w:val="00F10064"/>
    <w:rsid w:val="00F148F1"/>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D08337B"/>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DD4258"/>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R23-WRC23-C-0085!A24-A3!MSW-F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A553EE-76B8-44CD-966B-AAD41DBD4B9E}">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0E7229DF-6D0B-4CA9-8DAA-31EF8FEC08A6}">
  <ds:schemaRefs>
    <ds:schemaRef ds:uri="http://schemas.microsoft.com/sharepoint/events"/>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1B09DF08-081A-4F4C-A406-8D2BF3CB7F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827</Words>
  <Characters>4496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R23-WRC23-C-0085!A24-A3!MSW-F</vt:lpstr>
    </vt:vector>
  </TitlesOfParts>
  <Manager>Secrétariat général - Pool</Manager>
  <Company>Union internationale des télécommunications (UIT)</Company>
  <LinksUpToDate>false</LinksUpToDate>
  <CharactersWithSpaces>5313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R23-WRC23-C-0085!A24-A3!MSW-F</dc:title>
  <dc:subject>Conférence mondiale des radiocommunications - 2019</dc:subject>
  <dc:creator>Documents Proposals Manager (DPM)</dc:creator>
  <cp:keywords>DPM_v2023.8.1.1_prod</cp:keywords>
  <dc:description/>
  <cp:lastModifiedBy>French</cp:lastModifiedBy>
  <cp:revision>5</cp:revision>
  <cp:lastPrinted>2003-06-05T19:34:00Z</cp:lastPrinted>
  <dcterms:created xsi:type="dcterms:W3CDTF">2023-11-13T09:06:00Z</dcterms:created>
  <dcterms:modified xsi:type="dcterms:W3CDTF">2023-11-13T10:49:00Z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