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91530" w14:paraId="2234FDA7" w14:textId="77777777" w:rsidTr="00C1305F">
        <w:trPr>
          <w:cantSplit/>
        </w:trPr>
        <w:tc>
          <w:tcPr>
            <w:tcW w:w="1418" w:type="dxa"/>
            <w:vAlign w:val="center"/>
          </w:tcPr>
          <w:p w14:paraId="56B63073" w14:textId="77777777" w:rsidR="00C1305F" w:rsidRPr="00B91530" w:rsidRDefault="00C1305F" w:rsidP="00A70B2E">
            <w:pPr>
              <w:spacing w:before="0"/>
              <w:rPr>
                <w:rFonts w:ascii="Verdana" w:hAnsi="Verdana"/>
                <w:b/>
                <w:bCs/>
                <w:sz w:val="20"/>
              </w:rPr>
            </w:pPr>
            <w:r w:rsidRPr="00B91530">
              <w:rPr>
                <w:noProof/>
              </w:rPr>
              <w:drawing>
                <wp:inline distT="0" distB="0" distL="0" distR="0" wp14:anchorId="390D6525" wp14:editId="51EE041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66D8CA9" w14:textId="604D6445" w:rsidR="00C1305F" w:rsidRPr="00B91530" w:rsidRDefault="00C1305F" w:rsidP="00A70B2E">
            <w:pPr>
              <w:spacing w:before="400" w:after="48"/>
              <w:rPr>
                <w:rFonts w:ascii="Verdana" w:hAnsi="Verdana"/>
                <w:b/>
                <w:bCs/>
                <w:sz w:val="20"/>
              </w:rPr>
            </w:pPr>
            <w:r w:rsidRPr="00B91530">
              <w:rPr>
                <w:rFonts w:ascii="Verdana" w:hAnsi="Verdana"/>
                <w:b/>
                <w:bCs/>
                <w:sz w:val="20"/>
              </w:rPr>
              <w:t>Conférence mondiale des radiocommunications (CMR-23)</w:t>
            </w:r>
            <w:r w:rsidRPr="00B91530">
              <w:rPr>
                <w:rFonts w:ascii="Verdana" w:hAnsi="Verdana"/>
                <w:b/>
                <w:bCs/>
                <w:sz w:val="20"/>
              </w:rPr>
              <w:br/>
            </w:r>
            <w:r w:rsidRPr="00B91530">
              <w:rPr>
                <w:rFonts w:ascii="Verdana" w:hAnsi="Verdana"/>
                <w:b/>
                <w:bCs/>
                <w:sz w:val="18"/>
                <w:szCs w:val="18"/>
              </w:rPr>
              <w:t xml:space="preserve">Dubaï, 20 novembre </w:t>
            </w:r>
            <w:r w:rsidR="006761B8" w:rsidRPr="00B91530">
              <w:rPr>
                <w:rFonts w:ascii="Verdana" w:hAnsi="Verdana"/>
                <w:b/>
                <w:bCs/>
                <w:sz w:val="18"/>
                <w:szCs w:val="18"/>
              </w:rPr>
              <w:t>–</w:t>
            </w:r>
            <w:r w:rsidRPr="00B91530">
              <w:rPr>
                <w:rFonts w:ascii="Verdana" w:hAnsi="Verdana"/>
                <w:b/>
                <w:bCs/>
                <w:sz w:val="18"/>
                <w:szCs w:val="18"/>
              </w:rPr>
              <w:t xml:space="preserve"> 15 décembre 2023</w:t>
            </w:r>
          </w:p>
        </w:tc>
        <w:tc>
          <w:tcPr>
            <w:tcW w:w="1809" w:type="dxa"/>
            <w:vAlign w:val="center"/>
          </w:tcPr>
          <w:p w14:paraId="53BA03EA" w14:textId="77777777" w:rsidR="00C1305F" w:rsidRPr="00B91530" w:rsidRDefault="00C1305F" w:rsidP="00A70B2E">
            <w:pPr>
              <w:spacing w:before="0"/>
            </w:pPr>
            <w:r w:rsidRPr="00B91530">
              <w:rPr>
                <w:noProof/>
              </w:rPr>
              <w:drawing>
                <wp:inline distT="0" distB="0" distL="0" distR="0" wp14:anchorId="331F27A4" wp14:editId="4D40972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91530" w14:paraId="63D1417B" w14:textId="77777777" w:rsidTr="0050008E">
        <w:trPr>
          <w:cantSplit/>
        </w:trPr>
        <w:tc>
          <w:tcPr>
            <w:tcW w:w="6911" w:type="dxa"/>
            <w:gridSpan w:val="2"/>
            <w:tcBorders>
              <w:bottom w:val="single" w:sz="12" w:space="0" w:color="auto"/>
            </w:tcBorders>
          </w:tcPr>
          <w:p w14:paraId="65F3BABE" w14:textId="77777777" w:rsidR="00BB1D82" w:rsidRPr="00B91530" w:rsidRDefault="00BB1D82" w:rsidP="00A70B2E">
            <w:pPr>
              <w:spacing w:before="0" w:after="48"/>
              <w:rPr>
                <w:b/>
                <w:smallCaps/>
                <w:szCs w:val="24"/>
              </w:rPr>
            </w:pPr>
            <w:bookmarkStart w:id="0" w:name="dhead"/>
          </w:p>
        </w:tc>
        <w:tc>
          <w:tcPr>
            <w:tcW w:w="3120" w:type="dxa"/>
            <w:gridSpan w:val="2"/>
            <w:tcBorders>
              <w:bottom w:val="single" w:sz="12" w:space="0" w:color="auto"/>
            </w:tcBorders>
          </w:tcPr>
          <w:p w14:paraId="52500B60" w14:textId="77777777" w:rsidR="00BB1D82" w:rsidRPr="00B91530" w:rsidRDefault="00BB1D82" w:rsidP="00A70B2E">
            <w:pPr>
              <w:spacing w:before="0"/>
              <w:rPr>
                <w:rFonts w:ascii="Verdana" w:hAnsi="Verdana"/>
                <w:szCs w:val="24"/>
              </w:rPr>
            </w:pPr>
          </w:p>
        </w:tc>
      </w:tr>
      <w:tr w:rsidR="00BB1D82" w:rsidRPr="00B91530" w14:paraId="09B37DF1" w14:textId="77777777" w:rsidTr="00BB1D82">
        <w:trPr>
          <w:cantSplit/>
        </w:trPr>
        <w:tc>
          <w:tcPr>
            <w:tcW w:w="6911" w:type="dxa"/>
            <w:gridSpan w:val="2"/>
            <w:tcBorders>
              <w:top w:val="single" w:sz="12" w:space="0" w:color="auto"/>
            </w:tcBorders>
          </w:tcPr>
          <w:p w14:paraId="6DCA0331" w14:textId="77777777" w:rsidR="00BB1D82" w:rsidRPr="00B91530" w:rsidRDefault="00BB1D82" w:rsidP="00A70B2E">
            <w:pPr>
              <w:spacing w:before="0" w:after="48"/>
              <w:rPr>
                <w:rFonts w:ascii="Verdana" w:hAnsi="Verdana"/>
                <w:b/>
                <w:smallCaps/>
                <w:sz w:val="20"/>
              </w:rPr>
            </w:pPr>
          </w:p>
        </w:tc>
        <w:tc>
          <w:tcPr>
            <w:tcW w:w="3120" w:type="dxa"/>
            <w:gridSpan w:val="2"/>
            <w:tcBorders>
              <w:top w:val="single" w:sz="12" w:space="0" w:color="auto"/>
            </w:tcBorders>
          </w:tcPr>
          <w:p w14:paraId="79E96423" w14:textId="77777777" w:rsidR="00BB1D82" w:rsidRPr="00B91530" w:rsidRDefault="00BB1D82" w:rsidP="00A70B2E">
            <w:pPr>
              <w:spacing w:before="0"/>
              <w:rPr>
                <w:rFonts w:ascii="Verdana" w:hAnsi="Verdana"/>
                <w:sz w:val="20"/>
              </w:rPr>
            </w:pPr>
          </w:p>
        </w:tc>
      </w:tr>
      <w:tr w:rsidR="00BB1D82" w:rsidRPr="00B91530" w14:paraId="3FF6634E" w14:textId="77777777" w:rsidTr="00BB1D82">
        <w:trPr>
          <w:cantSplit/>
        </w:trPr>
        <w:tc>
          <w:tcPr>
            <w:tcW w:w="6911" w:type="dxa"/>
            <w:gridSpan w:val="2"/>
          </w:tcPr>
          <w:p w14:paraId="45F33754" w14:textId="77777777" w:rsidR="00BB1D82" w:rsidRPr="00B91530" w:rsidRDefault="006D4724" w:rsidP="00A70B2E">
            <w:pPr>
              <w:spacing w:before="0"/>
              <w:rPr>
                <w:rFonts w:ascii="Verdana" w:hAnsi="Verdana"/>
                <w:b/>
                <w:sz w:val="20"/>
              </w:rPr>
            </w:pPr>
            <w:r w:rsidRPr="00B91530">
              <w:rPr>
                <w:rFonts w:ascii="Verdana" w:hAnsi="Verdana"/>
                <w:b/>
                <w:sz w:val="20"/>
              </w:rPr>
              <w:t>SÉANCE PLÉNIÈRE</w:t>
            </w:r>
          </w:p>
        </w:tc>
        <w:tc>
          <w:tcPr>
            <w:tcW w:w="3120" w:type="dxa"/>
            <w:gridSpan w:val="2"/>
          </w:tcPr>
          <w:p w14:paraId="1E9E74DF" w14:textId="77777777" w:rsidR="00BB1D82" w:rsidRPr="00B91530" w:rsidRDefault="006D4724" w:rsidP="00A70B2E">
            <w:pPr>
              <w:spacing w:before="0"/>
              <w:rPr>
                <w:rFonts w:ascii="Verdana" w:hAnsi="Verdana"/>
                <w:sz w:val="20"/>
              </w:rPr>
            </w:pPr>
            <w:r w:rsidRPr="00B91530">
              <w:rPr>
                <w:rFonts w:ascii="Verdana" w:hAnsi="Verdana"/>
                <w:b/>
                <w:sz w:val="20"/>
              </w:rPr>
              <w:t>Addendum 26 au</w:t>
            </w:r>
            <w:r w:rsidRPr="00B91530">
              <w:rPr>
                <w:rFonts w:ascii="Verdana" w:hAnsi="Verdana"/>
                <w:b/>
                <w:sz w:val="20"/>
              </w:rPr>
              <w:br/>
              <w:t>Document 86</w:t>
            </w:r>
            <w:r w:rsidR="00BB1D82" w:rsidRPr="00B91530">
              <w:rPr>
                <w:rFonts w:ascii="Verdana" w:hAnsi="Verdana"/>
                <w:b/>
                <w:sz w:val="20"/>
              </w:rPr>
              <w:t>-</w:t>
            </w:r>
            <w:r w:rsidRPr="00B91530">
              <w:rPr>
                <w:rFonts w:ascii="Verdana" w:hAnsi="Verdana"/>
                <w:b/>
                <w:sz w:val="20"/>
              </w:rPr>
              <w:t>F</w:t>
            </w:r>
          </w:p>
        </w:tc>
      </w:tr>
      <w:bookmarkEnd w:id="0"/>
      <w:tr w:rsidR="00690C7B" w:rsidRPr="00B91530" w14:paraId="478668DA" w14:textId="77777777" w:rsidTr="00BB1D82">
        <w:trPr>
          <w:cantSplit/>
        </w:trPr>
        <w:tc>
          <w:tcPr>
            <w:tcW w:w="6911" w:type="dxa"/>
            <w:gridSpan w:val="2"/>
          </w:tcPr>
          <w:p w14:paraId="6A4C8E6F" w14:textId="77777777" w:rsidR="00690C7B" w:rsidRPr="00B91530" w:rsidRDefault="00690C7B" w:rsidP="00A70B2E">
            <w:pPr>
              <w:spacing w:before="0"/>
              <w:rPr>
                <w:rFonts w:ascii="Verdana" w:hAnsi="Verdana"/>
                <w:b/>
                <w:sz w:val="20"/>
              </w:rPr>
            </w:pPr>
          </w:p>
        </w:tc>
        <w:tc>
          <w:tcPr>
            <w:tcW w:w="3120" w:type="dxa"/>
            <w:gridSpan w:val="2"/>
          </w:tcPr>
          <w:p w14:paraId="16013622" w14:textId="77777777" w:rsidR="00690C7B" w:rsidRPr="00B91530" w:rsidRDefault="00690C7B" w:rsidP="00A70B2E">
            <w:pPr>
              <w:spacing w:before="0"/>
              <w:rPr>
                <w:rFonts w:ascii="Verdana" w:hAnsi="Verdana"/>
                <w:b/>
                <w:sz w:val="20"/>
              </w:rPr>
            </w:pPr>
            <w:r w:rsidRPr="00B91530">
              <w:rPr>
                <w:rFonts w:ascii="Verdana" w:hAnsi="Verdana"/>
                <w:b/>
                <w:sz w:val="20"/>
              </w:rPr>
              <w:t>29 octobre 2023</w:t>
            </w:r>
          </w:p>
        </w:tc>
      </w:tr>
      <w:tr w:rsidR="00690C7B" w:rsidRPr="00B91530" w14:paraId="3D56DA1B" w14:textId="77777777" w:rsidTr="00BB1D82">
        <w:trPr>
          <w:cantSplit/>
        </w:trPr>
        <w:tc>
          <w:tcPr>
            <w:tcW w:w="6911" w:type="dxa"/>
            <w:gridSpan w:val="2"/>
          </w:tcPr>
          <w:p w14:paraId="0A715D5F" w14:textId="77777777" w:rsidR="00690C7B" w:rsidRPr="00B91530" w:rsidRDefault="00690C7B" w:rsidP="00A70B2E">
            <w:pPr>
              <w:spacing w:before="0" w:after="48"/>
              <w:rPr>
                <w:rFonts w:ascii="Verdana" w:hAnsi="Verdana"/>
                <w:b/>
                <w:smallCaps/>
                <w:sz w:val="20"/>
              </w:rPr>
            </w:pPr>
          </w:p>
        </w:tc>
        <w:tc>
          <w:tcPr>
            <w:tcW w:w="3120" w:type="dxa"/>
            <w:gridSpan w:val="2"/>
          </w:tcPr>
          <w:p w14:paraId="3A17C7C0" w14:textId="77777777" w:rsidR="00690C7B" w:rsidRPr="00B91530" w:rsidRDefault="00690C7B" w:rsidP="00A70B2E">
            <w:pPr>
              <w:spacing w:before="0"/>
              <w:rPr>
                <w:rFonts w:ascii="Verdana" w:hAnsi="Verdana"/>
                <w:b/>
                <w:sz w:val="20"/>
              </w:rPr>
            </w:pPr>
            <w:r w:rsidRPr="00B91530">
              <w:rPr>
                <w:rFonts w:ascii="Verdana" w:hAnsi="Verdana"/>
                <w:b/>
                <w:sz w:val="20"/>
              </w:rPr>
              <w:t>Original: anglais</w:t>
            </w:r>
          </w:p>
        </w:tc>
      </w:tr>
      <w:tr w:rsidR="00690C7B" w:rsidRPr="00B91530" w14:paraId="5F6A387C" w14:textId="77777777" w:rsidTr="00C11970">
        <w:trPr>
          <w:cantSplit/>
        </w:trPr>
        <w:tc>
          <w:tcPr>
            <w:tcW w:w="10031" w:type="dxa"/>
            <w:gridSpan w:val="4"/>
          </w:tcPr>
          <w:p w14:paraId="47FA10FB" w14:textId="77777777" w:rsidR="00690C7B" w:rsidRPr="00B91530" w:rsidRDefault="00690C7B" w:rsidP="00A70B2E">
            <w:pPr>
              <w:spacing w:before="0"/>
              <w:rPr>
                <w:rFonts w:ascii="Verdana" w:hAnsi="Verdana"/>
                <w:b/>
                <w:sz w:val="20"/>
              </w:rPr>
            </w:pPr>
          </w:p>
        </w:tc>
      </w:tr>
      <w:tr w:rsidR="00690C7B" w:rsidRPr="00B91530" w14:paraId="40D37FCC" w14:textId="77777777" w:rsidTr="0050008E">
        <w:trPr>
          <w:cantSplit/>
        </w:trPr>
        <w:tc>
          <w:tcPr>
            <w:tcW w:w="10031" w:type="dxa"/>
            <w:gridSpan w:val="4"/>
          </w:tcPr>
          <w:p w14:paraId="0905DBF2" w14:textId="77777777" w:rsidR="00690C7B" w:rsidRPr="00B91530" w:rsidRDefault="00690C7B" w:rsidP="00A70B2E">
            <w:pPr>
              <w:pStyle w:val="Source"/>
            </w:pPr>
            <w:bookmarkStart w:id="1" w:name="dsource" w:colFirst="0" w:colLast="0"/>
            <w:r w:rsidRPr="00B91530">
              <w:t>Canada</w:t>
            </w:r>
          </w:p>
        </w:tc>
      </w:tr>
      <w:tr w:rsidR="00690C7B" w:rsidRPr="00B91530" w14:paraId="36887F03" w14:textId="77777777" w:rsidTr="0050008E">
        <w:trPr>
          <w:cantSplit/>
        </w:trPr>
        <w:tc>
          <w:tcPr>
            <w:tcW w:w="10031" w:type="dxa"/>
            <w:gridSpan w:val="4"/>
          </w:tcPr>
          <w:p w14:paraId="0CDA8762" w14:textId="5AFAD4AB" w:rsidR="00690C7B" w:rsidRPr="00B91530" w:rsidRDefault="006761B8" w:rsidP="00A70B2E">
            <w:pPr>
              <w:pStyle w:val="Title1"/>
            </w:pPr>
            <w:bookmarkStart w:id="2" w:name="dtitle1" w:colFirst="0" w:colLast="0"/>
            <w:bookmarkEnd w:id="1"/>
            <w:r w:rsidRPr="00B91530">
              <w:t>Propositions pour les travaux de la Conférence</w:t>
            </w:r>
          </w:p>
        </w:tc>
      </w:tr>
      <w:tr w:rsidR="00690C7B" w:rsidRPr="00B91530" w14:paraId="3F4D39DE" w14:textId="77777777" w:rsidTr="0050008E">
        <w:trPr>
          <w:cantSplit/>
        </w:trPr>
        <w:tc>
          <w:tcPr>
            <w:tcW w:w="10031" w:type="dxa"/>
            <w:gridSpan w:val="4"/>
          </w:tcPr>
          <w:p w14:paraId="2D7D69B6" w14:textId="77777777" w:rsidR="00690C7B" w:rsidRPr="00B91530" w:rsidRDefault="00690C7B" w:rsidP="00A70B2E">
            <w:pPr>
              <w:pStyle w:val="Title2"/>
            </w:pPr>
            <w:bookmarkStart w:id="3" w:name="dtitle2" w:colFirst="0" w:colLast="0"/>
            <w:bookmarkEnd w:id="2"/>
          </w:p>
        </w:tc>
      </w:tr>
      <w:tr w:rsidR="00690C7B" w:rsidRPr="00B91530" w14:paraId="107E5A6C" w14:textId="77777777" w:rsidTr="0050008E">
        <w:trPr>
          <w:cantSplit/>
        </w:trPr>
        <w:tc>
          <w:tcPr>
            <w:tcW w:w="10031" w:type="dxa"/>
            <w:gridSpan w:val="4"/>
          </w:tcPr>
          <w:p w14:paraId="10B1CFD2" w14:textId="77777777" w:rsidR="00690C7B" w:rsidRPr="00B91530" w:rsidRDefault="00690C7B" w:rsidP="00A70B2E">
            <w:pPr>
              <w:pStyle w:val="Agendaitem"/>
              <w:rPr>
                <w:lang w:val="fr-FR"/>
              </w:rPr>
            </w:pPr>
            <w:bookmarkStart w:id="4" w:name="dtitle3" w:colFirst="0" w:colLast="0"/>
            <w:bookmarkEnd w:id="3"/>
            <w:r w:rsidRPr="00B91530">
              <w:rPr>
                <w:lang w:val="fr-FR"/>
              </w:rPr>
              <w:t>Point 9.3 de l'ordre du jour</w:t>
            </w:r>
          </w:p>
        </w:tc>
      </w:tr>
    </w:tbl>
    <w:bookmarkEnd w:id="4"/>
    <w:p w14:paraId="5A5F9E60" w14:textId="77777777" w:rsidR="00291872" w:rsidRPr="00B91530" w:rsidRDefault="00291872" w:rsidP="00A70B2E">
      <w:r w:rsidRPr="00B91530">
        <w:t>9</w:t>
      </w:r>
      <w:r w:rsidRPr="00B91530">
        <w:tab/>
        <w:t>examiner et approuver le rapport du Directeur du Bureau des radiocommunications, conformément à l'article 7 de la Convention de l'UIT:</w:t>
      </w:r>
    </w:p>
    <w:p w14:paraId="214BAB1C" w14:textId="77777777" w:rsidR="00291872" w:rsidRPr="00B91530" w:rsidRDefault="00291872" w:rsidP="00A70B2E">
      <w:r w:rsidRPr="00B91530">
        <w:t>9.3</w:t>
      </w:r>
      <w:r w:rsidRPr="00B91530">
        <w:tab/>
        <w:t>sur la suite donnée à la Résolution </w:t>
      </w:r>
      <w:r w:rsidRPr="00B91530">
        <w:rPr>
          <w:b/>
          <w:bCs/>
        </w:rPr>
        <w:t>80 (Rév.CMR-07)</w:t>
      </w:r>
      <w:r w:rsidRPr="00B91530">
        <w:t>;</w:t>
      </w:r>
    </w:p>
    <w:p w14:paraId="09AFBD51" w14:textId="77777777" w:rsidR="0015203F" w:rsidRPr="00B91530" w:rsidRDefault="0015203F" w:rsidP="00A70B2E">
      <w:pPr>
        <w:tabs>
          <w:tab w:val="clear" w:pos="1134"/>
          <w:tab w:val="clear" w:pos="1871"/>
          <w:tab w:val="clear" w:pos="2268"/>
        </w:tabs>
        <w:overflowPunct/>
        <w:autoSpaceDE/>
        <w:autoSpaceDN/>
        <w:adjustRightInd/>
        <w:spacing w:before="0"/>
        <w:textAlignment w:val="auto"/>
      </w:pPr>
      <w:r w:rsidRPr="00B91530">
        <w:br w:type="page"/>
      </w:r>
    </w:p>
    <w:p w14:paraId="7B700BAD" w14:textId="7676C159" w:rsidR="006761B8" w:rsidRPr="00B91530" w:rsidRDefault="006761B8" w:rsidP="00A70B2E">
      <w:pPr>
        <w:pStyle w:val="Heading1"/>
        <w:rPr>
          <w:lang w:eastAsia="fr-CH"/>
        </w:rPr>
      </w:pPr>
      <w:r w:rsidRPr="00B91530">
        <w:rPr>
          <w:lang w:eastAsia="fr-CH"/>
        </w:rPr>
        <w:lastRenderedPageBreak/>
        <w:t>1</w:t>
      </w:r>
      <w:r w:rsidRPr="00B91530">
        <w:rPr>
          <w:lang w:eastAsia="fr-CH"/>
        </w:rPr>
        <w:tab/>
        <w:t>Introduction</w:t>
      </w:r>
    </w:p>
    <w:p w14:paraId="7748B800" w14:textId="1611FE5A" w:rsidR="006761B8" w:rsidRPr="00B91530" w:rsidRDefault="00CD6184" w:rsidP="00A70B2E">
      <w:pPr>
        <w:rPr>
          <w:lang w:eastAsia="fr-CH"/>
        </w:rPr>
      </w:pPr>
      <w:r w:rsidRPr="00B91530">
        <w:rPr>
          <w:lang w:eastAsia="fr-CH"/>
        </w:rPr>
        <w:t xml:space="preserve">Suite au </w:t>
      </w:r>
      <w:r w:rsidR="007208A8" w:rsidRPr="00B91530">
        <w:rPr>
          <w:lang w:eastAsia="fr-CH"/>
        </w:rPr>
        <w:t xml:space="preserve">Rapport du Comité du Règlement des radiocommunications (RRB) à la CMR-23 sur la Résolution </w:t>
      </w:r>
      <w:r w:rsidR="007208A8" w:rsidRPr="00B91530">
        <w:rPr>
          <w:b/>
          <w:bCs/>
          <w:lang w:eastAsia="fr-CH"/>
        </w:rPr>
        <w:t>80 (Rév.CMR-07)</w:t>
      </w:r>
      <w:r w:rsidR="007208A8" w:rsidRPr="00B91530">
        <w:rPr>
          <w:lang w:eastAsia="fr-CH"/>
        </w:rPr>
        <w:t xml:space="preserve"> (Document </w:t>
      </w:r>
      <w:hyperlink r:id="rId13" w:history="1">
        <w:r w:rsidR="007208A8" w:rsidRPr="00B91530">
          <w:rPr>
            <w:rStyle w:val="Hyperlink"/>
            <w:lang w:eastAsia="fr-CH"/>
          </w:rPr>
          <w:t>CMR-23/50</w:t>
        </w:r>
      </w:hyperlink>
      <w:r w:rsidR="007208A8" w:rsidRPr="00B91530">
        <w:rPr>
          <w:lang w:eastAsia="fr-CH"/>
        </w:rPr>
        <w:t>), le Canada soumet les observations et propositions ci-après au sujet de cinq questions traitées dans ce rapport</w:t>
      </w:r>
      <w:r w:rsidR="00F90EB6" w:rsidRPr="00B91530">
        <w:rPr>
          <w:lang w:eastAsia="fr-CH"/>
        </w:rPr>
        <w:t xml:space="preserve">, </w:t>
      </w:r>
      <w:r w:rsidRPr="00B91530">
        <w:rPr>
          <w:lang w:eastAsia="fr-CH"/>
        </w:rPr>
        <w:t>qui portent sur les</w:t>
      </w:r>
      <w:r w:rsidR="00F90EB6" w:rsidRPr="00B91530">
        <w:rPr>
          <w:lang w:eastAsia="fr-CH"/>
        </w:rPr>
        <w:t xml:space="preserve"> éléments</w:t>
      </w:r>
      <w:r w:rsidR="006761B8" w:rsidRPr="00B91530">
        <w:rPr>
          <w:lang w:eastAsia="fr-CH"/>
        </w:rPr>
        <w:t>:</w:t>
      </w:r>
    </w:p>
    <w:p w14:paraId="4915C244" w14:textId="5A4D1DDA" w:rsidR="006761B8" w:rsidRPr="00B91530" w:rsidRDefault="006761B8" w:rsidP="00A70B2E">
      <w:pPr>
        <w:pStyle w:val="enumlev1"/>
        <w:rPr>
          <w:lang w:eastAsia="fr-CH"/>
        </w:rPr>
      </w:pPr>
      <w:r w:rsidRPr="00B91530">
        <w:rPr>
          <w:lang w:eastAsia="fr-CH"/>
        </w:rPr>
        <w:t>–</w:t>
      </w:r>
      <w:r w:rsidRPr="00B91530">
        <w:rPr>
          <w:lang w:eastAsia="fr-CH"/>
        </w:rPr>
        <w:tab/>
      </w:r>
      <w:r w:rsidR="00F90EB6" w:rsidRPr="00B91530">
        <w:rPr>
          <w:lang w:eastAsia="fr-CH"/>
        </w:rPr>
        <w:t>§ </w:t>
      </w:r>
      <w:r w:rsidR="007208A8" w:rsidRPr="00B91530">
        <w:rPr>
          <w:lang w:eastAsia="fr-CH"/>
        </w:rPr>
        <w:t xml:space="preserve">4.4 du Document </w:t>
      </w:r>
      <w:r w:rsidR="00B7763C" w:rsidRPr="00B91530">
        <w:rPr>
          <w:lang w:eastAsia="fr-CH"/>
        </w:rPr>
        <w:t>WRC</w:t>
      </w:r>
      <w:r w:rsidR="007208A8" w:rsidRPr="00B91530">
        <w:rPr>
          <w:lang w:eastAsia="fr-CH"/>
        </w:rPr>
        <w:t>-23/50</w:t>
      </w:r>
      <w:r w:rsidR="00B7763C" w:rsidRPr="00B91530">
        <w:rPr>
          <w:lang w:eastAsia="fr-CH"/>
        </w:rPr>
        <w:t>,</w:t>
      </w:r>
      <w:r w:rsidR="007208A8" w:rsidRPr="00B91530">
        <w:rPr>
          <w:lang w:eastAsia="fr-CH"/>
        </w:rPr>
        <w:t xml:space="preserve"> sur les questions relatives à la prorogation des délais applicables à la mise en service ou à la remise en service d'assignations de fréquences</w:t>
      </w:r>
      <w:r w:rsidRPr="00B91530">
        <w:rPr>
          <w:lang w:eastAsia="fr-CH"/>
        </w:rPr>
        <w:t>;</w:t>
      </w:r>
    </w:p>
    <w:p w14:paraId="041D8F6C" w14:textId="5B7F1E84" w:rsidR="006761B8" w:rsidRPr="00B91530" w:rsidRDefault="006761B8" w:rsidP="00A70B2E">
      <w:pPr>
        <w:pStyle w:val="enumlev1"/>
        <w:rPr>
          <w:lang w:eastAsia="fr-CH"/>
        </w:rPr>
      </w:pPr>
      <w:r w:rsidRPr="00B91530">
        <w:rPr>
          <w:lang w:eastAsia="fr-CH"/>
        </w:rPr>
        <w:t>–</w:t>
      </w:r>
      <w:r w:rsidRPr="00B91530">
        <w:rPr>
          <w:lang w:eastAsia="fr-CH"/>
        </w:rPr>
        <w:tab/>
      </w:r>
      <w:r w:rsidR="00F90EB6" w:rsidRPr="00B91530">
        <w:rPr>
          <w:lang w:eastAsia="fr-CH"/>
        </w:rPr>
        <w:t xml:space="preserve">§ 4.6 du Document </w:t>
      </w:r>
      <w:r w:rsidR="00B7763C" w:rsidRPr="00B91530">
        <w:rPr>
          <w:lang w:eastAsia="fr-CH"/>
        </w:rPr>
        <w:t>WRC</w:t>
      </w:r>
      <w:r w:rsidR="00F90EB6" w:rsidRPr="00B91530">
        <w:rPr>
          <w:lang w:eastAsia="fr-CH"/>
        </w:rPr>
        <w:t>-23/50</w:t>
      </w:r>
      <w:r w:rsidR="00B7763C" w:rsidRPr="00B91530">
        <w:rPr>
          <w:lang w:eastAsia="fr-CH"/>
        </w:rPr>
        <w:t>,</w:t>
      </w:r>
      <w:r w:rsidR="00F90EB6" w:rsidRPr="00B91530">
        <w:rPr>
          <w:lang w:eastAsia="fr-CH"/>
        </w:rPr>
        <w:t xml:space="preserve"> sur les questions relatives à l'Appendice </w:t>
      </w:r>
      <w:r w:rsidR="00F90EB6" w:rsidRPr="00B91530">
        <w:rPr>
          <w:b/>
          <w:bCs/>
          <w:lang w:eastAsia="fr-CH"/>
        </w:rPr>
        <w:t xml:space="preserve">30B </w:t>
      </w:r>
      <w:r w:rsidR="00F90EB6" w:rsidRPr="00B91530">
        <w:rPr>
          <w:lang w:eastAsia="fr-CH"/>
        </w:rPr>
        <w:t>du RR</w:t>
      </w:r>
      <w:r w:rsidRPr="00B91530">
        <w:rPr>
          <w:lang w:eastAsia="fr-CH"/>
        </w:rPr>
        <w:t>;</w:t>
      </w:r>
    </w:p>
    <w:p w14:paraId="2C3FE354" w14:textId="36C2A47E" w:rsidR="006761B8" w:rsidRPr="00B91530" w:rsidRDefault="006761B8" w:rsidP="00A70B2E">
      <w:pPr>
        <w:pStyle w:val="enumlev1"/>
        <w:rPr>
          <w:lang w:eastAsia="fr-CH"/>
        </w:rPr>
      </w:pPr>
      <w:r w:rsidRPr="00B91530">
        <w:rPr>
          <w:lang w:eastAsia="fr-CH"/>
        </w:rPr>
        <w:t>–</w:t>
      </w:r>
      <w:r w:rsidRPr="00B91530">
        <w:rPr>
          <w:lang w:eastAsia="fr-CH"/>
        </w:rPr>
        <w:tab/>
      </w:r>
      <w:r w:rsidR="00F90EB6" w:rsidRPr="00B91530">
        <w:rPr>
          <w:lang w:eastAsia="fr-CH"/>
        </w:rPr>
        <w:t xml:space="preserve">§ 4.7 du Document </w:t>
      </w:r>
      <w:r w:rsidR="00B7763C" w:rsidRPr="00B91530">
        <w:rPr>
          <w:lang w:eastAsia="fr-CH"/>
        </w:rPr>
        <w:t>WRC</w:t>
      </w:r>
      <w:r w:rsidR="00F90EB6" w:rsidRPr="00B91530">
        <w:rPr>
          <w:lang w:eastAsia="fr-CH"/>
        </w:rPr>
        <w:t>-23/50</w:t>
      </w:r>
      <w:r w:rsidR="00B7763C" w:rsidRPr="00B91530">
        <w:rPr>
          <w:lang w:eastAsia="fr-CH"/>
        </w:rPr>
        <w:t>,</w:t>
      </w:r>
      <w:r w:rsidR="00F90EB6" w:rsidRPr="00B91530">
        <w:rPr>
          <w:lang w:eastAsia="fr-CH"/>
        </w:rPr>
        <w:t xml:space="preserve"> sur les difficultés ayant des incidences sur la coordination des réseaux à satellite</w:t>
      </w:r>
      <w:r w:rsidRPr="00B91530">
        <w:rPr>
          <w:lang w:eastAsia="fr-CH"/>
        </w:rPr>
        <w:t>;</w:t>
      </w:r>
      <w:r w:rsidR="00D56B86" w:rsidRPr="00B91530">
        <w:rPr>
          <w:lang w:eastAsia="fr-CH"/>
        </w:rPr>
        <w:t xml:space="preserve"> et</w:t>
      </w:r>
    </w:p>
    <w:p w14:paraId="2A00D29A" w14:textId="642D36E2" w:rsidR="006761B8" w:rsidRPr="00B91530" w:rsidRDefault="006761B8" w:rsidP="00A70B2E">
      <w:pPr>
        <w:pStyle w:val="enumlev1"/>
        <w:rPr>
          <w:lang w:eastAsia="fr-CH"/>
        </w:rPr>
      </w:pPr>
      <w:r w:rsidRPr="00B91530">
        <w:rPr>
          <w:lang w:eastAsia="fr-CH"/>
        </w:rPr>
        <w:t>–</w:t>
      </w:r>
      <w:r w:rsidRPr="00B91530">
        <w:rPr>
          <w:lang w:eastAsia="fr-CH"/>
        </w:rPr>
        <w:tab/>
      </w:r>
      <w:r w:rsidR="00F90EB6" w:rsidRPr="00B91530">
        <w:rPr>
          <w:lang w:eastAsia="fr-CH"/>
        </w:rPr>
        <w:t>§ 4.12 du Document</w:t>
      </w:r>
      <w:r w:rsidR="00E52C10" w:rsidRPr="00B91530">
        <w:rPr>
          <w:lang w:eastAsia="fr-CH"/>
        </w:rPr>
        <w:t xml:space="preserve"> </w:t>
      </w:r>
      <w:r w:rsidR="00B7763C" w:rsidRPr="00B91530">
        <w:rPr>
          <w:lang w:eastAsia="fr-CH"/>
        </w:rPr>
        <w:t>WRC</w:t>
      </w:r>
      <w:r w:rsidR="00F90EB6" w:rsidRPr="00B91530">
        <w:rPr>
          <w:lang w:eastAsia="fr-CH"/>
        </w:rPr>
        <w:t>-23/50</w:t>
      </w:r>
      <w:r w:rsidR="00B7763C" w:rsidRPr="00B91530">
        <w:rPr>
          <w:lang w:eastAsia="fr-CH"/>
        </w:rPr>
        <w:t>,</w:t>
      </w:r>
      <w:r w:rsidR="00F90EB6" w:rsidRPr="00B91530">
        <w:rPr>
          <w:lang w:eastAsia="fr-CH"/>
        </w:rPr>
        <w:t xml:space="preserve"> sur les questions relatives à la mise en service de réseaux à satellite non géostationnaire</w:t>
      </w:r>
      <w:r w:rsidRPr="00B91530">
        <w:rPr>
          <w:lang w:eastAsia="fr-CH"/>
        </w:rPr>
        <w:t>.</w:t>
      </w:r>
    </w:p>
    <w:p w14:paraId="6D4AE569" w14:textId="71D5B7DC" w:rsidR="006761B8" w:rsidRPr="00B91530" w:rsidRDefault="006761B8" w:rsidP="00A70B2E">
      <w:pPr>
        <w:pStyle w:val="Heading1"/>
        <w:rPr>
          <w:lang w:eastAsia="fr-CH"/>
        </w:rPr>
      </w:pPr>
      <w:r w:rsidRPr="00B91530">
        <w:rPr>
          <w:lang w:eastAsia="fr-CH"/>
        </w:rPr>
        <w:t>2</w:t>
      </w:r>
      <w:r w:rsidRPr="00B91530">
        <w:rPr>
          <w:lang w:eastAsia="fr-CH"/>
        </w:rPr>
        <w:tab/>
      </w:r>
      <w:r w:rsidR="00F90EB6" w:rsidRPr="00B91530">
        <w:rPr>
          <w:lang w:eastAsia="fr-CH"/>
        </w:rPr>
        <w:t>Questions relatives à la prorogation des délais applicables à la mise en service ou la remise en service d</w:t>
      </w:r>
      <w:r w:rsidR="0073119B" w:rsidRPr="00B91530">
        <w:rPr>
          <w:lang w:eastAsia="fr-CH"/>
        </w:rPr>
        <w:t>'</w:t>
      </w:r>
      <w:r w:rsidR="00F90EB6" w:rsidRPr="00B91530">
        <w:rPr>
          <w:lang w:eastAsia="fr-CH"/>
        </w:rPr>
        <w:t>une assignation de fréquence</w:t>
      </w:r>
    </w:p>
    <w:p w14:paraId="3F870CC0" w14:textId="5C813099" w:rsidR="006761B8" w:rsidRPr="00B91530" w:rsidRDefault="006761B8" w:rsidP="00A70B2E">
      <w:pPr>
        <w:pStyle w:val="Heading2"/>
        <w:rPr>
          <w:lang w:eastAsia="fr-CH"/>
        </w:rPr>
      </w:pPr>
      <w:r w:rsidRPr="00B91530">
        <w:rPr>
          <w:lang w:eastAsia="fr-CH"/>
        </w:rPr>
        <w:t>2.1</w:t>
      </w:r>
      <w:r w:rsidRPr="00B91530">
        <w:rPr>
          <w:lang w:eastAsia="fr-CH"/>
        </w:rPr>
        <w:tab/>
      </w:r>
      <w:r w:rsidR="00F90EB6" w:rsidRPr="00B91530">
        <w:rPr>
          <w:lang w:eastAsia="fr-CH"/>
        </w:rPr>
        <w:t>Questions relatives à la Résolution 49 (Rév.CMR-19) et à ses mises à jour</w:t>
      </w:r>
    </w:p>
    <w:p w14:paraId="3F9B34F9" w14:textId="6FCF659D" w:rsidR="006761B8" w:rsidRPr="00B91530" w:rsidRDefault="006761B8" w:rsidP="00A70B2E">
      <w:pPr>
        <w:pStyle w:val="Heading3"/>
        <w:rPr>
          <w:lang w:eastAsia="fr-CH"/>
        </w:rPr>
      </w:pPr>
      <w:r w:rsidRPr="00B91530">
        <w:rPr>
          <w:lang w:eastAsia="fr-CH"/>
        </w:rPr>
        <w:t>2.1.1</w:t>
      </w:r>
      <w:r w:rsidRPr="00B91530">
        <w:rPr>
          <w:lang w:eastAsia="fr-CH"/>
        </w:rPr>
        <w:tab/>
      </w:r>
      <w:r w:rsidR="00980F37" w:rsidRPr="00B91530">
        <w:rPr>
          <w:lang w:eastAsia="fr-CH"/>
        </w:rPr>
        <w:t>Considérations générales et examen</w:t>
      </w:r>
    </w:p>
    <w:p w14:paraId="7B5AAAED" w14:textId="77777777" w:rsidR="00E52C10" w:rsidRPr="00B91530" w:rsidRDefault="006761B8" w:rsidP="00A70B2E">
      <w:pPr>
        <w:rPr>
          <w:lang w:eastAsia="fr-CH"/>
        </w:rPr>
      </w:pPr>
      <w:r w:rsidRPr="00B91530">
        <w:rPr>
          <w:lang w:eastAsia="fr-CH"/>
        </w:rPr>
        <w:t>La</w:t>
      </w:r>
      <w:r w:rsidR="00E52C10" w:rsidRPr="00B91530">
        <w:rPr>
          <w:lang w:eastAsia="fr-CH"/>
        </w:rPr>
        <w:t xml:space="preserve"> </w:t>
      </w:r>
      <w:r w:rsidRPr="00B91530">
        <w:rPr>
          <w:lang w:eastAsia="fr-CH"/>
        </w:rPr>
        <w:t>CMR-15 a réaffirmé que le Comité avait compétence pour examiner les demandes de prorogation des délais applicables à la mise en service ou à la remise en service d'une assignation de fréquence en cas de force majeure ou de retard dû à l'embarquement d'un autre satellite sur le même lanceur (Procès-verbal de la septième séance plénière de la CMR-15).</w:t>
      </w:r>
    </w:p>
    <w:p w14:paraId="0953346B" w14:textId="6FB248CA" w:rsidR="006761B8" w:rsidRPr="00B91530" w:rsidRDefault="00980F37" w:rsidP="00A70B2E">
      <w:pPr>
        <w:rPr>
          <w:lang w:eastAsia="fr-CH"/>
        </w:rPr>
      </w:pPr>
      <w:r w:rsidRPr="00B91530">
        <w:rPr>
          <w:lang w:eastAsia="fr-CH"/>
        </w:rPr>
        <w:t xml:space="preserve">Depuis la CMR-19, le Comité a noté que les administrations </w:t>
      </w:r>
      <w:r w:rsidR="00733E26" w:rsidRPr="00B91530">
        <w:rPr>
          <w:lang w:eastAsia="fr-CH"/>
        </w:rPr>
        <w:t>ayant obtenu</w:t>
      </w:r>
      <w:r w:rsidRPr="00B91530">
        <w:rPr>
          <w:lang w:eastAsia="fr-CH"/>
        </w:rPr>
        <w:t xml:space="preserve"> une prorogation du délai réglementaire applicable à la mise en service n'</w:t>
      </w:r>
      <w:r w:rsidR="00733E26" w:rsidRPr="00B91530">
        <w:rPr>
          <w:lang w:eastAsia="fr-CH"/>
        </w:rPr>
        <w:t>avaie</w:t>
      </w:r>
      <w:r w:rsidRPr="00B91530">
        <w:rPr>
          <w:lang w:eastAsia="fr-CH"/>
        </w:rPr>
        <w:t xml:space="preserve">nt parfois pas respecté d'autres délais réglementaires pour </w:t>
      </w:r>
      <w:r w:rsidR="00733E26" w:rsidRPr="00B91530">
        <w:rPr>
          <w:lang w:eastAsia="fr-CH"/>
        </w:rPr>
        <w:t>soumettre</w:t>
      </w:r>
      <w:r w:rsidRPr="00B91530">
        <w:rPr>
          <w:lang w:eastAsia="fr-CH"/>
        </w:rPr>
        <w:t xml:space="preserve"> de</w:t>
      </w:r>
      <w:r w:rsidR="00733E26" w:rsidRPr="00B91530">
        <w:rPr>
          <w:lang w:eastAsia="fr-CH"/>
        </w:rPr>
        <w:t>s</w:t>
      </w:r>
      <w:r w:rsidRPr="00B91530">
        <w:rPr>
          <w:lang w:eastAsia="fr-CH"/>
        </w:rPr>
        <w:t xml:space="preserve"> renseignements tels que les renseignements à fournir conformément au principe de diligence due au titre de la Résolution </w:t>
      </w:r>
      <w:r w:rsidRPr="00B91530">
        <w:rPr>
          <w:b/>
          <w:bCs/>
          <w:lang w:eastAsia="fr-CH"/>
        </w:rPr>
        <w:t>49 (Rév.CMR-19)</w:t>
      </w:r>
      <w:r w:rsidRPr="00B91530">
        <w:rPr>
          <w:lang w:eastAsia="fr-CH"/>
        </w:rPr>
        <w:t xml:space="preserve"> ou</w:t>
      </w:r>
      <w:r w:rsidR="00733E26" w:rsidRPr="00B91530">
        <w:rPr>
          <w:lang w:eastAsia="fr-CH"/>
        </w:rPr>
        <w:t xml:space="preserve"> les renseignements</w:t>
      </w:r>
      <w:r w:rsidRPr="00B91530">
        <w:rPr>
          <w:lang w:eastAsia="fr-CH"/>
        </w:rPr>
        <w:t xml:space="preserve"> de notification.</w:t>
      </w:r>
      <w:r w:rsidR="00377012" w:rsidRPr="00B91530">
        <w:rPr>
          <w:lang w:eastAsia="fr-CH"/>
        </w:rPr>
        <w:t xml:space="preserve"> Le Comité rappelle qu</w:t>
      </w:r>
      <w:r w:rsidR="0073119B" w:rsidRPr="00B91530">
        <w:rPr>
          <w:lang w:eastAsia="fr-CH"/>
        </w:rPr>
        <w:t>'</w:t>
      </w:r>
      <w:r w:rsidR="00377012" w:rsidRPr="00B91530">
        <w:rPr>
          <w:lang w:eastAsia="fr-CH"/>
        </w:rPr>
        <w:t xml:space="preserve">une prorogation du délai réglementaire applicable à la mise en service, par exemple, pour des raisons de force majeure, </w:t>
      </w:r>
      <w:r w:rsidR="00733E26" w:rsidRPr="00B91530">
        <w:rPr>
          <w:lang w:eastAsia="fr-CH"/>
        </w:rPr>
        <w:t xml:space="preserve">ne signifie </w:t>
      </w:r>
      <w:r w:rsidR="00377012" w:rsidRPr="00B91530">
        <w:rPr>
          <w:lang w:eastAsia="fr-CH"/>
        </w:rPr>
        <w:t>pas une prorogation automatique du délai</w:t>
      </w:r>
      <w:r w:rsidR="00733E26" w:rsidRPr="00B91530">
        <w:rPr>
          <w:lang w:eastAsia="fr-CH"/>
        </w:rPr>
        <w:t xml:space="preserve"> pour </w:t>
      </w:r>
      <w:r w:rsidR="00377012" w:rsidRPr="00B91530">
        <w:rPr>
          <w:lang w:eastAsia="fr-CH"/>
        </w:rPr>
        <w:t>d</w:t>
      </w:r>
      <w:r w:rsidR="0073119B" w:rsidRPr="00B91530">
        <w:rPr>
          <w:lang w:eastAsia="fr-CH"/>
        </w:rPr>
        <w:t>'</w:t>
      </w:r>
      <w:r w:rsidR="00377012" w:rsidRPr="00B91530">
        <w:rPr>
          <w:lang w:eastAsia="fr-CH"/>
        </w:rPr>
        <w:t>autres dispositions, telles que la fourniture de</w:t>
      </w:r>
      <w:r w:rsidR="00733E26" w:rsidRPr="00B91530">
        <w:rPr>
          <w:lang w:eastAsia="fr-CH"/>
        </w:rPr>
        <w:t>s</w:t>
      </w:r>
      <w:r w:rsidR="00377012" w:rsidRPr="00B91530">
        <w:rPr>
          <w:lang w:eastAsia="fr-CH"/>
        </w:rPr>
        <w:t xml:space="preserve"> renseignements</w:t>
      </w:r>
      <w:r w:rsidR="00733E26" w:rsidRPr="00B91530">
        <w:rPr>
          <w:rFonts w:ascii="Segoe UI" w:hAnsi="Segoe UI" w:cs="Segoe UI"/>
          <w:color w:val="000000"/>
          <w:sz w:val="20"/>
          <w:shd w:val="clear" w:color="auto" w:fill="FFFFFF"/>
        </w:rPr>
        <w:t xml:space="preserve"> </w:t>
      </w:r>
      <w:r w:rsidR="00733E26" w:rsidRPr="00B91530">
        <w:t>requis au titre du principe de diligence due conformément à</w:t>
      </w:r>
      <w:r w:rsidR="00377012" w:rsidRPr="00B91530">
        <w:rPr>
          <w:lang w:eastAsia="fr-CH"/>
        </w:rPr>
        <w:t xml:space="preserve"> la Résolution </w:t>
      </w:r>
      <w:r w:rsidR="00377012" w:rsidRPr="00B91530">
        <w:rPr>
          <w:b/>
          <w:bCs/>
          <w:lang w:eastAsia="fr-CH"/>
        </w:rPr>
        <w:t>49 (Rév.CMR-19)</w:t>
      </w:r>
      <w:r w:rsidR="00377012" w:rsidRPr="00B91530">
        <w:rPr>
          <w:lang w:eastAsia="fr-CH"/>
        </w:rPr>
        <w:t>.</w:t>
      </w:r>
    </w:p>
    <w:p w14:paraId="263337ED" w14:textId="14FA45E1" w:rsidR="006761B8" w:rsidRPr="00B91530" w:rsidRDefault="006761B8" w:rsidP="00A70B2E">
      <w:pPr>
        <w:pStyle w:val="Heading3"/>
        <w:rPr>
          <w:lang w:eastAsia="fr-CH"/>
        </w:rPr>
      </w:pPr>
      <w:r w:rsidRPr="00B91530">
        <w:rPr>
          <w:lang w:eastAsia="fr-CH"/>
        </w:rPr>
        <w:t>2.1.2</w:t>
      </w:r>
      <w:r w:rsidRPr="00B91530">
        <w:rPr>
          <w:lang w:eastAsia="fr-CH"/>
        </w:rPr>
        <w:tab/>
      </w:r>
      <w:r w:rsidR="00377012" w:rsidRPr="00B91530">
        <w:rPr>
          <w:lang w:eastAsia="fr-CH"/>
        </w:rPr>
        <w:t>Observations</w:t>
      </w:r>
    </w:p>
    <w:p w14:paraId="0CAE5D5C" w14:textId="7464D503" w:rsidR="006761B8" w:rsidRPr="00B91530" w:rsidRDefault="004C4C52" w:rsidP="00A70B2E">
      <w:pPr>
        <w:rPr>
          <w:lang w:eastAsia="fr-CH"/>
        </w:rPr>
      </w:pPr>
      <w:r w:rsidRPr="00B91530">
        <w:rPr>
          <w:lang w:eastAsia="fr-CH"/>
        </w:rPr>
        <w:t>Le Canada reconnaît le problème soulevé par le Comité à propos de la prorogation du délai réglementaire applicable à la mise en service, qui ne s</w:t>
      </w:r>
      <w:r w:rsidR="0073119B" w:rsidRPr="00B91530">
        <w:rPr>
          <w:lang w:eastAsia="fr-CH"/>
        </w:rPr>
        <w:t>'</w:t>
      </w:r>
      <w:r w:rsidRPr="00B91530">
        <w:rPr>
          <w:lang w:eastAsia="fr-CH"/>
        </w:rPr>
        <w:t>applique pas automatiquement aux</w:t>
      </w:r>
      <w:r w:rsidR="00A815D6" w:rsidRPr="00B91530">
        <w:rPr>
          <w:lang w:eastAsia="fr-CH"/>
        </w:rPr>
        <w:t xml:space="preserve"> renseignements</w:t>
      </w:r>
      <w:r w:rsidR="00A815D6" w:rsidRPr="00B91530">
        <w:rPr>
          <w:rFonts w:ascii="Segoe UI" w:hAnsi="Segoe UI" w:cs="Segoe UI"/>
          <w:color w:val="000000"/>
          <w:sz w:val="20"/>
          <w:shd w:val="clear" w:color="auto" w:fill="FFFFFF"/>
        </w:rPr>
        <w:t xml:space="preserve"> </w:t>
      </w:r>
      <w:r w:rsidR="00A815D6" w:rsidRPr="00B91530">
        <w:t>requis au titre</w:t>
      </w:r>
      <w:r w:rsidRPr="00B91530">
        <w:rPr>
          <w:lang w:eastAsia="fr-CH"/>
        </w:rPr>
        <w:t xml:space="preserve"> de la Résolution </w:t>
      </w:r>
      <w:r w:rsidRPr="00B91530">
        <w:rPr>
          <w:b/>
          <w:bCs/>
          <w:lang w:eastAsia="fr-CH"/>
        </w:rPr>
        <w:t>49 (Rév.CMR-19)</w:t>
      </w:r>
      <w:r w:rsidRPr="00B91530">
        <w:rPr>
          <w:lang w:eastAsia="fr-CH"/>
        </w:rPr>
        <w:t xml:space="preserve"> et aux renseignements de notification</w:t>
      </w:r>
      <w:r w:rsidR="00A815D6" w:rsidRPr="00B91530">
        <w:rPr>
          <w:lang w:eastAsia="fr-CH"/>
        </w:rPr>
        <w:t xml:space="preserve"> </w:t>
      </w:r>
      <w:r w:rsidRPr="00B91530">
        <w:rPr>
          <w:lang w:eastAsia="fr-CH"/>
        </w:rPr>
        <w:t xml:space="preserve">au titre du numéro </w:t>
      </w:r>
      <w:r w:rsidRPr="00B91530">
        <w:rPr>
          <w:b/>
          <w:bCs/>
          <w:lang w:eastAsia="fr-CH"/>
        </w:rPr>
        <w:t>11.2</w:t>
      </w:r>
      <w:r w:rsidRPr="00B91530">
        <w:rPr>
          <w:lang w:eastAsia="fr-CH"/>
        </w:rPr>
        <w:t xml:space="preserve"> du RR. Le Canada prend également note de la Règle de procédure adoptée récemment par le RRB, qui </w:t>
      </w:r>
      <w:r w:rsidR="00A815D6" w:rsidRPr="00B91530">
        <w:rPr>
          <w:lang w:eastAsia="fr-CH"/>
        </w:rPr>
        <w:t xml:space="preserve">traite expressément de </w:t>
      </w:r>
      <w:r w:rsidRPr="00B91530">
        <w:rPr>
          <w:lang w:eastAsia="fr-CH"/>
        </w:rPr>
        <w:t xml:space="preserve">la fourniture de renseignements actualisés au titre de la Résolution </w:t>
      </w:r>
      <w:r w:rsidRPr="00B91530">
        <w:rPr>
          <w:b/>
          <w:bCs/>
          <w:lang w:eastAsia="fr-CH"/>
        </w:rPr>
        <w:t xml:space="preserve">49 </w:t>
      </w:r>
      <w:r w:rsidRPr="00B91530">
        <w:rPr>
          <w:lang w:eastAsia="fr-CH"/>
        </w:rPr>
        <w:t>lorsqu</w:t>
      </w:r>
      <w:r w:rsidR="0073119B" w:rsidRPr="00B91530">
        <w:rPr>
          <w:lang w:eastAsia="fr-CH"/>
        </w:rPr>
        <w:t>'</w:t>
      </w:r>
      <w:r w:rsidRPr="00B91530">
        <w:rPr>
          <w:lang w:eastAsia="fr-CH"/>
        </w:rPr>
        <w:t>une prorogation du délai applicable à la mise en service d</w:t>
      </w:r>
      <w:r w:rsidR="0073119B" w:rsidRPr="00B91530">
        <w:rPr>
          <w:lang w:eastAsia="fr-CH"/>
        </w:rPr>
        <w:t>'</w:t>
      </w:r>
      <w:r w:rsidRPr="00B91530">
        <w:rPr>
          <w:lang w:eastAsia="fr-CH"/>
        </w:rPr>
        <w:t xml:space="preserve">assignations à un réseau à satellite ou à un système à satellites a été accordée, </w:t>
      </w:r>
      <w:r w:rsidR="00A815D6" w:rsidRPr="00B91530">
        <w:rPr>
          <w:lang w:eastAsia="fr-CH"/>
        </w:rPr>
        <w:t xml:space="preserve">et </w:t>
      </w:r>
      <w:r w:rsidRPr="00B91530">
        <w:rPr>
          <w:lang w:eastAsia="fr-CH"/>
        </w:rPr>
        <w:t xml:space="preserve">qui </w:t>
      </w:r>
      <w:r w:rsidR="00A815D6" w:rsidRPr="00B91530">
        <w:rPr>
          <w:lang w:eastAsia="fr-CH"/>
        </w:rPr>
        <w:t>dispose ce qui suit</w:t>
      </w:r>
      <w:r w:rsidR="006761B8" w:rsidRPr="00B91530">
        <w:rPr>
          <w:lang w:eastAsia="fr-CH"/>
        </w:rPr>
        <w:t>:</w:t>
      </w:r>
    </w:p>
    <w:p w14:paraId="0C5EF2DE" w14:textId="3B5432A5" w:rsidR="006761B8" w:rsidRPr="00B91530" w:rsidRDefault="006761B8" w:rsidP="00A70B2E">
      <w:pPr>
        <w:pStyle w:val="enumlev1"/>
        <w:rPr>
          <w:lang w:eastAsia="fr-CH"/>
        </w:rPr>
      </w:pPr>
      <w:r w:rsidRPr="00B91530">
        <w:rPr>
          <w:lang w:eastAsia="fr-CH"/>
        </w:rPr>
        <w:tab/>
        <w:t xml:space="preserve">«Si, avant la fin de la période de prorogation ou dans l'année qui suit la décision du Comité visant à accorder une prorogation, selon celle des deux dates qui est la plus rapprochée, l'administration notificatrice n'a pas fourni au Bureau les renseignements actualisés dont il est question dans la Résolution </w:t>
      </w:r>
      <w:r w:rsidRPr="00B91530">
        <w:rPr>
          <w:b/>
          <w:bCs/>
          <w:lang w:eastAsia="fr-CH"/>
        </w:rPr>
        <w:t>49 (Rév.CMR-15)</w:t>
      </w:r>
      <w:r w:rsidRPr="00B91530">
        <w:rPr>
          <w:lang w:eastAsia="fr-CH"/>
        </w:rPr>
        <w:t xml:space="preserve"> concernant le nouveau satellite en cours d'acquisition, les assignations de fréquence correspondantes deviennent caduques.»</w:t>
      </w:r>
    </w:p>
    <w:p w14:paraId="433C7917" w14:textId="5D0CDF22" w:rsidR="00415DD9" w:rsidRPr="00B91530" w:rsidRDefault="004C4C52" w:rsidP="00A70B2E">
      <w:pPr>
        <w:rPr>
          <w:lang w:eastAsia="fr-CH"/>
        </w:rPr>
      </w:pPr>
      <w:r w:rsidRPr="00B91530">
        <w:rPr>
          <w:lang w:eastAsia="fr-CH"/>
        </w:rPr>
        <w:lastRenderedPageBreak/>
        <w:t xml:space="preserve">Le Canada </w:t>
      </w:r>
      <w:r w:rsidR="00A815D6" w:rsidRPr="00B91530">
        <w:rPr>
          <w:lang w:eastAsia="fr-CH"/>
        </w:rPr>
        <w:t xml:space="preserve">note </w:t>
      </w:r>
      <w:r w:rsidR="00274E28" w:rsidRPr="00B91530">
        <w:rPr>
          <w:lang w:eastAsia="fr-CH"/>
        </w:rPr>
        <w:t>égal</w:t>
      </w:r>
      <w:r w:rsidRPr="00B91530">
        <w:rPr>
          <w:lang w:eastAsia="fr-CH"/>
        </w:rPr>
        <w:t>e</w:t>
      </w:r>
      <w:r w:rsidR="00274E28" w:rsidRPr="00B91530">
        <w:rPr>
          <w:lang w:eastAsia="fr-CH"/>
        </w:rPr>
        <w:t>ment ce qui suit</w:t>
      </w:r>
      <w:r w:rsidR="00415DD9" w:rsidRPr="00B91530">
        <w:rPr>
          <w:lang w:eastAsia="fr-CH"/>
        </w:rPr>
        <w:t>:</w:t>
      </w:r>
    </w:p>
    <w:p w14:paraId="38824EA5" w14:textId="464060D9" w:rsidR="00415DD9" w:rsidRPr="00B91530" w:rsidRDefault="00415DD9" w:rsidP="00A70B2E">
      <w:pPr>
        <w:pStyle w:val="enumlev1"/>
        <w:rPr>
          <w:lang w:eastAsia="fr-CH"/>
        </w:rPr>
      </w:pPr>
      <w:r w:rsidRPr="00B91530">
        <w:rPr>
          <w:lang w:eastAsia="fr-CH"/>
        </w:rPr>
        <w:t>–</w:t>
      </w:r>
      <w:r w:rsidRPr="00B91530">
        <w:rPr>
          <w:lang w:eastAsia="fr-CH"/>
        </w:rPr>
        <w:tab/>
      </w:r>
      <w:r w:rsidR="00274E28" w:rsidRPr="00B91530">
        <w:rPr>
          <w:lang w:eastAsia="fr-CH"/>
        </w:rPr>
        <w:t xml:space="preserve">L'obligation de fournir les renseignements de notification au titre du numéro </w:t>
      </w:r>
      <w:r w:rsidR="00274E28" w:rsidRPr="00B91530">
        <w:rPr>
          <w:b/>
          <w:bCs/>
          <w:lang w:eastAsia="fr-CH"/>
        </w:rPr>
        <w:t>11.2</w:t>
      </w:r>
      <w:r w:rsidR="00274E28" w:rsidRPr="00B91530">
        <w:rPr>
          <w:lang w:eastAsia="fr-CH"/>
        </w:rPr>
        <w:t xml:space="preserve"> du RR dans le délai réglementaire de sept ans</w:t>
      </w:r>
      <w:r w:rsidR="00A815D6" w:rsidRPr="00B91530">
        <w:rPr>
          <w:lang w:eastAsia="fr-CH"/>
        </w:rPr>
        <w:t>,</w:t>
      </w:r>
      <w:r w:rsidR="00B66628" w:rsidRPr="00B91530">
        <w:rPr>
          <w:lang w:eastAsia="fr-CH"/>
        </w:rPr>
        <w:t xml:space="preserve"> </w:t>
      </w:r>
      <w:r w:rsidR="00A815D6" w:rsidRPr="00B91530">
        <w:rPr>
          <w:lang w:eastAsia="fr-CH"/>
        </w:rPr>
        <w:t>bien qu'elle ne soit</w:t>
      </w:r>
      <w:r w:rsidR="00B66628" w:rsidRPr="00B91530">
        <w:rPr>
          <w:lang w:eastAsia="fr-CH"/>
        </w:rPr>
        <w:t xml:space="preserve"> </w:t>
      </w:r>
      <w:r w:rsidR="00274E28" w:rsidRPr="00B91530">
        <w:rPr>
          <w:lang w:eastAsia="fr-CH"/>
        </w:rPr>
        <w:t xml:space="preserve">pas expressément </w:t>
      </w:r>
      <w:r w:rsidR="00A815D6" w:rsidRPr="00B91530">
        <w:rPr>
          <w:lang w:eastAsia="fr-CH"/>
        </w:rPr>
        <w:t xml:space="preserve">traitée </w:t>
      </w:r>
      <w:r w:rsidR="00274E28" w:rsidRPr="00B91530">
        <w:rPr>
          <w:lang w:eastAsia="fr-CH"/>
        </w:rPr>
        <w:t>dans la Règle de procédure susmentionnée</w:t>
      </w:r>
      <w:r w:rsidR="00A815D6" w:rsidRPr="00B91530">
        <w:rPr>
          <w:lang w:eastAsia="fr-CH"/>
        </w:rPr>
        <w:t>, reste inchangée</w:t>
      </w:r>
      <w:r w:rsidR="00274E28" w:rsidRPr="00B91530">
        <w:rPr>
          <w:lang w:eastAsia="fr-CH"/>
        </w:rPr>
        <w:t>. Selon notre interprétation, les caractéristiques définitives des assignations de fréquence d</w:t>
      </w:r>
      <w:r w:rsidR="0073119B" w:rsidRPr="00B91530">
        <w:rPr>
          <w:lang w:eastAsia="fr-CH"/>
        </w:rPr>
        <w:t>'</w:t>
      </w:r>
      <w:r w:rsidR="00274E28" w:rsidRPr="00B91530">
        <w:rPr>
          <w:lang w:eastAsia="fr-CH"/>
        </w:rPr>
        <w:t>un réseau à satellite ou d</w:t>
      </w:r>
      <w:r w:rsidR="0073119B" w:rsidRPr="00B91530">
        <w:rPr>
          <w:lang w:eastAsia="fr-CH"/>
        </w:rPr>
        <w:t>'</w:t>
      </w:r>
      <w:r w:rsidR="00274E28" w:rsidRPr="00B91530">
        <w:rPr>
          <w:lang w:eastAsia="fr-CH"/>
        </w:rPr>
        <w:t xml:space="preserve">un système à satellites pour lequel une prorogation a été accordée </w:t>
      </w:r>
      <w:r w:rsidR="00A815D6" w:rsidRPr="00B91530">
        <w:rPr>
          <w:lang w:eastAsia="fr-CH"/>
        </w:rPr>
        <w:t>en raison d'un cas</w:t>
      </w:r>
      <w:r w:rsidR="00274E28" w:rsidRPr="00B91530">
        <w:rPr>
          <w:lang w:eastAsia="fr-CH"/>
        </w:rPr>
        <w:t xml:space="preserve"> de force majeure ou d</w:t>
      </w:r>
      <w:r w:rsidR="00A815D6" w:rsidRPr="00B91530">
        <w:rPr>
          <w:lang w:eastAsia="fr-CH"/>
        </w:rPr>
        <w:t xml:space="preserve">'un </w:t>
      </w:r>
      <w:r w:rsidR="00274E28" w:rsidRPr="00B91530">
        <w:rPr>
          <w:lang w:eastAsia="fr-CH"/>
        </w:rPr>
        <w:t>retard dû à l</w:t>
      </w:r>
      <w:r w:rsidR="0073119B" w:rsidRPr="00B91530">
        <w:rPr>
          <w:lang w:eastAsia="fr-CH"/>
        </w:rPr>
        <w:t>'</w:t>
      </w:r>
      <w:r w:rsidR="00274E28" w:rsidRPr="00B91530">
        <w:rPr>
          <w:lang w:eastAsia="fr-CH"/>
        </w:rPr>
        <w:t>embarquement d</w:t>
      </w:r>
      <w:r w:rsidR="0073119B" w:rsidRPr="00B91530">
        <w:rPr>
          <w:lang w:eastAsia="fr-CH"/>
        </w:rPr>
        <w:t>'</w:t>
      </w:r>
      <w:r w:rsidR="00274E28" w:rsidRPr="00B91530">
        <w:rPr>
          <w:lang w:eastAsia="fr-CH"/>
        </w:rPr>
        <w:t>un autre satellite sur le même lanceur sont connues de l</w:t>
      </w:r>
      <w:r w:rsidR="0073119B" w:rsidRPr="00B91530">
        <w:rPr>
          <w:lang w:eastAsia="fr-CH"/>
        </w:rPr>
        <w:t>'</w:t>
      </w:r>
      <w:r w:rsidR="00274E28" w:rsidRPr="00B91530">
        <w:rPr>
          <w:lang w:eastAsia="fr-CH"/>
        </w:rPr>
        <w:t>opérateur/l</w:t>
      </w:r>
      <w:r w:rsidR="0073119B" w:rsidRPr="00B91530">
        <w:rPr>
          <w:lang w:eastAsia="fr-CH"/>
        </w:rPr>
        <w:t>'</w:t>
      </w:r>
      <w:r w:rsidR="00274E28" w:rsidRPr="00B91530">
        <w:rPr>
          <w:lang w:eastAsia="fr-CH"/>
        </w:rPr>
        <w:t xml:space="preserve">administration notificatrice au moment où </w:t>
      </w:r>
      <w:r w:rsidR="00B66628" w:rsidRPr="00B91530">
        <w:rPr>
          <w:lang w:eastAsia="fr-CH"/>
        </w:rPr>
        <w:t xml:space="preserve">il/elle soumet la </w:t>
      </w:r>
      <w:r w:rsidR="00274E28" w:rsidRPr="00B91530">
        <w:rPr>
          <w:lang w:eastAsia="fr-CH"/>
        </w:rPr>
        <w:t xml:space="preserve">demande </w:t>
      </w:r>
      <w:r w:rsidR="00B66628" w:rsidRPr="00B91530">
        <w:rPr>
          <w:lang w:eastAsia="fr-CH"/>
        </w:rPr>
        <w:t xml:space="preserve">de </w:t>
      </w:r>
      <w:r w:rsidR="00274E28" w:rsidRPr="00B91530">
        <w:rPr>
          <w:lang w:eastAsia="fr-CH"/>
        </w:rPr>
        <w:t>prorogation du délai réglementaire.</w:t>
      </w:r>
    </w:p>
    <w:p w14:paraId="7A16E2BC" w14:textId="610CDC92" w:rsidR="00415DD9" w:rsidRPr="00B91530" w:rsidRDefault="00415DD9" w:rsidP="00A70B2E">
      <w:pPr>
        <w:pStyle w:val="enumlev1"/>
        <w:rPr>
          <w:lang w:eastAsia="fr-CH"/>
        </w:rPr>
      </w:pPr>
      <w:r w:rsidRPr="00B91530">
        <w:rPr>
          <w:lang w:eastAsia="fr-CH"/>
        </w:rPr>
        <w:t>–</w:t>
      </w:r>
      <w:r w:rsidRPr="00B91530">
        <w:rPr>
          <w:lang w:eastAsia="fr-CH"/>
        </w:rPr>
        <w:tab/>
      </w:r>
      <w:r w:rsidR="00A815D6" w:rsidRPr="00B91530">
        <w:rPr>
          <w:lang w:eastAsia="fr-CH"/>
        </w:rPr>
        <w:t>Il se peut que le</w:t>
      </w:r>
      <w:r w:rsidR="004F750B" w:rsidRPr="00B91530">
        <w:rPr>
          <w:lang w:eastAsia="fr-CH"/>
        </w:rPr>
        <w:t>s</w:t>
      </w:r>
      <w:r w:rsidR="00A815D6" w:rsidRPr="00B91530">
        <w:rPr>
          <w:lang w:eastAsia="fr-CH"/>
        </w:rPr>
        <w:t xml:space="preserve"> </w:t>
      </w:r>
      <w:r w:rsidR="00B66628" w:rsidRPr="00B91530">
        <w:rPr>
          <w:lang w:eastAsia="fr-CH"/>
        </w:rPr>
        <w:t xml:space="preserve">renseignements fournis au titre de la Résolution </w:t>
      </w:r>
      <w:r w:rsidR="00B66628" w:rsidRPr="00B91530">
        <w:rPr>
          <w:b/>
          <w:bCs/>
          <w:lang w:eastAsia="fr-CH"/>
        </w:rPr>
        <w:t>49 (Rév.CMR-19)</w:t>
      </w:r>
      <w:r w:rsidR="00B66628" w:rsidRPr="00B91530">
        <w:rPr>
          <w:lang w:eastAsia="fr-CH"/>
        </w:rPr>
        <w:t xml:space="preserve"> avant ou peu après l</w:t>
      </w:r>
      <w:r w:rsidR="0073119B" w:rsidRPr="00B91530">
        <w:rPr>
          <w:lang w:eastAsia="fr-CH"/>
        </w:rPr>
        <w:t>'</w:t>
      </w:r>
      <w:r w:rsidR="00B66628" w:rsidRPr="00B91530">
        <w:rPr>
          <w:lang w:eastAsia="fr-CH"/>
        </w:rPr>
        <w:t>octroi d</w:t>
      </w:r>
      <w:r w:rsidR="0073119B" w:rsidRPr="00B91530">
        <w:rPr>
          <w:lang w:eastAsia="fr-CH"/>
        </w:rPr>
        <w:t>'</w:t>
      </w:r>
      <w:r w:rsidR="00B66628" w:rsidRPr="00B91530">
        <w:rPr>
          <w:lang w:eastAsia="fr-CH"/>
        </w:rPr>
        <w:t>une prorogation</w:t>
      </w:r>
      <w:r w:rsidR="00A815D6" w:rsidRPr="00B91530">
        <w:rPr>
          <w:lang w:eastAsia="fr-CH"/>
        </w:rPr>
        <w:t xml:space="preserve"> </w:t>
      </w:r>
      <w:r w:rsidR="00F61D3B" w:rsidRPr="00B91530">
        <w:rPr>
          <w:lang w:eastAsia="fr-CH"/>
        </w:rPr>
        <w:t xml:space="preserve">ne </w:t>
      </w:r>
      <w:r w:rsidR="00A815D6" w:rsidRPr="00B91530">
        <w:rPr>
          <w:lang w:eastAsia="fr-CH"/>
        </w:rPr>
        <w:t xml:space="preserve">soient </w:t>
      </w:r>
      <w:r w:rsidR="00B66628" w:rsidRPr="00B91530">
        <w:rPr>
          <w:lang w:eastAsia="fr-CH"/>
        </w:rPr>
        <w:t xml:space="preserve">plus exacts en raison de la situation </w:t>
      </w:r>
      <w:r w:rsidR="00F61D3B" w:rsidRPr="00B91530">
        <w:rPr>
          <w:lang w:eastAsia="fr-CH"/>
        </w:rPr>
        <w:t>(force majeure ou retard dû à l</w:t>
      </w:r>
      <w:r w:rsidR="0073119B" w:rsidRPr="00B91530">
        <w:rPr>
          <w:lang w:eastAsia="fr-CH"/>
        </w:rPr>
        <w:t>'</w:t>
      </w:r>
      <w:r w:rsidR="00F61D3B" w:rsidRPr="00B91530">
        <w:rPr>
          <w:lang w:eastAsia="fr-CH"/>
        </w:rPr>
        <w:t>embarquement d</w:t>
      </w:r>
      <w:r w:rsidR="0073119B" w:rsidRPr="00B91530">
        <w:rPr>
          <w:lang w:eastAsia="fr-CH"/>
        </w:rPr>
        <w:t>'</w:t>
      </w:r>
      <w:r w:rsidR="00F61D3B" w:rsidRPr="00B91530">
        <w:rPr>
          <w:lang w:eastAsia="fr-CH"/>
        </w:rPr>
        <w:t>un autre satellite sur le même lanceur)</w:t>
      </w:r>
      <w:r w:rsidR="00B66628" w:rsidRPr="00B91530">
        <w:rPr>
          <w:lang w:eastAsia="fr-CH"/>
        </w:rPr>
        <w:t xml:space="preserve"> </w:t>
      </w:r>
      <w:r w:rsidR="00A815D6" w:rsidRPr="00B91530">
        <w:rPr>
          <w:lang w:eastAsia="fr-CH"/>
        </w:rPr>
        <w:t xml:space="preserve">justifiant la prorogation </w:t>
      </w:r>
      <w:r w:rsidR="00B66628" w:rsidRPr="00B91530">
        <w:rPr>
          <w:lang w:eastAsia="fr-CH"/>
        </w:rPr>
        <w:t xml:space="preserve">et </w:t>
      </w:r>
      <w:r w:rsidR="00A815D6" w:rsidRPr="00B91530">
        <w:rPr>
          <w:lang w:eastAsia="fr-CH"/>
        </w:rPr>
        <w:t>qu'ils doivent</w:t>
      </w:r>
      <w:r w:rsidR="00B66628" w:rsidRPr="00B91530">
        <w:rPr>
          <w:lang w:eastAsia="fr-CH"/>
        </w:rPr>
        <w:t xml:space="preserve"> être mis à jour ultérieurement.</w:t>
      </w:r>
    </w:p>
    <w:p w14:paraId="3FC47769" w14:textId="44A87F4E" w:rsidR="00415DD9" w:rsidRPr="00B91530" w:rsidRDefault="00415DD9" w:rsidP="00A70B2E">
      <w:pPr>
        <w:pStyle w:val="enumlev1"/>
        <w:rPr>
          <w:lang w:eastAsia="fr-CH"/>
        </w:rPr>
      </w:pPr>
      <w:r w:rsidRPr="00B91530">
        <w:rPr>
          <w:lang w:eastAsia="fr-CH"/>
        </w:rPr>
        <w:t>–</w:t>
      </w:r>
      <w:r w:rsidRPr="00B91530">
        <w:rPr>
          <w:lang w:eastAsia="fr-CH"/>
        </w:rPr>
        <w:tab/>
      </w:r>
      <w:r w:rsidR="00B66628" w:rsidRPr="00B91530">
        <w:rPr>
          <w:lang w:eastAsia="fr-CH"/>
        </w:rPr>
        <w:t>Suite à la décision du Comité de proroger le délai réglementaire applicable à la mise en service, l</w:t>
      </w:r>
      <w:r w:rsidR="0073119B" w:rsidRPr="00B91530">
        <w:rPr>
          <w:lang w:eastAsia="fr-CH"/>
        </w:rPr>
        <w:t>'</w:t>
      </w:r>
      <w:r w:rsidR="00B66628" w:rsidRPr="00B91530">
        <w:rPr>
          <w:lang w:eastAsia="fr-CH"/>
        </w:rPr>
        <w:t>opérateur/l</w:t>
      </w:r>
      <w:r w:rsidR="0073119B" w:rsidRPr="00B91530">
        <w:rPr>
          <w:lang w:eastAsia="fr-CH"/>
        </w:rPr>
        <w:t>'</w:t>
      </w:r>
      <w:r w:rsidR="00B66628" w:rsidRPr="00B91530">
        <w:rPr>
          <w:lang w:eastAsia="fr-CH"/>
        </w:rPr>
        <w:t>administration notificatrice aura peut-être besoin d</w:t>
      </w:r>
      <w:r w:rsidR="0073119B" w:rsidRPr="00B91530">
        <w:rPr>
          <w:lang w:eastAsia="fr-CH"/>
        </w:rPr>
        <w:t>'</w:t>
      </w:r>
      <w:r w:rsidR="00B66628" w:rsidRPr="00B91530">
        <w:rPr>
          <w:lang w:eastAsia="fr-CH"/>
        </w:rPr>
        <w:t xml:space="preserve">un délai supplémentaire pour </w:t>
      </w:r>
      <w:r w:rsidR="00A815D6" w:rsidRPr="00B91530">
        <w:rPr>
          <w:lang w:eastAsia="fr-CH"/>
        </w:rPr>
        <w:t>régler les derniers détails</w:t>
      </w:r>
      <w:r w:rsidR="00A815D6" w:rsidRPr="00B91530" w:rsidDel="00A815D6">
        <w:rPr>
          <w:lang w:eastAsia="fr-CH"/>
        </w:rPr>
        <w:t xml:space="preserve"> </w:t>
      </w:r>
      <w:r w:rsidR="00A815D6" w:rsidRPr="00B91530">
        <w:rPr>
          <w:lang w:eastAsia="fr-CH"/>
        </w:rPr>
        <w:t>associés</w:t>
      </w:r>
      <w:r w:rsidR="00B66628" w:rsidRPr="00B91530">
        <w:rPr>
          <w:lang w:eastAsia="fr-CH"/>
        </w:rPr>
        <w:t xml:space="preserve"> au lancement du satellite </w:t>
      </w:r>
      <w:r w:rsidR="00D52C96" w:rsidRPr="00B91530">
        <w:rPr>
          <w:lang w:eastAsia="fr-CH"/>
        </w:rPr>
        <w:t>pour une soumission</w:t>
      </w:r>
      <w:r w:rsidR="00B66628" w:rsidRPr="00B91530">
        <w:rPr>
          <w:lang w:eastAsia="fr-CH"/>
        </w:rPr>
        <w:t xml:space="preserve"> au titre de la Résolution </w:t>
      </w:r>
      <w:r w:rsidR="00B66628" w:rsidRPr="00B91530">
        <w:rPr>
          <w:b/>
          <w:bCs/>
          <w:lang w:eastAsia="fr-CH"/>
        </w:rPr>
        <w:t>49 (Rév.CMR-19)</w:t>
      </w:r>
      <w:r w:rsidRPr="00B91530">
        <w:rPr>
          <w:lang w:eastAsia="fr-CH"/>
        </w:rPr>
        <w:t>.</w:t>
      </w:r>
    </w:p>
    <w:p w14:paraId="1BACADCE" w14:textId="2458D5E3" w:rsidR="00D56B86" w:rsidRPr="00B91530" w:rsidRDefault="004B7EA5" w:rsidP="00A70B2E">
      <w:pPr>
        <w:rPr>
          <w:lang w:eastAsia="fr-CH"/>
        </w:rPr>
      </w:pPr>
      <w:r w:rsidRPr="00B91530">
        <w:rPr>
          <w:lang w:eastAsia="fr-CH"/>
        </w:rPr>
        <w:t xml:space="preserve">Dans ce contexte, une approche simple aurait consisté à accorder une prorogation automatique du délai applicable à la fourniture des renseignements </w:t>
      </w:r>
      <w:r w:rsidR="00D52C96" w:rsidRPr="00B91530">
        <w:rPr>
          <w:lang w:eastAsia="fr-CH"/>
        </w:rPr>
        <w:t xml:space="preserve">requis </w:t>
      </w:r>
      <w:r w:rsidRPr="00B91530">
        <w:rPr>
          <w:lang w:eastAsia="fr-CH"/>
        </w:rPr>
        <w:t xml:space="preserve">au titre de la Résolution </w:t>
      </w:r>
      <w:r w:rsidRPr="00B91530">
        <w:rPr>
          <w:b/>
          <w:bCs/>
          <w:lang w:eastAsia="fr-CH"/>
        </w:rPr>
        <w:t xml:space="preserve">49 </w:t>
      </w:r>
      <w:r w:rsidRPr="00B91530">
        <w:rPr>
          <w:lang w:eastAsia="fr-CH"/>
        </w:rPr>
        <w:t>au moment de l</w:t>
      </w:r>
      <w:r w:rsidR="0073119B" w:rsidRPr="00B91530">
        <w:rPr>
          <w:lang w:eastAsia="fr-CH"/>
        </w:rPr>
        <w:t>'</w:t>
      </w:r>
      <w:r w:rsidRPr="00B91530">
        <w:rPr>
          <w:lang w:eastAsia="fr-CH"/>
        </w:rPr>
        <w:t>octroi d</w:t>
      </w:r>
      <w:r w:rsidR="0073119B" w:rsidRPr="00B91530">
        <w:rPr>
          <w:lang w:eastAsia="fr-CH"/>
        </w:rPr>
        <w:t>'</w:t>
      </w:r>
      <w:r w:rsidRPr="00B91530">
        <w:rPr>
          <w:lang w:eastAsia="fr-CH"/>
        </w:rPr>
        <w:t xml:space="preserve">une prorogation du délai réglementaire applicable à la mise en service. Une telle approche aurait permis d'alléger la tâche des administrations et du Bureau des radiocommunications en ce qui concerne la soumission et le traitement de renseignements qui ne sont plus exacts, respectivement. </w:t>
      </w:r>
      <w:r w:rsidR="00D52C96" w:rsidRPr="00B91530">
        <w:rPr>
          <w:lang w:eastAsia="fr-CH"/>
        </w:rPr>
        <w:t>Elle</w:t>
      </w:r>
      <w:r w:rsidRPr="00B91530">
        <w:rPr>
          <w:lang w:eastAsia="fr-CH"/>
        </w:rPr>
        <w:t xml:space="preserve"> aurait également permis d'éviter </w:t>
      </w:r>
      <w:r w:rsidR="00DD52FC" w:rsidRPr="00B91530">
        <w:rPr>
          <w:lang w:eastAsia="fr-CH"/>
        </w:rPr>
        <w:t>qu'</w:t>
      </w:r>
      <w:r w:rsidRPr="00B91530">
        <w:rPr>
          <w:lang w:eastAsia="fr-CH"/>
        </w:rPr>
        <w:t>une administration</w:t>
      </w:r>
      <w:r w:rsidR="00D52C96" w:rsidRPr="00B91530">
        <w:rPr>
          <w:lang w:eastAsia="fr-CH"/>
        </w:rPr>
        <w:t xml:space="preserve"> ne respecte pas un délai réglementaire parce qu'elle n'a pas connaissance de</w:t>
      </w:r>
      <w:r w:rsidRPr="00B91530">
        <w:rPr>
          <w:lang w:eastAsia="fr-CH"/>
        </w:rPr>
        <w:t xml:space="preserve"> l'obligation de fournir des renseignements actualisés au titre de la Résolution </w:t>
      </w:r>
      <w:r w:rsidRPr="00B91530">
        <w:rPr>
          <w:b/>
          <w:bCs/>
          <w:lang w:eastAsia="fr-CH"/>
        </w:rPr>
        <w:t>49 (Rév.CMR-19)</w:t>
      </w:r>
      <w:r w:rsidRPr="00B91530">
        <w:rPr>
          <w:lang w:eastAsia="fr-CH"/>
        </w:rPr>
        <w:t>, comme indiqué dans les Règles de procédure relatives au numéro</w:t>
      </w:r>
      <w:r w:rsidR="008469FD" w:rsidRPr="00B91530">
        <w:rPr>
          <w:lang w:eastAsia="fr-CH"/>
        </w:rPr>
        <w:t> </w:t>
      </w:r>
      <w:r w:rsidRPr="00B91530">
        <w:rPr>
          <w:b/>
          <w:bCs/>
          <w:lang w:eastAsia="fr-CH"/>
        </w:rPr>
        <w:t>11.48</w:t>
      </w:r>
      <w:r w:rsidRPr="00B91530">
        <w:rPr>
          <w:lang w:eastAsia="fr-CH"/>
        </w:rPr>
        <w:t xml:space="preserve"> du RR</w:t>
      </w:r>
      <w:r w:rsidR="00EA1DB8" w:rsidRPr="00B91530">
        <w:rPr>
          <w:lang w:eastAsia="fr-CH"/>
        </w:rPr>
        <w:t>.</w:t>
      </w:r>
    </w:p>
    <w:p w14:paraId="37124EA0" w14:textId="75451C5B" w:rsidR="00DD52FC" w:rsidRPr="00B91530" w:rsidRDefault="00DD52FC" w:rsidP="00A70B2E">
      <w:pPr>
        <w:rPr>
          <w:lang w:eastAsia="fr-CH"/>
        </w:rPr>
      </w:pPr>
      <w:r w:rsidRPr="00B91530">
        <w:rPr>
          <w:lang w:eastAsia="fr-CH"/>
        </w:rPr>
        <w:t xml:space="preserve">En outre, le Canada note que le numéro </w:t>
      </w:r>
      <w:r w:rsidRPr="00B91530">
        <w:rPr>
          <w:b/>
          <w:bCs/>
          <w:lang w:eastAsia="fr-CH"/>
        </w:rPr>
        <w:t>11.48</w:t>
      </w:r>
      <w:r w:rsidRPr="00B91530">
        <w:rPr>
          <w:lang w:eastAsia="fr-CH"/>
        </w:rPr>
        <w:t xml:space="preserve"> du RR </w:t>
      </w:r>
      <w:r w:rsidR="00EF3A0B" w:rsidRPr="00B91530">
        <w:rPr>
          <w:lang w:eastAsia="fr-CH"/>
        </w:rPr>
        <w:t xml:space="preserve">ne fixe </w:t>
      </w:r>
      <w:r w:rsidRPr="00B91530">
        <w:rPr>
          <w:lang w:eastAsia="fr-CH"/>
        </w:rPr>
        <w:t xml:space="preserve">pas de prescriptions particulières concernant la mise à jour des renseignements au titre de la Résolution </w:t>
      </w:r>
      <w:r w:rsidRPr="00B91530">
        <w:rPr>
          <w:b/>
          <w:bCs/>
          <w:lang w:eastAsia="fr-CH"/>
        </w:rPr>
        <w:t>49 (Rév.CMR-19)</w:t>
      </w:r>
      <w:r w:rsidR="0036175A" w:rsidRPr="00B91530">
        <w:rPr>
          <w:lang w:eastAsia="fr-CH"/>
        </w:rPr>
        <w:t>,</w:t>
      </w:r>
      <w:r w:rsidRPr="00B91530">
        <w:rPr>
          <w:lang w:eastAsia="fr-CH"/>
        </w:rPr>
        <w:t xml:space="preserve"> qui pourraient être soumis à un stade très précoce du délai réglementaire.</w:t>
      </w:r>
      <w:r w:rsidR="0036175A" w:rsidRPr="00B91530">
        <w:rPr>
          <w:lang w:eastAsia="fr-CH"/>
        </w:rPr>
        <w:t xml:space="preserve"> </w:t>
      </w:r>
      <w:r w:rsidR="00EF3A0B" w:rsidRPr="00B91530">
        <w:rPr>
          <w:lang w:eastAsia="fr-CH"/>
        </w:rPr>
        <w:t>Au reste</w:t>
      </w:r>
      <w:r w:rsidR="0036175A" w:rsidRPr="00B91530">
        <w:rPr>
          <w:lang w:eastAsia="fr-CH"/>
        </w:rPr>
        <w:t>, le Canada note également qu</w:t>
      </w:r>
      <w:r w:rsidR="0073119B" w:rsidRPr="00B91530">
        <w:rPr>
          <w:lang w:eastAsia="fr-CH"/>
        </w:rPr>
        <w:t>'</w:t>
      </w:r>
      <w:r w:rsidR="0036175A" w:rsidRPr="00B91530">
        <w:rPr>
          <w:lang w:eastAsia="fr-CH"/>
        </w:rPr>
        <w:t xml:space="preserve">il </w:t>
      </w:r>
      <w:r w:rsidR="00EF3A0B" w:rsidRPr="00B91530">
        <w:rPr>
          <w:lang w:eastAsia="fr-CH"/>
        </w:rPr>
        <w:t xml:space="preserve">que cette </w:t>
      </w:r>
      <w:r w:rsidR="0036175A" w:rsidRPr="00B91530">
        <w:rPr>
          <w:lang w:eastAsia="fr-CH"/>
        </w:rPr>
        <w:t xml:space="preserve">obligation de mettre à jour </w:t>
      </w:r>
      <w:r w:rsidR="004355F4" w:rsidRPr="00B91530">
        <w:rPr>
          <w:lang w:eastAsia="fr-CH"/>
        </w:rPr>
        <w:t xml:space="preserve">les renseignement </w:t>
      </w:r>
      <w:r w:rsidR="00EF3A0B" w:rsidRPr="00B91530">
        <w:rPr>
          <w:lang w:eastAsia="fr-CH"/>
        </w:rPr>
        <w:t xml:space="preserve">requis </w:t>
      </w:r>
      <w:r w:rsidR="004355F4" w:rsidRPr="00B91530">
        <w:rPr>
          <w:lang w:eastAsia="fr-CH"/>
        </w:rPr>
        <w:t xml:space="preserve">au titre de </w:t>
      </w:r>
      <w:r w:rsidR="0036175A" w:rsidRPr="00B91530">
        <w:rPr>
          <w:lang w:eastAsia="fr-CH"/>
        </w:rPr>
        <w:t xml:space="preserve">la Résolution </w:t>
      </w:r>
      <w:r w:rsidR="0036175A" w:rsidRPr="00B91530">
        <w:rPr>
          <w:b/>
          <w:bCs/>
          <w:lang w:eastAsia="fr-CH"/>
        </w:rPr>
        <w:t>49</w:t>
      </w:r>
      <w:r w:rsidR="0036175A" w:rsidRPr="00B91530">
        <w:rPr>
          <w:lang w:eastAsia="fr-CH"/>
        </w:rPr>
        <w:t xml:space="preserve"> en cas de demande de prorogation du délai réglementaire applicable à la mise en service à la suite d</w:t>
      </w:r>
      <w:r w:rsidR="0073119B" w:rsidRPr="00B91530">
        <w:rPr>
          <w:lang w:eastAsia="fr-CH"/>
        </w:rPr>
        <w:t>'</w:t>
      </w:r>
      <w:r w:rsidR="0036175A" w:rsidRPr="00B91530">
        <w:rPr>
          <w:lang w:eastAsia="fr-CH"/>
        </w:rPr>
        <w:t>un échec de lancement</w:t>
      </w:r>
      <w:r w:rsidR="00EF3A0B" w:rsidRPr="00B91530">
        <w:rPr>
          <w:lang w:eastAsia="fr-CH"/>
        </w:rPr>
        <w:t xml:space="preserve"> existe dans les Appendices </w:t>
      </w:r>
      <w:r w:rsidR="00EF3A0B" w:rsidRPr="00B91530">
        <w:rPr>
          <w:b/>
          <w:bCs/>
          <w:lang w:eastAsia="fr-CH"/>
        </w:rPr>
        <w:t>30</w:t>
      </w:r>
      <w:r w:rsidR="00EF3A0B" w:rsidRPr="00B91530">
        <w:rPr>
          <w:lang w:eastAsia="fr-CH"/>
        </w:rPr>
        <w:t xml:space="preserve">, </w:t>
      </w:r>
      <w:r w:rsidR="00EF3A0B" w:rsidRPr="00B91530">
        <w:rPr>
          <w:b/>
          <w:bCs/>
          <w:lang w:eastAsia="fr-CH"/>
        </w:rPr>
        <w:t>30A</w:t>
      </w:r>
      <w:r w:rsidR="00EF3A0B" w:rsidRPr="00B91530">
        <w:rPr>
          <w:lang w:eastAsia="fr-CH"/>
        </w:rPr>
        <w:t xml:space="preserve"> et </w:t>
      </w:r>
      <w:r w:rsidR="00EF3A0B" w:rsidRPr="00B91530">
        <w:rPr>
          <w:b/>
          <w:bCs/>
          <w:lang w:eastAsia="fr-CH"/>
        </w:rPr>
        <w:t>30B</w:t>
      </w:r>
      <w:r w:rsidR="00EF3A0B" w:rsidRPr="00B91530">
        <w:rPr>
          <w:lang w:eastAsia="fr-CH"/>
        </w:rPr>
        <w:t xml:space="preserve"> du RR</w:t>
      </w:r>
      <w:r w:rsidR="0036175A" w:rsidRPr="00B91530">
        <w:rPr>
          <w:lang w:eastAsia="fr-CH"/>
        </w:rPr>
        <w:t>. Dans la mesure où il</w:t>
      </w:r>
      <w:r w:rsidR="00EF3A0B" w:rsidRPr="00B91530">
        <w:rPr>
          <w:lang w:eastAsia="fr-CH"/>
        </w:rPr>
        <w:t xml:space="preserve"> n'y a </w:t>
      </w:r>
      <w:r w:rsidR="0036175A" w:rsidRPr="00B91530">
        <w:rPr>
          <w:lang w:eastAsia="fr-CH"/>
        </w:rPr>
        <w:t xml:space="preserve">peut-être aucune raison </w:t>
      </w:r>
      <w:r w:rsidR="00EF3A0B" w:rsidRPr="00B91530">
        <w:rPr>
          <w:lang w:eastAsia="fr-CH"/>
        </w:rPr>
        <w:t>pour laquelle</w:t>
      </w:r>
      <w:r w:rsidR="0036175A" w:rsidRPr="00B91530">
        <w:rPr>
          <w:lang w:eastAsia="fr-CH"/>
        </w:rPr>
        <w:t xml:space="preserve"> le traitement des renseignements au titre de la Résolution </w:t>
      </w:r>
      <w:r w:rsidR="0036175A" w:rsidRPr="00B91530">
        <w:rPr>
          <w:b/>
          <w:bCs/>
          <w:lang w:eastAsia="fr-CH"/>
        </w:rPr>
        <w:t>49 (Rév.CMR-19)</w:t>
      </w:r>
      <w:r w:rsidR="0036175A" w:rsidRPr="00B91530">
        <w:rPr>
          <w:lang w:eastAsia="fr-CH"/>
        </w:rPr>
        <w:t xml:space="preserve"> s</w:t>
      </w:r>
      <w:r w:rsidR="00EF3A0B" w:rsidRPr="00B91530">
        <w:rPr>
          <w:lang w:eastAsia="fr-CH"/>
        </w:rPr>
        <w:t>erait</w:t>
      </w:r>
      <w:r w:rsidR="0036175A" w:rsidRPr="00B91530">
        <w:rPr>
          <w:lang w:eastAsia="fr-CH"/>
        </w:rPr>
        <w:t xml:space="preserve"> différent pour les assignations dans les bandes de fréquences non planifiées dans le cas d</w:t>
      </w:r>
      <w:r w:rsidR="0073119B" w:rsidRPr="00B91530">
        <w:rPr>
          <w:lang w:eastAsia="fr-CH"/>
        </w:rPr>
        <w:t>'</w:t>
      </w:r>
      <w:r w:rsidR="0036175A" w:rsidRPr="00B91530">
        <w:rPr>
          <w:lang w:eastAsia="fr-CH"/>
        </w:rPr>
        <w:t>une prorogation du délai réglementaire applicable à la mise en service, le Canada comprend et appuie non seulement la Règle de procédure relative au numéro</w:t>
      </w:r>
      <w:r w:rsidR="008469FD" w:rsidRPr="00B91530">
        <w:rPr>
          <w:lang w:eastAsia="fr-CH"/>
        </w:rPr>
        <w:t> </w:t>
      </w:r>
      <w:r w:rsidR="0036175A" w:rsidRPr="00B91530">
        <w:rPr>
          <w:b/>
          <w:bCs/>
          <w:lang w:eastAsia="fr-CH"/>
        </w:rPr>
        <w:t>11.48</w:t>
      </w:r>
      <w:r w:rsidR="0036175A" w:rsidRPr="00B91530">
        <w:rPr>
          <w:lang w:eastAsia="fr-CH"/>
        </w:rPr>
        <w:t xml:space="preserve"> du RR, mais reconnaît également la nécessité d</w:t>
      </w:r>
      <w:r w:rsidR="0073119B" w:rsidRPr="00B91530">
        <w:rPr>
          <w:lang w:eastAsia="fr-CH"/>
        </w:rPr>
        <w:t>'</w:t>
      </w:r>
      <w:r w:rsidR="0036175A" w:rsidRPr="00B91530">
        <w:rPr>
          <w:lang w:eastAsia="fr-CH"/>
        </w:rPr>
        <w:t>attirer l</w:t>
      </w:r>
      <w:r w:rsidR="0073119B" w:rsidRPr="00B91530">
        <w:rPr>
          <w:lang w:eastAsia="fr-CH"/>
        </w:rPr>
        <w:t>'</w:t>
      </w:r>
      <w:r w:rsidR="0036175A" w:rsidRPr="00B91530">
        <w:rPr>
          <w:lang w:eastAsia="fr-CH"/>
        </w:rPr>
        <w:t>attention des administrations sur le fait qu</w:t>
      </w:r>
      <w:r w:rsidR="0073119B" w:rsidRPr="00B91530">
        <w:rPr>
          <w:lang w:eastAsia="fr-CH"/>
        </w:rPr>
        <w:t>'</w:t>
      </w:r>
      <w:r w:rsidR="0036175A" w:rsidRPr="00B91530">
        <w:rPr>
          <w:lang w:eastAsia="fr-CH"/>
        </w:rPr>
        <w:t xml:space="preserve">une prorogation du délai réglementaire applicable à la mise en service des assignations de fréquence </w:t>
      </w:r>
      <w:r w:rsidR="00EF3A0B" w:rsidRPr="00B91530">
        <w:rPr>
          <w:lang w:eastAsia="fr-CH"/>
        </w:rPr>
        <w:t>d'</w:t>
      </w:r>
      <w:r w:rsidR="0036175A" w:rsidRPr="00B91530">
        <w:rPr>
          <w:lang w:eastAsia="fr-CH"/>
        </w:rPr>
        <w:t xml:space="preserve">un réseau à satellite ou </w:t>
      </w:r>
      <w:r w:rsidR="00EF3A0B" w:rsidRPr="00B91530">
        <w:rPr>
          <w:lang w:eastAsia="fr-CH"/>
        </w:rPr>
        <w:t>d'</w:t>
      </w:r>
      <w:r w:rsidR="0036175A" w:rsidRPr="00B91530">
        <w:rPr>
          <w:lang w:eastAsia="fr-CH"/>
        </w:rPr>
        <w:t>un système à satellites n'entraîne pas la prorogation automatique des délais fixés dans les dispositions pertinentes du Règlement des radiocommunications (RR), qui continuent de s</w:t>
      </w:r>
      <w:r w:rsidR="0073119B" w:rsidRPr="00B91530">
        <w:rPr>
          <w:lang w:eastAsia="fr-CH"/>
        </w:rPr>
        <w:t>'</w:t>
      </w:r>
      <w:r w:rsidR="0036175A" w:rsidRPr="00B91530">
        <w:rPr>
          <w:lang w:eastAsia="fr-CH"/>
        </w:rPr>
        <w:t>appliquer, sauf indication contraire dans une décision du RRB ou</w:t>
      </w:r>
      <w:r w:rsidR="00EF3A0B" w:rsidRPr="00B91530">
        <w:rPr>
          <w:lang w:eastAsia="fr-CH"/>
        </w:rPr>
        <w:t xml:space="preserve"> </w:t>
      </w:r>
      <w:r w:rsidR="0036175A" w:rsidRPr="00B91530">
        <w:rPr>
          <w:lang w:eastAsia="fr-CH"/>
        </w:rPr>
        <w:t>une Règle de procédure.</w:t>
      </w:r>
    </w:p>
    <w:p w14:paraId="7E4CE04B" w14:textId="77777777" w:rsidR="003F7CCC" w:rsidRPr="00B91530" w:rsidRDefault="00291872" w:rsidP="00A70B2E">
      <w:pPr>
        <w:pStyle w:val="Proposal"/>
      </w:pPr>
      <w:r w:rsidRPr="00B91530">
        <w:tab/>
        <w:t>CAN/86A26/1</w:t>
      </w:r>
    </w:p>
    <w:p w14:paraId="6645ABD5" w14:textId="02CBA6F8" w:rsidR="003F7CCC" w:rsidRPr="00B91530" w:rsidRDefault="0036175A" w:rsidP="00A70B2E">
      <w:r w:rsidRPr="00B91530">
        <w:t>La Canada propose que la Conférence</w:t>
      </w:r>
      <w:r w:rsidR="00415DD9" w:rsidRPr="00B91530">
        <w:t>:</w:t>
      </w:r>
    </w:p>
    <w:p w14:paraId="740F768D" w14:textId="64B71127" w:rsidR="00415DD9" w:rsidRPr="00B91530" w:rsidRDefault="00415DD9" w:rsidP="00A70B2E">
      <w:pPr>
        <w:pStyle w:val="enumlev1"/>
      </w:pPr>
      <w:r w:rsidRPr="00B91530">
        <w:t>–</w:t>
      </w:r>
      <w:r w:rsidRPr="00B91530">
        <w:tab/>
      </w:r>
      <w:r w:rsidR="0036175A" w:rsidRPr="00B91530">
        <w:t xml:space="preserve">charge le Comité d'inclure dans la nouvelle section de la Règle de procédure consacrée aux décisions de la CMR </w:t>
      </w:r>
      <w:r w:rsidR="00EF3A0B" w:rsidRPr="00B91530">
        <w:t xml:space="preserve">des textes visant </w:t>
      </w:r>
      <w:r w:rsidR="0036175A" w:rsidRPr="00B91530">
        <w:t>à attirer l'attention des administration</w:t>
      </w:r>
      <w:r w:rsidR="004355F4" w:rsidRPr="00B91530">
        <w:t>s</w:t>
      </w:r>
      <w:r w:rsidR="0036175A" w:rsidRPr="00B91530">
        <w:t xml:space="preserve"> sur le fait qu'une prorogation du délai réglementaire applicable à la mise en service d'une </w:t>
      </w:r>
      <w:r w:rsidR="0036175A" w:rsidRPr="00B91530">
        <w:lastRenderedPageBreak/>
        <w:t>assignation de fréquence à un réseau à satellite ou à un système à satellites n'entraîne pas la prorogation automatique des délais fixés dans d'autres dispositions applicables du RR</w:t>
      </w:r>
      <w:r w:rsidR="00EF3A0B" w:rsidRPr="00B91530">
        <w:t xml:space="preserve">. </w:t>
      </w:r>
      <w:r w:rsidR="004F750B" w:rsidRPr="00B91530">
        <w:t>À</w:t>
      </w:r>
      <w:r w:rsidR="00EF3A0B" w:rsidRPr="00B91530">
        <w:t xml:space="preserve"> moins qu'une prorogation n'ait été expressément prévue par le Comité pour</w:t>
      </w:r>
      <w:r w:rsidR="004F750B" w:rsidRPr="00B91530">
        <w:t xml:space="preserve"> </w:t>
      </w:r>
      <w:r w:rsidR="00AB61F9" w:rsidRPr="00B91530">
        <w:t xml:space="preserve">telle ou telle </w:t>
      </w:r>
      <w:r w:rsidR="00EF3A0B" w:rsidRPr="00B91530">
        <w:t>disposition du RR ou des Règles de procédure, tous les autres délais réglementaires continuent de s'appliquer</w:t>
      </w:r>
      <w:r w:rsidR="008469FD" w:rsidRPr="00B91530">
        <w:t>;</w:t>
      </w:r>
      <w:r w:rsidR="00EF3A0B" w:rsidRPr="00B91530">
        <w:t xml:space="preserve"> et</w:t>
      </w:r>
    </w:p>
    <w:p w14:paraId="1553E00A" w14:textId="61EAC4BE" w:rsidR="00415DD9" w:rsidRPr="00B91530" w:rsidRDefault="00415DD9" w:rsidP="00A70B2E">
      <w:pPr>
        <w:pStyle w:val="enumlev1"/>
      </w:pPr>
      <w:r w:rsidRPr="00B91530">
        <w:t>–</w:t>
      </w:r>
      <w:r w:rsidRPr="00B91530">
        <w:tab/>
      </w:r>
      <w:r w:rsidR="00201CA5" w:rsidRPr="00B91530">
        <w:t>charge le Bureau des radiocommunications d</w:t>
      </w:r>
      <w:r w:rsidR="0073119B" w:rsidRPr="00B91530">
        <w:t>'</w:t>
      </w:r>
      <w:r w:rsidR="00201CA5" w:rsidRPr="00B91530">
        <w:t>envoyer rapidement un rappel concernant tous les délais applicables pertinents à toute administration ayant demandé et obtenu une prorogation d</w:t>
      </w:r>
      <w:r w:rsidR="0073119B" w:rsidRPr="00B91530">
        <w:t>'</w:t>
      </w:r>
      <w:r w:rsidR="00201CA5" w:rsidRPr="00B91530">
        <w:t>un délai précis</w:t>
      </w:r>
      <w:r w:rsidRPr="00B91530">
        <w:t>.</w:t>
      </w:r>
    </w:p>
    <w:p w14:paraId="19DDFDB2" w14:textId="6B16ECB5" w:rsidR="003F7CCC" w:rsidRPr="00B91530" w:rsidRDefault="00291872" w:rsidP="00A70B2E">
      <w:pPr>
        <w:pStyle w:val="Reasons"/>
      </w:pPr>
      <w:r w:rsidRPr="00B91530">
        <w:rPr>
          <w:b/>
        </w:rPr>
        <w:t>Motifs:</w:t>
      </w:r>
      <w:r w:rsidRPr="00B91530">
        <w:tab/>
      </w:r>
      <w:r w:rsidR="00201CA5" w:rsidRPr="00B91530">
        <w:t>Faire en sorte que les administrations</w:t>
      </w:r>
      <w:r w:rsidR="00AB61F9" w:rsidRPr="00B91530">
        <w:t xml:space="preserve"> connaissent et</w:t>
      </w:r>
      <w:r w:rsidR="00201CA5" w:rsidRPr="00B91530">
        <w:t xml:space="preserve"> soient</w:t>
      </w:r>
      <w:r w:rsidR="00AB61F9" w:rsidRPr="00B91530">
        <w:t xml:space="preserve"> </w:t>
      </w:r>
      <w:r w:rsidR="00201CA5" w:rsidRPr="00B91530">
        <w:t>informées officiellement de la portée de</w:t>
      </w:r>
      <w:r w:rsidR="00AB61F9" w:rsidRPr="00B91530">
        <w:t xml:space="preserve">s </w:t>
      </w:r>
      <w:r w:rsidR="00201CA5" w:rsidRPr="00B91530">
        <w:t>décision</w:t>
      </w:r>
      <w:r w:rsidR="00AB61F9" w:rsidRPr="00B91530">
        <w:t>s</w:t>
      </w:r>
      <w:r w:rsidR="00201CA5" w:rsidRPr="00B91530">
        <w:t xml:space="preserve"> </w:t>
      </w:r>
      <w:r w:rsidR="00AB61F9" w:rsidRPr="00B91530">
        <w:t xml:space="preserve">relatives à la </w:t>
      </w:r>
      <w:r w:rsidR="00201CA5" w:rsidRPr="00B91530">
        <w:t>prorogation d</w:t>
      </w:r>
      <w:r w:rsidR="00AB61F9" w:rsidRPr="00B91530">
        <w:t>'un</w:t>
      </w:r>
      <w:r w:rsidR="00201CA5" w:rsidRPr="00B91530">
        <w:t xml:space="preserve"> délai.</w:t>
      </w:r>
    </w:p>
    <w:p w14:paraId="34CECE20" w14:textId="0C81A9E9" w:rsidR="00415DD9" w:rsidRPr="00B91530" w:rsidRDefault="00415DD9" w:rsidP="00A70B2E">
      <w:pPr>
        <w:pStyle w:val="Heading2"/>
      </w:pPr>
      <w:r w:rsidRPr="00B91530">
        <w:t>2.2</w:t>
      </w:r>
      <w:r w:rsidRPr="00B91530">
        <w:tab/>
      </w:r>
      <w:r w:rsidR="00201CA5" w:rsidRPr="00B91530">
        <w:t>Situations de force majeure</w:t>
      </w:r>
    </w:p>
    <w:p w14:paraId="1A44FBA4" w14:textId="075209DD" w:rsidR="00415DD9" w:rsidRPr="00B91530" w:rsidRDefault="00415DD9" w:rsidP="00A70B2E">
      <w:pPr>
        <w:pStyle w:val="Heading3"/>
      </w:pPr>
      <w:r w:rsidRPr="00B91530">
        <w:t>2.2.1</w:t>
      </w:r>
      <w:r w:rsidR="00201CA5" w:rsidRPr="00B91530">
        <w:tab/>
        <w:t>Considérations générales et examen</w:t>
      </w:r>
    </w:p>
    <w:p w14:paraId="6F5FF52B" w14:textId="0D6FC66C" w:rsidR="00415DD9" w:rsidRPr="00B91530" w:rsidRDefault="007D2BB8" w:rsidP="00A70B2E">
      <w:r w:rsidRPr="00B91530">
        <w:t>Lorsqu</w:t>
      </w:r>
      <w:r w:rsidR="0073119B" w:rsidRPr="00B91530">
        <w:t>'</w:t>
      </w:r>
      <w:r w:rsidRPr="00B91530">
        <w:t xml:space="preserve">il examine des demandes de prorogation limitée dans le temps du délai réglementaire applicable à la mise en service </w:t>
      </w:r>
      <w:r w:rsidR="004355F4" w:rsidRPr="00B91530">
        <w:t xml:space="preserve">pour </w:t>
      </w:r>
      <w:r w:rsidR="00AB61F9" w:rsidRPr="00B91530">
        <w:t xml:space="preserve">des raisons </w:t>
      </w:r>
      <w:r w:rsidRPr="00B91530">
        <w:t xml:space="preserve">de force majeure, le Comité détermine, sur la base des renseignements fournis par les administrations, si les quatre conditions </w:t>
      </w:r>
      <w:r w:rsidR="00AB61F9" w:rsidRPr="00B91530">
        <w:t>constitutives</w:t>
      </w:r>
      <w:r w:rsidRPr="00B91530">
        <w:t xml:space="preserve"> de </w:t>
      </w:r>
      <w:r w:rsidR="00AB61F9" w:rsidRPr="00B91530">
        <w:t xml:space="preserve">la </w:t>
      </w:r>
      <w:r w:rsidRPr="00B91530">
        <w:t>force majeure,</w:t>
      </w:r>
      <w:r w:rsidR="00AB61F9" w:rsidRPr="00B91530">
        <w:t xml:space="preserve"> </w:t>
      </w:r>
      <w:r w:rsidRPr="00B91530">
        <w:t>ci-après</w:t>
      </w:r>
      <w:r w:rsidR="00AB61F9" w:rsidRPr="00B91530">
        <w:t xml:space="preserve"> </w:t>
      </w:r>
      <w:r w:rsidRPr="00B91530">
        <w:t>sont remplies</w:t>
      </w:r>
      <w:r w:rsidR="00415DD9" w:rsidRPr="00B91530">
        <w:t>:</w:t>
      </w:r>
    </w:p>
    <w:p w14:paraId="73A1BE03" w14:textId="26E826C5" w:rsidR="00415DD9" w:rsidRPr="00B91530" w:rsidRDefault="00415DD9" w:rsidP="00A70B2E">
      <w:pPr>
        <w:pStyle w:val="enumlev1"/>
      </w:pPr>
      <w:r w:rsidRPr="00B91530">
        <w:t>1</w:t>
      </w:r>
      <w:r w:rsidR="007F49F5" w:rsidRPr="00B91530">
        <w:t>)</w:t>
      </w:r>
      <w:r w:rsidRPr="00B91530">
        <w:tab/>
        <w:t>l'événement doit être indépendant du débiteur de l'obligation et ne pas avoir été causé par lui;</w:t>
      </w:r>
    </w:p>
    <w:p w14:paraId="1F037B18" w14:textId="13BE6B47" w:rsidR="00415DD9" w:rsidRPr="00B91530" w:rsidRDefault="00415DD9" w:rsidP="00A70B2E">
      <w:pPr>
        <w:pStyle w:val="enumlev1"/>
      </w:pPr>
      <w:r w:rsidRPr="00B91530">
        <w:t>2</w:t>
      </w:r>
      <w:r w:rsidR="007F49F5" w:rsidRPr="00B91530">
        <w:t>)</w:t>
      </w:r>
      <w:r w:rsidRPr="00B91530">
        <w:tab/>
        <w:t>l'événement constitutif de la force majeure doit être imprévu ou, s'il était prévisible, doit être inévitable et insurmontable;</w:t>
      </w:r>
    </w:p>
    <w:p w14:paraId="639600E3" w14:textId="0B264170" w:rsidR="00415DD9" w:rsidRPr="00B91530" w:rsidRDefault="00415DD9" w:rsidP="00A70B2E">
      <w:pPr>
        <w:pStyle w:val="enumlev1"/>
      </w:pPr>
      <w:r w:rsidRPr="00B91530">
        <w:t>3</w:t>
      </w:r>
      <w:r w:rsidR="007F49F5" w:rsidRPr="00B91530">
        <w:t>)</w:t>
      </w:r>
      <w:r w:rsidRPr="00B91530">
        <w:tab/>
        <w:t>l'événement doit être tel qu'il rend impossible au débiteur de l'obligation de s'en acquitter;</w:t>
      </w:r>
    </w:p>
    <w:p w14:paraId="044AE4C1" w14:textId="55A91378" w:rsidR="00415DD9" w:rsidRPr="00B91530" w:rsidRDefault="00415DD9" w:rsidP="00A70B2E">
      <w:pPr>
        <w:pStyle w:val="enumlev1"/>
      </w:pPr>
      <w:r w:rsidRPr="00B91530">
        <w:t>4</w:t>
      </w:r>
      <w:r w:rsidR="007F49F5" w:rsidRPr="00B91530">
        <w:t>)</w:t>
      </w:r>
      <w:r w:rsidRPr="00B91530">
        <w:tab/>
        <w:t>enfin, il doit exister un lien de causalité entre l'événement constitutif de la force majeure et la non-exécution de son obligation par le débiteur.</w:t>
      </w:r>
    </w:p>
    <w:p w14:paraId="2EC6507E" w14:textId="5390608A" w:rsidR="00046F92" w:rsidRPr="00B91530" w:rsidRDefault="00F403E2" w:rsidP="00A70B2E">
      <w:r w:rsidRPr="00B91530">
        <w:t xml:space="preserve">Afin de contribuer à améliorer la qualité des </w:t>
      </w:r>
      <w:r w:rsidR="00AB61F9" w:rsidRPr="00B91530">
        <w:t>soumissions des</w:t>
      </w:r>
      <w:r w:rsidRPr="00B91530">
        <w:t xml:space="preserve"> administrations et de réduire le</w:t>
      </w:r>
      <w:r w:rsidR="00AB61F9" w:rsidRPr="00B91530">
        <w:t xml:space="preserve"> nombre de </w:t>
      </w:r>
      <w:r w:rsidRPr="00B91530">
        <w:t>demandes de précisions supplémentaires présentées par le RRB</w:t>
      </w:r>
      <w:r w:rsidR="004355F4" w:rsidRPr="00B91530">
        <w:t>,</w:t>
      </w:r>
      <w:r w:rsidRPr="00B91530">
        <w:t xml:space="preserve"> ainsi que les retards </w:t>
      </w:r>
      <w:r w:rsidR="00AB61F9" w:rsidRPr="00B91530">
        <w:t>associés au</w:t>
      </w:r>
      <w:r w:rsidRPr="00B91530">
        <w:t xml:space="preserve"> traitement d</w:t>
      </w:r>
      <w:r w:rsidR="0073119B" w:rsidRPr="00B91530">
        <w:t>'</w:t>
      </w:r>
      <w:r w:rsidRPr="00B91530">
        <w:t>un cas, le Comité suggère que la CMR-23 confirme que les renseignements</w:t>
      </w:r>
      <w:r w:rsidR="00AB61F9" w:rsidRPr="00B91530">
        <w:t xml:space="preserve"> </w:t>
      </w:r>
      <w:r w:rsidRPr="00B91530">
        <w:t>ci-dessous</w:t>
      </w:r>
      <w:r w:rsidR="00AB61F9" w:rsidRPr="00B91530">
        <w:t xml:space="preserve"> </w:t>
      </w:r>
      <w:r w:rsidR="00AB61F9" w:rsidRPr="00B91530">
        <w:rPr>
          <w:b/>
          <w:bCs/>
          <w:u w:val="single"/>
        </w:rPr>
        <w:t>au moins</w:t>
      </w:r>
      <w:r w:rsidR="00AB61F9" w:rsidRPr="00B91530">
        <w:t xml:space="preserve"> </w:t>
      </w:r>
      <w:r w:rsidRPr="00B91530">
        <w:t>doivent</w:t>
      </w:r>
      <w:r w:rsidR="00AB61F9" w:rsidRPr="00B91530">
        <w:t xml:space="preserve"> </w:t>
      </w:r>
      <w:r w:rsidRPr="00B91530">
        <w:t>être fournis, afin de faciliter l</w:t>
      </w:r>
      <w:r w:rsidR="0073119B" w:rsidRPr="00B91530">
        <w:t>'</w:t>
      </w:r>
      <w:r w:rsidRPr="00B91530">
        <w:t>examen par le Comité d</w:t>
      </w:r>
      <w:r w:rsidR="0073119B" w:rsidRPr="00B91530">
        <w:t>'</w:t>
      </w:r>
      <w:r w:rsidRPr="00B91530">
        <w:t>une demande de prorogation du délai réglementaire pour</w:t>
      </w:r>
      <w:r w:rsidR="00AB61F9" w:rsidRPr="00B91530">
        <w:t xml:space="preserve"> des raisons </w:t>
      </w:r>
      <w:r w:rsidRPr="00B91530">
        <w:t>de force majeure</w:t>
      </w:r>
      <w:r w:rsidR="00046F92" w:rsidRPr="00B91530">
        <w:t>:</w:t>
      </w:r>
    </w:p>
    <w:p w14:paraId="23FC4AEB" w14:textId="77777777" w:rsidR="00046F92" w:rsidRPr="00B91530" w:rsidRDefault="00046F92" w:rsidP="00A70B2E">
      <w:pPr>
        <w:pStyle w:val="enumlev1"/>
      </w:pPr>
      <w:r w:rsidRPr="00B91530">
        <w:t>–</w:t>
      </w:r>
      <w:r w:rsidRPr="00B91530">
        <w:tab/>
        <w:t>description succincte du satellite devant être lancé, accompagnée des bandes de fréquences;</w:t>
      </w:r>
    </w:p>
    <w:p w14:paraId="20D2D311" w14:textId="77777777" w:rsidR="00046F92" w:rsidRPr="00B91530" w:rsidRDefault="00046F92" w:rsidP="00A70B2E">
      <w:pPr>
        <w:pStyle w:val="enumlev1"/>
      </w:pPr>
      <w:r w:rsidRPr="00B91530">
        <w:t>–</w:t>
      </w:r>
      <w:r w:rsidRPr="00B91530">
        <w:tab/>
        <w:t>nom du constructeur retenu pour la construction du satellite et date de signature du contrat;</w:t>
      </w:r>
    </w:p>
    <w:p w14:paraId="52F807C5" w14:textId="77777777" w:rsidR="00046F92" w:rsidRPr="00B91530" w:rsidRDefault="00046F92" w:rsidP="00A70B2E">
      <w:pPr>
        <w:pStyle w:val="enumlev1"/>
      </w:pPr>
      <w:r w:rsidRPr="00B91530">
        <w:t>–</w:t>
      </w:r>
      <w:r w:rsidRPr="00B91530">
        <w:tab/>
        <w:t>état d'avancement de la construction du satellite avant le cas de force majeure, y compris la date de début et une précision indiquant s'il était prévu que sa construction soit achevée avant la fenêtre de lancement initiale;</w:t>
      </w:r>
    </w:p>
    <w:p w14:paraId="104EED2E" w14:textId="77777777" w:rsidR="00046F92" w:rsidRPr="00B91530" w:rsidRDefault="00046F92" w:rsidP="00A70B2E">
      <w:pPr>
        <w:pStyle w:val="enumlev1"/>
      </w:pPr>
      <w:r w:rsidRPr="00B91530">
        <w:t>–</w:t>
      </w:r>
      <w:r w:rsidRPr="00B91530">
        <w:tab/>
        <w:t>nom du fournisseur de services de lancement et date de signature du contrat;</w:t>
      </w:r>
    </w:p>
    <w:p w14:paraId="3EEDC4AB" w14:textId="77777777" w:rsidR="00046F92" w:rsidRPr="00B91530" w:rsidRDefault="00046F92" w:rsidP="00A70B2E">
      <w:pPr>
        <w:pStyle w:val="enumlev1"/>
      </w:pPr>
      <w:r w:rsidRPr="00B91530">
        <w:t>–</w:t>
      </w:r>
      <w:r w:rsidRPr="00B91530">
        <w:tab/>
        <w:t>efforts déployés et mesures prises ou envisagées pour éviter que le délai imparti soit dépassé, pour surmonter les difficultés rencontrées et réduire le calendrier d'exécution du projet, si possible, en fournissant des pièces justificatives émanant du constructeur du satellite ou du fournisseur de services de lancement, selon le cas;</w:t>
      </w:r>
    </w:p>
    <w:p w14:paraId="429EAE7C" w14:textId="77777777" w:rsidR="00046F92" w:rsidRPr="00B91530" w:rsidRDefault="00046F92" w:rsidP="008469FD">
      <w:pPr>
        <w:pStyle w:val="enumlev1"/>
        <w:keepNext/>
        <w:keepLines/>
      </w:pPr>
      <w:r w:rsidRPr="00B91530">
        <w:lastRenderedPageBreak/>
        <w:t>–</w:t>
      </w:r>
      <w:r w:rsidRPr="00B91530">
        <w:tab/>
        <w:t>justification et évaluation détaillées au regard des quatre conditions constitutives de la force majeure:</w:t>
      </w:r>
    </w:p>
    <w:p w14:paraId="5C98A722" w14:textId="525CBBC2" w:rsidR="00046F92" w:rsidRPr="00B91530" w:rsidRDefault="00046F92" w:rsidP="008469FD">
      <w:pPr>
        <w:pStyle w:val="enumlev2"/>
        <w:keepNext/>
        <w:keepLines/>
      </w:pPr>
      <w:r w:rsidRPr="00B91530">
        <w:t>1</w:t>
      </w:r>
      <w:r w:rsidR="007F49F5" w:rsidRPr="00B91530">
        <w:t>)</w:t>
      </w:r>
      <w:r w:rsidRPr="00B91530">
        <w:tab/>
        <w:t>l'événement doit être indépendant du débiteur de l'obligation et ne pas avoir été causé par lui;</w:t>
      </w:r>
    </w:p>
    <w:p w14:paraId="6750A641" w14:textId="4A9BE129" w:rsidR="00046F92" w:rsidRPr="00B91530" w:rsidRDefault="00046F92" w:rsidP="00A70B2E">
      <w:pPr>
        <w:pStyle w:val="enumlev2"/>
      </w:pPr>
      <w:r w:rsidRPr="00B91530">
        <w:t>2</w:t>
      </w:r>
      <w:r w:rsidR="007F49F5" w:rsidRPr="00B91530">
        <w:t>)</w:t>
      </w:r>
      <w:r w:rsidRPr="00B91530">
        <w:tab/>
        <w:t>l'événement constitutif de la force majeure doit être imprévu ou, s'il était prévisible, doit être inévitable et insurmontable;</w:t>
      </w:r>
    </w:p>
    <w:p w14:paraId="1C0702D4" w14:textId="5919BA02" w:rsidR="00046F92" w:rsidRPr="00B91530" w:rsidRDefault="00046F92" w:rsidP="00A70B2E">
      <w:pPr>
        <w:pStyle w:val="enumlev2"/>
      </w:pPr>
      <w:r w:rsidRPr="00B91530">
        <w:t>3</w:t>
      </w:r>
      <w:r w:rsidR="007F49F5" w:rsidRPr="00B91530">
        <w:t>)</w:t>
      </w:r>
      <w:r w:rsidRPr="00B91530">
        <w:tab/>
        <w:t>l'événement doit être tel qu'il rend impossible au débiteur de l'obligation de s'en acquitter;</w:t>
      </w:r>
    </w:p>
    <w:p w14:paraId="5404321E" w14:textId="4B01CFF1" w:rsidR="00046F92" w:rsidRPr="00B91530" w:rsidRDefault="00046F92" w:rsidP="00A70B2E">
      <w:pPr>
        <w:pStyle w:val="enumlev2"/>
      </w:pPr>
      <w:r w:rsidRPr="00B91530">
        <w:t>4</w:t>
      </w:r>
      <w:r w:rsidR="007F49F5" w:rsidRPr="00B91530">
        <w:t>)</w:t>
      </w:r>
      <w:r w:rsidRPr="00B91530">
        <w:tab/>
        <w:t>enfin, il doit exister un lien de causalité entre l'événement constitutif de la force majeure et la non-exécution de son obligation par le débiteur;</w:t>
      </w:r>
    </w:p>
    <w:p w14:paraId="40037E18" w14:textId="77777777" w:rsidR="00046F92" w:rsidRPr="00B91530" w:rsidRDefault="00046F92" w:rsidP="00A70B2E">
      <w:pPr>
        <w:pStyle w:val="enumlev1"/>
      </w:pPr>
      <w:r w:rsidRPr="00B91530">
        <w:t>–</w:t>
      </w:r>
      <w:r w:rsidRPr="00B91530">
        <w:tab/>
        <w:t>calendrier initial et révisé des étapes du projet pour la construction, la fenêtre de lancement, le lancement et la mise à poste du satellite, ainsi que les échéances concernant le repositionnement et les essais sur orbite, lorsque le satellite n'est pas placé directement sur sa position orbitale nominale ou sur son orbite des satellites non géostationnaires;</w:t>
      </w:r>
    </w:p>
    <w:p w14:paraId="61092659" w14:textId="77777777" w:rsidR="00046F92" w:rsidRPr="00B91530" w:rsidRDefault="00046F92" w:rsidP="00A70B2E">
      <w:pPr>
        <w:pStyle w:val="enumlev1"/>
      </w:pPr>
      <w:r w:rsidRPr="00B91530">
        <w:t>–</w:t>
      </w:r>
      <w:r w:rsidRPr="00B91530">
        <w:tab/>
        <w:t>justification détaillée de la durée de la période de prorogation demandée, y compris le détail de la nature et de l'importance du retard pris jusqu'à présent, le retard supplémentaire prévu par le constructeur et le fournisseur de services de lancement, et toute éventualité prévue;</w:t>
      </w:r>
    </w:p>
    <w:p w14:paraId="037F887C" w14:textId="3711170C" w:rsidR="00046F92" w:rsidRPr="00B91530" w:rsidRDefault="00046F92" w:rsidP="00A70B2E">
      <w:pPr>
        <w:pStyle w:val="enumlev1"/>
      </w:pPr>
      <w:r w:rsidRPr="00B91530">
        <w:t>–</w:t>
      </w:r>
      <w:r w:rsidRPr="00B91530">
        <w:tab/>
        <w:t>tous autres renseignements et documents pertinents.</w:t>
      </w:r>
    </w:p>
    <w:p w14:paraId="238F56A3" w14:textId="6C9CBC44" w:rsidR="00046F92" w:rsidRPr="00B91530" w:rsidRDefault="00046F92" w:rsidP="00A70B2E">
      <w:pPr>
        <w:pStyle w:val="Heading3"/>
      </w:pPr>
      <w:r w:rsidRPr="00B91530">
        <w:t>2.2.2</w:t>
      </w:r>
      <w:r w:rsidRPr="00B91530">
        <w:tab/>
      </w:r>
      <w:r w:rsidR="00F403E2" w:rsidRPr="00B91530">
        <w:t>Observations</w:t>
      </w:r>
    </w:p>
    <w:p w14:paraId="1365274D" w14:textId="4457C51C" w:rsidR="00291872" w:rsidRPr="00B91530" w:rsidRDefault="00F403E2" w:rsidP="00A70B2E">
      <w:r w:rsidRPr="00B91530">
        <w:t>Le Canada est d</w:t>
      </w:r>
      <w:r w:rsidR="0073119B" w:rsidRPr="00B91530">
        <w:t>'</w:t>
      </w:r>
      <w:r w:rsidRPr="00B91530">
        <w:t>avis que la CMR-23 devrait confirmer que les renseignements ci-dessus</w:t>
      </w:r>
      <w:r w:rsidR="00AB61F9" w:rsidRPr="00B91530">
        <w:t xml:space="preserve"> au moins</w:t>
      </w:r>
      <w:r w:rsidR="004F750B" w:rsidRPr="00B91530">
        <w:t xml:space="preserve"> </w:t>
      </w:r>
      <w:r w:rsidRPr="00B91530">
        <w:t xml:space="preserve">devraient être </w:t>
      </w:r>
      <w:r w:rsidR="00AB61F9" w:rsidRPr="00B91530">
        <w:t xml:space="preserve">communiqués </w:t>
      </w:r>
      <w:r w:rsidRPr="00B91530">
        <w:t>au Comité lors de la</w:t>
      </w:r>
      <w:r w:rsidR="00AB61F9" w:rsidRPr="00B91530">
        <w:t xml:space="preserve"> soumission </w:t>
      </w:r>
      <w:r w:rsidRPr="00B91530">
        <w:t xml:space="preserve">d'une demande de prorogation du délai réglementaire pour </w:t>
      </w:r>
      <w:r w:rsidR="00AB61F9" w:rsidRPr="00B91530">
        <w:t xml:space="preserve">des raisons </w:t>
      </w:r>
      <w:r w:rsidRPr="00B91530">
        <w:t>de force majeure. Le Canada</w:t>
      </w:r>
      <w:r w:rsidR="00AB61F9" w:rsidRPr="00B91530">
        <w:t xml:space="preserve"> relève </w:t>
      </w:r>
      <w:r w:rsidRPr="00B91530">
        <w:t>également que la fourniture de ces renseignements ne garanti</w:t>
      </w:r>
      <w:r w:rsidR="00984666" w:rsidRPr="00B91530">
        <w:t>rai</w:t>
      </w:r>
      <w:r w:rsidRPr="00B91530">
        <w:t>t pas que la demande sera</w:t>
      </w:r>
      <w:r w:rsidR="00984666" w:rsidRPr="00B91530">
        <w:t>it</w:t>
      </w:r>
      <w:r w:rsidRPr="00B91530">
        <w:t xml:space="preserve"> approuvée</w:t>
      </w:r>
      <w:r w:rsidR="00984666" w:rsidRPr="00B91530">
        <w:t xml:space="preserve"> </w:t>
      </w:r>
      <w:r w:rsidRPr="00B91530">
        <w:t>et qu</w:t>
      </w:r>
      <w:r w:rsidR="004F750B" w:rsidRPr="00B91530">
        <w:t>e</w:t>
      </w:r>
      <w:r w:rsidR="00984666" w:rsidRPr="00B91530">
        <w:t xml:space="preserve"> cette </w:t>
      </w:r>
      <w:r w:rsidRPr="00B91530">
        <w:t xml:space="preserve">décision </w:t>
      </w:r>
      <w:r w:rsidR="00984666" w:rsidRPr="00B91530">
        <w:t xml:space="preserve">demeurerait </w:t>
      </w:r>
      <w:r w:rsidRPr="00B91530">
        <w:t>de la compétence du Comité.</w:t>
      </w:r>
    </w:p>
    <w:p w14:paraId="7FE3DC6A" w14:textId="4F05625C" w:rsidR="00D43ABC" w:rsidRPr="00B91530" w:rsidRDefault="00D43ABC" w:rsidP="00A70B2E">
      <w:r w:rsidRPr="00B91530">
        <w:t xml:space="preserve">En outre, le Canada </w:t>
      </w:r>
      <w:r w:rsidR="004355F4" w:rsidRPr="00B91530">
        <w:t>relève</w:t>
      </w:r>
      <w:r w:rsidRPr="00B91530">
        <w:t xml:space="preserve"> qu</w:t>
      </w:r>
      <w:r w:rsidR="00984666" w:rsidRPr="00B91530">
        <w:t>e le Comité, lorsqu'il précise</w:t>
      </w:r>
      <w:r w:rsidRPr="00B91530">
        <w:t xml:space="preserve"> la durée de la prorogation demandée, ne tient pas compte des délais pour imprévus </w:t>
      </w:r>
      <w:r w:rsidR="00EC6775" w:rsidRPr="00B91530">
        <w:t xml:space="preserve">afin de faire face à d'éventuels </w:t>
      </w:r>
      <w:r w:rsidRPr="00B91530">
        <w:t>retards de lancement</w:t>
      </w:r>
      <w:r w:rsidR="004355F4" w:rsidRPr="00B91530">
        <w:t xml:space="preserve"> ultérieurs</w:t>
      </w:r>
      <w:r w:rsidRPr="00B91530">
        <w:t xml:space="preserve">, sachant que ces retards de lancement sont généralement </w:t>
      </w:r>
      <w:r w:rsidR="00984666" w:rsidRPr="00B91530">
        <w:t xml:space="preserve">eux aussi </w:t>
      </w:r>
      <w:r w:rsidRPr="00B91530">
        <w:t xml:space="preserve">considérés comme </w:t>
      </w:r>
      <w:r w:rsidR="00984666" w:rsidRPr="00B91530">
        <w:t>des cas</w:t>
      </w:r>
      <w:r w:rsidRPr="00B91530">
        <w:t xml:space="preserve"> de force majeure et qu'à ce titre, les administrations </w:t>
      </w:r>
      <w:r w:rsidR="00984666" w:rsidRPr="00B91530">
        <w:t xml:space="preserve">peuvent </w:t>
      </w:r>
      <w:r w:rsidRPr="00B91530">
        <w:t xml:space="preserve">au besoin demander une autre prorogation. Le Canada appuie cette approche adoptée par le </w:t>
      </w:r>
      <w:r w:rsidR="00984666" w:rsidRPr="00B91530">
        <w:t>Comité</w:t>
      </w:r>
      <w:r w:rsidR="00EA1DB8" w:rsidRPr="00B91530">
        <w:t>.</w:t>
      </w:r>
    </w:p>
    <w:p w14:paraId="745A5E0B" w14:textId="77777777" w:rsidR="003F7CCC" w:rsidRPr="00B91530" w:rsidRDefault="00291872" w:rsidP="00A70B2E">
      <w:pPr>
        <w:pStyle w:val="Proposal"/>
      </w:pPr>
      <w:r w:rsidRPr="00B91530">
        <w:tab/>
        <w:t>CAN/86A26/2</w:t>
      </w:r>
    </w:p>
    <w:p w14:paraId="49D6B7AB" w14:textId="25D7D1AB" w:rsidR="003F7CCC" w:rsidRPr="00B91530" w:rsidRDefault="00D43ABC" w:rsidP="00A70B2E">
      <w:r w:rsidRPr="00B91530">
        <w:t>La Canada propose que la Conférence</w:t>
      </w:r>
      <w:r w:rsidR="00046F92" w:rsidRPr="00B91530">
        <w:t>:</w:t>
      </w:r>
    </w:p>
    <w:p w14:paraId="5826E806" w14:textId="39B8F564" w:rsidR="00046F92" w:rsidRPr="00B91530" w:rsidRDefault="00046F92" w:rsidP="00A70B2E">
      <w:pPr>
        <w:pStyle w:val="enumlev1"/>
      </w:pPr>
      <w:r w:rsidRPr="00B91530">
        <w:t>–</w:t>
      </w:r>
      <w:r w:rsidRPr="00B91530">
        <w:tab/>
      </w:r>
      <w:r w:rsidR="00D43ABC" w:rsidRPr="00B91530">
        <w:t>confirme que les renseignements</w:t>
      </w:r>
      <w:r w:rsidR="00984666" w:rsidRPr="00B91530">
        <w:t xml:space="preserve"> </w:t>
      </w:r>
      <w:r w:rsidR="00D43ABC" w:rsidRPr="00B91530">
        <w:t>ci-dessus</w:t>
      </w:r>
      <w:r w:rsidR="00984666" w:rsidRPr="00B91530">
        <w:t xml:space="preserve"> au moins </w:t>
      </w:r>
      <w:r w:rsidR="00D43ABC" w:rsidRPr="00B91530">
        <w:t>devraient être fournis au Comité lors de la soumission d'une demande de prorogation du délai réglementaire pour des raisons de force majeure</w:t>
      </w:r>
      <w:r w:rsidRPr="00B91530">
        <w:t>;</w:t>
      </w:r>
    </w:p>
    <w:p w14:paraId="569CBAE3" w14:textId="7C0CD00A" w:rsidR="00046F92" w:rsidRPr="00B91530" w:rsidRDefault="00046F92" w:rsidP="00A70B2E">
      <w:pPr>
        <w:pStyle w:val="enumlev1"/>
      </w:pPr>
      <w:r w:rsidRPr="00B91530">
        <w:t>–</w:t>
      </w:r>
      <w:r w:rsidRPr="00B91530">
        <w:tab/>
      </w:r>
      <w:r w:rsidR="00D43ABC" w:rsidRPr="00B91530">
        <w:t>charge le Comité de faire figurer</w:t>
      </w:r>
      <w:r w:rsidR="00984666" w:rsidRPr="00B91530">
        <w:t xml:space="preserve"> dans la nouvelle section de la Règle de procédure consacrée aux décisions des CMR</w:t>
      </w:r>
      <w:r w:rsidR="00D43ABC" w:rsidRPr="00B91530">
        <w:t xml:space="preserve"> la confirmation</w:t>
      </w:r>
      <w:r w:rsidR="004F750B" w:rsidRPr="00B91530">
        <w:t xml:space="preserve"> </w:t>
      </w:r>
      <w:r w:rsidR="00984666" w:rsidRPr="00B91530">
        <w:t xml:space="preserve">ci-dessus </w:t>
      </w:r>
      <w:r w:rsidR="00D43ABC" w:rsidRPr="00B91530">
        <w:t xml:space="preserve">et les renseignements minimaux requis pour la </w:t>
      </w:r>
      <w:r w:rsidR="00984666" w:rsidRPr="00B91530">
        <w:t xml:space="preserve">soumission d'une </w:t>
      </w:r>
      <w:r w:rsidR="00D43ABC" w:rsidRPr="00B91530">
        <w:t>demande de prorogation d</w:t>
      </w:r>
      <w:r w:rsidR="0073119B" w:rsidRPr="00B91530">
        <w:t>'</w:t>
      </w:r>
      <w:r w:rsidR="00D43ABC" w:rsidRPr="00B91530">
        <w:t>un délai réglementaire pour des raisons de force majeure</w:t>
      </w:r>
      <w:r w:rsidR="008469FD" w:rsidRPr="00B91530">
        <w:t>;</w:t>
      </w:r>
      <w:r w:rsidR="004F750B" w:rsidRPr="00B91530">
        <w:t xml:space="preserve"> </w:t>
      </w:r>
      <w:r w:rsidR="00D43ABC" w:rsidRPr="00B91530">
        <w:t>et</w:t>
      </w:r>
    </w:p>
    <w:p w14:paraId="2FF8CB76" w14:textId="1F630678" w:rsidR="00046F92" w:rsidRPr="00B91530" w:rsidRDefault="00046F92" w:rsidP="00A70B2E">
      <w:pPr>
        <w:pStyle w:val="enumlev1"/>
      </w:pPr>
      <w:r w:rsidRPr="00B91530">
        <w:t>–</w:t>
      </w:r>
      <w:r w:rsidRPr="00B91530">
        <w:tab/>
      </w:r>
      <w:r w:rsidR="00984666" w:rsidRPr="00B91530">
        <w:t>entérine</w:t>
      </w:r>
      <w:r w:rsidR="00D43ABC" w:rsidRPr="00B91530">
        <w:t xml:space="preserve"> la pratique suivie par le Comité en ce qui concerne les délais pour imprévus afin de faire face à d</w:t>
      </w:r>
      <w:r w:rsidR="0073119B" w:rsidRPr="00B91530">
        <w:t>'</w:t>
      </w:r>
      <w:r w:rsidR="00D43ABC" w:rsidRPr="00B91530">
        <w:t>éventuels retards de lancement ultérieurs lors</w:t>
      </w:r>
      <w:r w:rsidR="00EC6775" w:rsidRPr="00B91530">
        <w:t xml:space="preserve"> de l'octroi d</w:t>
      </w:r>
      <w:r w:rsidR="004F750B" w:rsidRPr="00B91530">
        <w:t>'</w:t>
      </w:r>
      <w:r w:rsidR="00D43ABC" w:rsidRPr="00B91530">
        <w:t>une prorogation du délai réglementaire applicable à la mise en service ou à la remise en service</w:t>
      </w:r>
      <w:r w:rsidRPr="00B91530">
        <w:t>.</w:t>
      </w:r>
    </w:p>
    <w:p w14:paraId="4D50F5B5" w14:textId="3D570D78" w:rsidR="003F7CCC" w:rsidRPr="00B91530" w:rsidRDefault="00291872" w:rsidP="00A70B2E">
      <w:pPr>
        <w:pStyle w:val="Reasons"/>
      </w:pPr>
      <w:r w:rsidRPr="00B91530">
        <w:rPr>
          <w:b/>
        </w:rPr>
        <w:lastRenderedPageBreak/>
        <w:t>Motifs:</w:t>
      </w:r>
      <w:r w:rsidRPr="00B91530">
        <w:tab/>
      </w:r>
      <w:r w:rsidR="00D43ABC" w:rsidRPr="00B91530">
        <w:t>Préciser les renseignements qui</w:t>
      </w:r>
      <w:r w:rsidR="00EC6775" w:rsidRPr="00B91530">
        <w:t xml:space="preserve"> </w:t>
      </w:r>
      <w:r w:rsidR="00D43ABC" w:rsidRPr="00B91530">
        <w:t xml:space="preserve">devraient </w:t>
      </w:r>
      <w:r w:rsidR="00EC6775" w:rsidRPr="00B91530">
        <w:t xml:space="preserve">au moins </w:t>
      </w:r>
      <w:r w:rsidR="00D43ABC" w:rsidRPr="00B91530">
        <w:t>être fournis par les administrations lorsqu</w:t>
      </w:r>
      <w:r w:rsidR="0073119B" w:rsidRPr="00B91530">
        <w:t>'</w:t>
      </w:r>
      <w:r w:rsidR="00D43ABC" w:rsidRPr="00B91530">
        <w:t>elles demandent une prorogation d</w:t>
      </w:r>
      <w:r w:rsidR="00597548" w:rsidRPr="00B91530">
        <w:t xml:space="preserve">es délais </w:t>
      </w:r>
      <w:r w:rsidR="00D43ABC" w:rsidRPr="00B91530">
        <w:t xml:space="preserve">réglementaires </w:t>
      </w:r>
      <w:r w:rsidR="00EC6775" w:rsidRPr="00B91530">
        <w:t>pour des raisons</w:t>
      </w:r>
      <w:r w:rsidR="00D43ABC" w:rsidRPr="00B91530">
        <w:t xml:space="preserve"> de force majeure.</w:t>
      </w:r>
    </w:p>
    <w:p w14:paraId="7BFE16D5" w14:textId="151BDF88" w:rsidR="00046F92" w:rsidRPr="00B91530" w:rsidRDefault="00046F92" w:rsidP="00A70B2E">
      <w:pPr>
        <w:pStyle w:val="Heading2"/>
      </w:pPr>
      <w:r w:rsidRPr="00B91530">
        <w:t>2.3</w:t>
      </w:r>
      <w:r w:rsidRPr="00B91530">
        <w:tab/>
      </w:r>
      <w:r w:rsidR="00684152" w:rsidRPr="00B91530">
        <w:t xml:space="preserve">Situations de </w:t>
      </w:r>
      <w:r w:rsidR="00684152" w:rsidRPr="00B91530">
        <w:rPr>
          <w:lang w:eastAsia="fr-CH"/>
        </w:rPr>
        <w:t>retards dus à l'embarquement d'un autre satellite sur le même lanceur</w:t>
      </w:r>
    </w:p>
    <w:p w14:paraId="76C39CB1" w14:textId="11224E4B" w:rsidR="00046F92" w:rsidRPr="00B91530" w:rsidRDefault="00046F92" w:rsidP="00A70B2E">
      <w:pPr>
        <w:pStyle w:val="Heading3"/>
      </w:pPr>
      <w:r w:rsidRPr="00B91530">
        <w:t>2.3.1</w:t>
      </w:r>
      <w:r w:rsidRPr="00B91530">
        <w:tab/>
      </w:r>
      <w:r w:rsidR="00684152" w:rsidRPr="00B91530">
        <w:t>Considérations générales et examen</w:t>
      </w:r>
    </w:p>
    <w:p w14:paraId="462D7F23" w14:textId="4441DA51" w:rsidR="00046F92" w:rsidRPr="00B91530" w:rsidRDefault="00684152" w:rsidP="00A70B2E">
      <w:r w:rsidRPr="00B91530">
        <w:t>À la suite d</w:t>
      </w:r>
      <w:r w:rsidR="0073119B" w:rsidRPr="00B91530">
        <w:t>'</w:t>
      </w:r>
      <w:r w:rsidRPr="00B91530">
        <w:t xml:space="preserve">une recommandation du RRB, la CMR-19 a décidé de fixer </w:t>
      </w:r>
      <w:r w:rsidR="00EC6775" w:rsidRPr="00B91530">
        <w:t xml:space="preserve">des </w:t>
      </w:r>
      <w:r w:rsidRPr="00B91530">
        <w:t>exigences minimales en matière de renseignements à fournir lors d</w:t>
      </w:r>
      <w:r w:rsidR="0073119B" w:rsidRPr="00B91530">
        <w:t>'</w:t>
      </w:r>
      <w:r w:rsidRPr="00B91530">
        <w:t>une demande de prorogation des délais réglementaires en raison d</w:t>
      </w:r>
      <w:r w:rsidR="0073119B" w:rsidRPr="00B91530">
        <w:t>'</w:t>
      </w:r>
      <w:r w:rsidRPr="00B91530">
        <w:t>un retard dû à l</w:t>
      </w:r>
      <w:r w:rsidR="0073119B" w:rsidRPr="00B91530">
        <w:t>'</w:t>
      </w:r>
      <w:r w:rsidRPr="00B91530">
        <w:t>embarquement d</w:t>
      </w:r>
      <w:r w:rsidR="0073119B" w:rsidRPr="00B91530">
        <w:t>'</w:t>
      </w:r>
      <w:r w:rsidRPr="00B91530">
        <w:t>un autre satellite sur le même lanceur.</w:t>
      </w:r>
    </w:p>
    <w:p w14:paraId="4A65732F" w14:textId="35C06467" w:rsidR="00684152" w:rsidRPr="00B91530" w:rsidRDefault="00684152" w:rsidP="00A70B2E">
      <w:r w:rsidRPr="00B91530">
        <w:t xml:space="preserve">Depuis la dernière Conférence, le Comité a examiné peu de demandes de prorogation du délai réglementaire applicable à la mise en service ou </w:t>
      </w:r>
      <w:r w:rsidR="00EC6775" w:rsidRPr="00B91530">
        <w:t xml:space="preserve">à </w:t>
      </w:r>
      <w:r w:rsidRPr="00B91530">
        <w:t>la remise en service soumises en tant que cas de force majeure, qui seraient en réalité considérés comme des retards dus à l</w:t>
      </w:r>
      <w:r w:rsidR="0073119B" w:rsidRPr="00B91530">
        <w:t>'</w:t>
      </w:r>
      <w:r w:rsidRPr="00B91530">
        <w:t>embarquement d</w:t>
      </w:r>
      <w:r w:rsidR="0073119B" w:rsidRPr="00B91530">
        <w:t>'</w:t>
      </w:r>
      <w:r w:rsidRPr="00B91530">
        <w:t xml:space="preserve">un autre satellite sur le même lanceur. </w:t>
      </w:r>
      <w:r w:rsidR="00EC6775" w:rsidRPr="00B91530">
        <w:t>En pareils</w:t>
      </w:r>
      <w:r w:rsidR="00982030" w:rsidRPr="00B91530">
        <w:t xml:space="preserve"> cas</w:t>
      </w:r>
      <w:r w:rsidRPr="00B91530">
        <w:t>, le Bureau a noté qu</w:t>
      </w:r>
      <w:r w:rsidR="0073119B" w:rsidRPr="00B91530">
        <w:t>'</w:t>
      </w:r>
      <w:r w:rsidRPr="00B91530">
        <w:t>une telle approche (</w:t>
      </w:r>
      <w:r w:rsidR="00EC6775" w:rsidRPr="00B91530">
        <w:t>consistant à</w:t>
      </w:r>
      <w:r w:rsidRPr="00B91530">
        <w:t xml:space="preserve"> choisir de demander une prorogation du délai réglementaire </w:t>
      </w:r>
      <w:r w:rsidR="00982030" w:rsidRPr="00B91530">
        <w:t xml:space="preserve">pour </w:t>
      </w:r>
      <w:r w:rsidR="00EC6775" w:rsidRPr="00B91530">
        <w:t xml:space="preserve">des raisons </w:t>
      </w:r>
      <w:r w:rsidRPr="00B91530">
        <w:t>de force majeure</w:t>
      </w:r>
      <w:r w:rsidR="00EC6775" w:rsidRPr="00B91530">
        <w:t xml:space="preserve">, et non pas </w:t>
      </w:r>
      <w:r w:rsidRPr="00B91530">
        <w:t>en raison d</w:t>
      </w:r>
      <w:r w:rsidR="0073119B" w:rsidRPr="00B91530">
        <w:t>'</w:t>
      </w:r>
      <w:r w:rsidRPr="00B91530">
        <w:t>un retard dû à l'embarquement d'un autre satellite sur le même lanceur), conjuguée à l</w:t>
      </w:r>
      <w:r w:rsidR="0073119B" w:rsidRPr="00B91530">
        <w:t>'</w:t>
      </w:r>
      <w:r w:rsidRPr="00B91530">
        <w:t>omission de renseignements importants</w:t>
      </w:r>
      <w:r w:rsidR="00EC6775" w:rsidRPr="00B91530">
        <w:t xml:space="preserve"> permettant d'</w:t>
      </w:r>
      <w:r w:rsidRPr="00B91530">
        <w:t xml:space="preserve">évaluer le respect des quatre conditions </w:t>
      </w:r>
      <w:r w:rsidR="00EC6775" w:rsidRPr="00B91530">
        <w:t xml:space="preserve">à remplir pour que le cas soit considéré comme </w:t>
      </w:r>
      <w:r w:rsidRPr="00B91530">
        <w:t>un cas de force majeure</w:t>
      </w:r>
      <w:r w:rsidR="00EC6775" w:rsidRPr="00B91530">
        <w:t xml:space="preserve"> </w:t>
      </w:r>
      <w:r w:rsidR="004F750B" w:rsidRPr="00B91530">
        <w:t>–</w:t>
      </w:r>
      <w:r w:rsidR="00EC6775" w:rsidRPr="00B91530">
        <w:t xml:space="preserve"> renseignements qui ne sont toutefois </w:t>
      </w:r>
      <w:r w:rsidRPr="00B91530">
        <w:t xml:space="preserve">pas </w:t>
      </w:r>
      <w:r w:rsidR="00EC6775" w:rsidRPr="00B91530">
        <w:t>exigés en</w:t>
      </w:r>
      <w:r w:rsidRPr="00B91530">
        <w:t xml:space="preserve"> cas de retard dû à l'embarquement d'un autre satellite sur le même lanceur</w:t>
      </w:r>
      <w:r w:rsidR="00EC6775" w:rsidRPr="00B91530">
        <w:t xml:space="preserve"> </w:t>
      </w:r>
      <w:r w:rsidR="004F750B" w:rsidRPr="00B91530">
        <w:t>–</w:t>
      </w:r>
      <w:r w:rsidR="00EC6775" w:rsidRPr="00B91530">
        <w:t xml:space="preserve"> </w:t>
      </w:r>
      <w:r w:rsidRPr="00B91530">
        <w:t xml:space="preserve">a </w:t>
      </w:r>
      <w:r w:rsidR="00982030" w:rsidRPr="00B91530">
        <w:t xml:space="preserve">retardé inutilement </w:t>
      </w:r>
      <w:r w:rsidRPr="00B91530">
        <w:t>le traitement des demandes.</w:t>
      </w:r>
    </w:p>
    <w:p w14:paraId="57157359" w14:textId="1C9B4F19" w:rsidR="00853ECE" w:rsidRPr="00B91530" w:rsidRDefault="00853ECE" w:rsidP="00A70B2E">
      <w:r w:rsidRPr="00B91530">
        <w:t xml:space="preserve">Toutefois, comme pour le cas de force majeure, </w:t>
      </w:r>
      <w:r w:rsidR="00EC6775" w:rsidRPr="00B91530">
        <w:t xml:space="preserve">un </w:t>
      </w:r>
      <w:r w:rsidRPr="00B91530">
        <w:t xml:space="preserve">retard dû à l'embarquement d'un autre satellite sur le même lanceur </w:t>
      </w:r>
      <w:r w:rsidR="00EC6775" w:rsidRPr="00B91530">
        <w:t>nécessite des</w:t>
      </w:r>
      <w:r w:rsidRPr="00B91530">
        <w:t xml:space="preserve"> motif</w:t>
      </w:r>
      <w:r w:rsidR="00EC6775" w:rsidRPr="00B91530">
        <w:t>s</w:t>
      </w:r>
      <w:r w:rsidRPr="00B91530">
        <w:t xml:space="preserve"> solide</w:t>
      </w:r>
      <w:r w:rsidR="00EC6775" w:rsidRPr="00B91530">
        <w:t>s</w:t>
      </w:r>
      <w:r w:rsidRPr="00B91530">
        <w:t xml:space="preserve"> pour assurer la cohérence et la continuité dans le traitement de ce type de demande. À cet égard, le Comité a rencontré des difficultés lorsqu</w:t>
      </w:r>
      <w:r w:rsidR="0073119B" w:rsidRPr="00B91530">
        <w:t>'</w:t>
      </w:r>
      <w:r w:rsidRPr="00B91530">
        <w:t>il n</w:t>
      </w:r>
      <w:r w:rsidR="0073119B" w:rsidRPr="00B91530">
        <w:t>'</w:t>
      </w:r>
      <w:r w:rsidR="00982030" w:rsidRPr="00B91530">
        <w:t>était</w:t>
      </w:r>
      <w:r w:rsidRPr="00B91530">
        <w:t xml:space="preserve"> pas clairement établi</w:t>
      </w:r>
      <w:r w:rsidR="00EC6775" w:rsidRPr="00B91530">
        <w:t xml:space="preserve">, </w:t>
      </w:r>
      <w:r w:rsidRPr="00B91530">
        <w:t>dans la communication</w:t>
      </w:r>
      <w:r w:rsidR="00EC6775" w:rsidRPr="00B91530">
        <w:t xml:space="preserve"> soumise, </w:t>
      </w:r>
      <w:r w:rsidRPr="00B91530">
        <w:t xml:space="preserve">que le délai initial aurait </w:t>
      </w:r>
      <w:r w:rsidR="00EC6775" w:rsidRPr="00B91530">
        <w:t xml:space="preserve">en tout état de cause </w:t>
      </w:r>
      <w:r w:rsidRPr="00B91530">
        <w:t>été respecté en l</w:t>
      </w:r>
      <w:r w:rsidR="0073119B" w:rsidRPr="00B91530">
        <w:t>'</w:t>
      </w:r>
      <w:r w:rsidRPr="00B91530">
        <w:t xml:space="preserve">absence de retard de lancement et, en particulier, lorsque des renseignements sur </w:t>
      </w:r>
      <w:r w:rsidR="00EC6775" w:rsidRPr="00B91530">
        <w:t>la mise à poste</w:t>
      </w:r>
      <w:r w:rsidRPr="00B91530">
        <w:t xml:space="preserve"> et la dérive nécessaires pour amener le satellite à sa position orbitale n</w:t>
      </w:r>
      <w:r w:rsidR="0073119B" w:rsidRPr="00B91530">
        <w:t>'</w:t>
      </w:r>
      <w:r w:rsidRPr="00B91530">
        <w:t>ont pas été fournis.</w:t>
      </w:r>
    </w:p>
    <w:p w14:paraId="10E1FD0F" w14:textId="5CEFB2ED" w:rsidR="00046F92" w:rsidRPr="00B91530" w:rsidRDefault="00046F92" w:rsidP="00A70B2E">
      <w:pPr>
        <w:pStyle w:val="Heading3"/>
      </w:pPr>
      <w:r w:rsidRPr="00B91530">
        <w:t>2.3.2</w:t>
      </w:r>
      <w:r w:rsidRPr="00B91530">
        <w:tab/>
      </w:r>
      <w:r w:rsidR="00684152" w:rsidRPr="00B91530">
        <w:t>Observations</w:t>
      </w:r>
    </w:p>
    <w:p w14:paraId="3B472FC5" w14:textId="10512063" w:rsidR="00A42F0D" w:rsidRPr="00B91530" w:rsidRDefault="00853ECE" w:rsidP="007F49F5">
      <w:r w:rsidRPr="00B91530">
        <w:t>Le Canada partage l</w:t>
      </w:r>
      <w:r w:rsidR="0073119B" w:rsidRPr="00B91530">
        <w:t>'</w:t>
      </w:r>
      <w:r w:rsidRPr="00B91530">
        <w:t xml:space="preserve">avis du Comité selon lequel invoquer un cas de force majeure </w:t>
      </w:r>
      <w:r w:rsidR="00A348A1" w:rsidRPr="00B91530">
        <w:t>en</w:t>
      </w:r>
      <w:r w:rsidRPr="00B91530">
        <w:t xml:space="preserve"> cas de retard dû à l'embarquement d'un autre satellite sur le même lanceur ne présente aucun avantage, </w:t>
      </w:r>
      <w:r w:rsidR="00A348A1" w:rsidRPr="00B91530">
        <w:t>étant donné qu'</w:t>
      </w:r>
      <w:r w:rsidRPr="00B91530">
        <w:t>en réalité,</w:t>
      </w:r>
      <w:r w:rsidR="00A348A1" w:rsidRPr="00B91530">
        <w:t xml:space="preserve"> les renseignements à fournir</w:t>
      </w:r>
      <w:r w:rsidR="00A42F0D" w:rsidRPr="00B91530">
        <w:t xml:space="preserve"> </w:t>
      </w:r>
      <w:r w:rsidR="00A42F0D" w:rsidRPr="00B91530">
        <w:rPr>
          <w:color w:val="000000"/>
          <w:szCs w:val="24"/>
        </w:rPr>
        <w:t>pour une demande de prorogation d'un délai réglementaire en cas de force majeure sont plus importants. De plus</w:t>
      </w:r>
      <w:r w:rsidR="004F750B" w:rsidRPr="00B91530">
        <w:rPr>
          <w:color w:val="000000"/>
          <w:szCs w:val="24"/>
        </w:rPr>
        <w:t>,</w:t>
      </w:r>
      <w:r w:rsidR="00A42F0D" w:rsidRPr="00B91530">
        <w:rPr>
          <w:color w:val="000000"/>
          <w:szCs w:val="24"/>
        </w:rPr>
        <w:t xml:space="preserve"> compte tenu de certaines difficultés rencontrées lors du traitement d</w:t>
      </w:r>
      <w:r w:rsidR="0073119B" w:rsidRPr="00B91530">
        <w:rPr>
          <w:color w:val="000000"/>
          <w:szCs w:val="24"/>
        </w:rPr>
        <w:t>'</w:t>
      </w:r>
      <w:r w:rsidR="00A42F0D" w:rsidRPr="00B91530">
        <w:rPr>
          <w:color w:val="000000"/>
          <w:szCs w:val="24"/>
        </w:rPr>
        <w:t>une demande de prorogation du délai réglementaire en raison d</w:t>
      </w:r>
      <w:r w:rsidR="0073119B" w:rsidRPr="00B91530">
        <w:rPr>
          <w:color w:val="000000"/>
          <w:szCs w:val="24"/>
        </w:rPr>
        <w:t>'</w:t>
      </w:r>
      <w:r w:rsidR="00A42F0D" w:rsidRPr="00B91530">
        <w:rPr>
          <w:color w:val="000000"/>
          <w:szCs w:val="24"/>
        </w:rPr>
        <w:t>un retard dû à l</w:t>
      </w:r>
      <w:r w:rsidR="0073119B" w:rsidRPr="00B91530">
        <w:rPr>
          <w:color w:val="000000"/>
          <w:szCs w:val="24"/>
        </w:rPr>
        <w:t>'</w:t>
      </w:r>
      <w:r w:rsidR="00A42F0D" w:rsidRPr="00B91530">
        <w:rPr>
          <w:color w:val="000000"/>
          <w:szCs w:val="24"/>
        </w:rPr>
        <w:t>embarquement d</w:t>
      </w:r>
      <w:r w:rsidR="0073119B" w:rsidRPr="00B91530">
        <w:rPr>
          <w:color w:val="000000"/>
          <w:szCs w:val="24"/>
        </w:rPr>
        <w:t>'</w:t>
      </w:r>
      <w:r w:rsidR="00A42F0D" w:rsidRPr="00B91530">
        <w:rPr>
          <w:color w:val="000000"/>
          <w:szCs w:val="24"/>
        </w:rPr>
        <w:t>un autre satellite sur le même lanceur, le Canada estime également qu'il convient d'apporter des précisions concernant les informations minimales à fournir, telles qu'adoptées par la CMR-19.</w:t>
      </w:r>
    </w:p>
    <w:p w14:paraId="35EF11BF" w14:textId="77777777" w:rsidR="003F7CCC" w:rsidRPr="00B91530" w:rsidRDefault="00291872" w:rsidP="00A70B2E">
      <w:pPr>
        <w:pStyle w:val="Proposal"/>
      </w:pPr>
      <w:r w:rsidRPr="00B91530">
        <w:tab/>
        <w:t>CAN/86A26/3</w:t>
      </w:r>
    </w:p>
    <w:p w14:paraId="2F88A2EE" w14:textId="6F65008A" w:rsidR="003F7CCC" w:rsidRPr="00B91530" w:rsidRDefault="00853ECE" w:rsidP="00A70B2E">
      <w:r w:rsidRPr="00B91530">
        <w:t>Le Canada propose que la Conférence</w:t>
      </w:r>
      <w:r w:rsidR="00046F92" w:rsidRPr="00B91530">
        <w:t>:</w:t>
      </w:r>
    </w:p>
    <w:p w14:paraId="7C569D3C" w14:textId="2190A814" w:rsidR="00046F92" w:rsidRPr="00B91530" w:rsidRDefault="00046F92" w:rsidP="00A70B2E">
      <w:pPr>
        <w:pStyle w:val="enumlev1"/>
      </w:pPr>
      <w:r w:rsidRPr="00B91530">
        <w:t>–</w:t>
      </w:r>
      <w:r w:rsidRPr="00B91530">
        <w:tab/>
      </w:r>
      <w:r w:rsidR="00853ECE" w:rsidRPr="00B91530">
        <w:t>confirme que les renseignements additionnels ci-après doivent être ajoutés aux renseignements minimaux adoptés par la CMR-19 pour la soumission d</w:t>
      </w:r>
      <w:r w:rsidR="0073119B" w:rsidRPr="00B91530">
        <w:t>'</w:t>
      </w:r>
      <w:r w:rsidR="00853ECE" w:rsidRPr="00B91530">
        <w:t xml:space="preserve">une demande de prorogation du délai réglementaire </w:t>
      </w:r>
      <w:r w:rsidR="00A348A1" w:rsidRPr="00B91530">
        <w:t>en cas</w:t>
      </w:r>
      <w:r w:rsidR="00853ECE" w:rsidRPr="00B91530">
        <w:t xml:space="preserve"> de retard dû à l</w:t>
      </w:r>
      <w:r w:rsidR="0073119B" w:rsidRPr="00B91530">
        <w:t>'</w:t>
      </w:r>
      <w:r w:rsidR="00853ECE" w:rsidRPr="00B91530">
        <w:t>embarquement d</w:t>
      </w:r>
      <w:r w:rsidR="0073119B" w:rsidRPr="00B91530">
        <w:t>'</w:t>
      </w:r>
      <w:r w:rsidR="00853ECE" w:rsidRPr="00B91530">
        <w:t>un autre satellite sur le même lanceur</w:t>
      </w:r>
      <w:r w:rsidR="00982030" w:rsidRPr="00B91530">
        <w:t xml:space="preserve">. </w:t>
      </w:r>
      <w:r w:rsidR="00A348A1" w:rsidRPr="00B91530">
        <w:t>Ces renseignements sont les suivants:</w:t>
      </w:r>
    </w:p>
    <w:p w14:paraId="19075631" w14:textId="1E8FCBB3" w:rsidR="00046F92" w:rsidRPr="00B91530" w:rsidRDefault="00046F92" w:rsidP="008469FD">
      <w:pPr>
        <w:pStyle w:val="enumlev2"/>
        <w:keepLines/>
      </w:pPr>
      <w:r w:rsidRPr="00B91530">
        <w:lastRenderedPageBreak/>
        <w:t>•</w:t>
      </w:r>
      <w:r w:rsidRPr="00B91530">
        <w:tab/>
        <w:t>calendrier initial et révisé des étapes du projet pour la construction, la fenêtre de lancement, le lancement et la mise à poste du satellite, ainsi que les échéances concernant le repositionnement et les essais sur orbite, lorsque le satellite n'est pas placé directement sur sa position nominale ou sur son orbite des satellites non géostationnaires; et</w:t>
      </w:r>
    </w:p>
    <w:p w14:paraId="5930ADC0" w14:textId="27CAE6A3" w:rsidR="00046F92" w:rsidRPr="00B91530" w:rsidRDefault="00046F92" w:rsidP="00A70B2E">
      <w:pPr>
        <w:pStyle w:val="enumlev2"/>
      </w:pPr>
      <w:r w:rsidRPr="00B91530">
        <w:t>•</w:t>
      </w:r>
      <w:r w:rsidRPr="00B91530">
        <w:tab/>
        <w:t>justification détaillée de la durée de la prorogation demandée, y compris le détail de la nature et de l'importance du retard pris jusqu'à présent, le retard supplémentaire prévu par le fournisseur de services de lancement, et toute éventualité prévue.</w:t>
      </w:r>
    </w:p>
    <w:p w14:paraId="1710FF2C" w14:textId="25FB1B4D" w:rsidR="00046F92" w:rsidRPr="00B91530" w:rsidRDefault="00046F92" w:rsidP="00A70B2E">
      <w:pPr>
        <w:pStyle w:val="enumlev1"/>
      </w:pPr>
      <w:r w:rsidRPr="00B91530">
        <w:t>–</w:t>
      </w:r>
      <w:r w:rsidRPr="00B91530">
        <w:tab/>
      </w:r>
      <w:r w:rsidR="003E0FA0" w:rsidRPr="00B91530">
        <w:t xml:space="preserve">charge le Comité de </w:t>
      </w:r>
      <w:r w:rsidR="00A348A1" w:rsidRPr="00B91530">
        <w:t>faire figurer</w:t>
      </w:r>
      <w:r w:rsidR="003E0FA0" w:rsidRPr="00B91530">
        <w:t xml:space="preserve"> dans la nouvelle section de la Règle de procédure consacrée aux décisions de la CMR</w:t>
      </w:r>
      <w:r w:rsidR="00A348A1" w:rsidRPr="00B91530">
        <w:t xml:space="preserve"> les </w:t>
      </w:r>
      <w:r w:rsidR="003E0FA0" w:rsidRPr="00B91530">
        <w:t xml:space="preserve">renseignements minimaux requis </w:t>
      </w:r>
      <w:r w:rsidR="00A348A1" w:rsidRPr="00B91530">
        <w:t xml:space="preserve">relatifs à </w:t>
      </w:r>
      <w:r w:rsidR="003E0FA0" w:rsidRPr="00B91530">
        <w:t>la demande de prorogation d</w:t>
      </w:r>
      <w:r w:rsidR="0073119B" w:rsidRPr="00B91530">
        <w:t>'</w:t>
      </w:r>
      <w:r w:rsidR="003E0FA0" w:rsidRPr="00B91530">
        <w:t xml:space="preserve">un délai réglementaire </w:t>
      </w:r>
      <w:r w:rsidR="00A348A1" w:rsidRPr="00B91530">
        <w:t xml:space="preserve">en cas </w:t>
      </w:r>
      <w:r w:rsidR="00CD14E5" w:rsidRPr="00B91530">
        <w:t xml:space="preserve">de </w:t>
      </w:r>
      <w:r w:rsidR="003E0FA0" w:rsidRPr="00B91530">
        <w:t>retard d</w:t>
      </w:r>
      <w:r w:rsidR="00CD14E5" w:rsidRPr="00B91530">
        <w:t>û</w:t>
      </w:r>
      <w:r w:rsidR="003E0FA0" w:rsidRPr="00B91530">
        <w:t xml:space="preserve"> à l</w:t>
      </w:r>
      <w:r w:rsidR="0073119B" w:rsidRPr="00B91530">
        <w:t>'</w:t>
      </w:r>
      <w:r w:rsidR="003E0FA0" w:rsidRPr="00B91530">
        <w:t>embarquement d</w:t>
      </w:r>
      <w:r w:rsidR="0073119B" w:rsidRPr="00B91530">
        <w:t>'</w:t>
      </w:r>
      <w:r w:rsidR="003E0FA0" w:rsidRPr="00B91530">
        <w:t>un autre satellite sur le même lanceur</w:t>
      </w:r>
      <w:r w:rsidRPr="00B91530">
        <w:t>.</w:t>
      </w:r>
    </w:p>
    <w:p w14:paraId="27DF566F" w14:textId="77777777" w:rsidR="003F7CCC" w:rsidRPr="00B91530" w:rsidRDefault="003F7CCC" w:rsidP="00A70B2E">
      <w:pPr>
        <w:pStyle w:val="Reasons"/>
      </w:pPr>
    </w:p>
    <w:p w14:paraId="0B70207B" w14:textId="6C2F647B" w:rsidR="00046F92" w:rsidRPr="00B91530" w:rsidRDefault="00046F92" w:rsidP="00A70B2E">
      <w:pPr>
        <w:pStyle w:val="Heading1"/>
      </w:pPr>
      <w:r w:rsidRPr="00B91530">
        <w:t>3</w:t>
      </w:r>
      <w:r w:rsidRPr="00B91530">
        <w:tab/>
      </w:r>
      <w:r w:rsidR="003E0FA0" w:rsidRPr="00B91530">
        <w:t>Conversion d</w:t>
      </w:r>
      <w:r w:rsidR="0073119B" w:rsidRPr="00B91530">
        <w:t>'</w:t>
      </w:r>
      <w:r w:rsidR="003E0FA0" w:rsidRPr="00B91530">
        <w:t xml:space="preserve">allotissements nationaux </w:t>
      </w:r>
      <w:r w:rsidR="00CD14E5" w:rsidRPr="00B91530">
        <w:t>figurant</w:t>
      </w:r>
      <w:r w:rsidR="00A348A1" w:rsidRPr="00B91530">
        <w:t xml:space="preserve"> </w:t>
      </w:r>
      <w:r w:rsidR="00CD14E5" w:rsidRPr="00B91530">
        <w:t>dans</w:t>
      </w:r>
      <w:r w:rsidR="003E0FA0" w:rsidRPr="00B91530">
        <w:t xml:space="preserve"> l</w:t>
      </w:r>
      <w:r w:rsidR="0073119B" w:rsidRPr="00B91530">
        <w:t>'</w:t>
      </w:r>
      <w:r w:rsidR="003E0FA0" w:rsidRPr="00B91530">
        <w:t>Appendice 30B du RR</w:t>
      </w:r>
    </w:p>
    <w:p w14:paraId="75FD14D8" w14:textId="20686DFB" w:rsidR="00046F92" w:rsidRPr="00B91530" w:rsidRDefault="00046F92" w:rsidP="00A70B2E">
      <w:pPr>
        <w:pStyle w:val="Heading2"/>
      </w:pPr>
      <w:r w:rsidRPr="00B91530">
        <w:t>3.1</w:t>
      </w:r>
      <w:r w:rsidRPr="00B91530">
        <w:tab/>
      </w:r>
      <w:r w:rsidR="003E0FA0" w:rsidRPr="00B91530">
        <w:t>Considérations générales et examen</w:t>
      </w:r>
    </w:p>
    <w:p w14:paraId="1554D648" w14:textId="7C654D66" w:rsidR="00046F92" w:rsidRPr="00B91530" w:rsidRDefault="00046F92" w:rsidP="00A70B2E">
      <w:r w:rsidRPr="00B91530">
        <w:t xml:space="preserve">Le Comité a examiné une demande de prorogation du délai réglementaire applicable à la mise en service des assignations de fréquence d'un réseau à satellite nécessitant la conversion d'un allotissement national figurant dans l'Appendice </w:t>
      </w:r>
      <w:r w:rsidRPr="00B91530">
        <w:rPr>
          <w:b/>
          <w:bCs/>
        </w:rPr>
        <w:t>30B</w:t>
      </w:r>
      <w:r w:rsidR="00A348A1" w:rsidRPr="00B91530">
        <w:rPr>
          <w:b/>
          <w:bCs/>
        </w:rPr>
        <w:t xml:space="preserve"> </w:t>
      </w:r>
      <w:r w:rsidR="00A348A1" w:rsidRPr="00B91530">
        <w:t>du RR</w:t>
      </w:r>
      <w:r w:rsidRPr="00B91530">
        <w:t xml:space="preserve"> en une assignation de fréquence dans les limites </w:t>
      </w:r>
      <w:r w:rsidR="00A348A1" w:rsidRPr="00B91530">
        <w:t>de l'enveloppe</w:t>
      </w:r>
      <w:r w:rsidR="00FA5373" w:rsidRPr="00B91530">
        <w:t xml:space="preserve"> </w:t>
      </w:r>
      <w:r w:rsidRPr="00B91530">
        <w:t>de l'allotissement initial.</w:t>
      </w:r>
      <w:r w:rsidR="004F6DC7" w:rsidRPr="00B91530">
        <w:t xml:space="preserve"> Il a conclu que l'application d'un délai réglementaire pour la mise en service de</w:t>
      </w:r>
      <w:r w:rsidR="00C90801" w:rsidRPr="00B91530">
        <w:t xml:space="preserve"> ces </w:t>
      </w:r>
      <w:r w:rsidR="004F6DC7" w:rsidRPr="00B91530">
        <w:t xml:space="preserve">assignations de </w:t>
      </w:r>
      <w:r w:rsidR="00C90801" w:rsidRPr="00B91530">
        <w:t xml:space="preserve">fréquence </w:t>
      </w:r>
      <w:r w:rsidR="004F6DC7" w:rsidRPr="00B91530">
        <w:t xml:space="preserve">n'était pas conforme à l'objet de l'Appendice </w:t>
      </w:r>
      <w:r w:rsidR="004F6DC7" w:rsidRPr="00B91530">
        <w:rPr>
          <w:b/>
          <w:bCs/>
        </w:rPr>
        <w:t xml:space="preserve">30B </w:t>
      </w:r>
      <w:r w:rsidR="004F6DC7" w:rsidRPr="00B91530">
        <w:t>du RR.</w:t>
      </w:r>
    </w:p>
    <w:p w14:paraId="5587DE8F" w14:textId="67FC461A" w:rsidR="00046F92" w:rsidRPr="00B91530" w:rsidRDefault="004F6DC7" w:rsidP="00A70B2E">
      <w:pPr>
        <w:rPr>
          <w:b/>
          <w:bCs/>
        </w:rPr>
      </w:pPr>
      <w:r w:rsidRPr="00B91530">
        <w:t>Le Comité a noté que</w:t>
      </w:r>
      <w:r w:rsidR="00C90801" w:rsidRPr="00B91530">
        <w:t xml:space="preserve">, </w:t>
      </w:r>
      <w:r w:rsidRPr="00B91530">
        <w:t>c</w:t>
      </w:r>
      <w:r w:rsidR="00046F92" w:rsidRPr="00B91530">
        <w:t xml:space="preserve">onformément au § 1.2 de l'Article 1 de l'Appendice </w:t>
      </w:r>
      <w:r w:rsidR="00046F92" w:rsidRPr="00B91530">
        <w:rPr>
          <w:b/>
          <w:bCs/>
        </w:rPr>
        <w:t>30B</w:t>
      </w:r>
      <w:r w:rsidR="00C90801" w:rsidRPr="00B91530">
        <w:t xml:space="preserve"> du RR</w:t>
      </w:r>
      <w:r w:rsidR="00046F92" w:rsidRPr="00B91530">
        <w:t xml:space="preserve">, les procédures prescrites dans l'Appendice </w:t>
      </w:r>
      <w:r w:rsidR="00046F92" w:rsidRPr="00B91530">
        <w:rPr>
          <w:b/>
          <w:bCs/>
        </w:rPr>
        <w:t>30B</w:t>
      </w:r>
      <w:r w:rsidR="00C90801" w:rsidRPr="00B91530">
        <w:t xml:space="preserve"> du RR</w:t>
      </w:r>
      <w:r w:rsidR="00046F92" w:rsidRPr="00B91530">
        <w:t xml:space="preserve"> «ne doivent en aucune manière empêcher la mise en œuvre d'assignations conformes aux allotissements nationaux du Plan».</w:t>
      </w:r>
      <w:r w:rsidRPr="00B91530">
        <w:t xml:space="preserve"> En outre, au cas où des assignations de fréquence conformes à l'</w:t>
      </w:r>
      <w:r w:rsidR="004A26D5" w:rsidRPr="00B91530">
        <w:t>allotissement</w:t>
      </w:r>
      <w:r w:rsidRPr="00B91530">
        <w:t xml:space="preserve"> dans le Plan ne seraient pas mises en service avant le délai réglementaire prescrit dans les Articles 6 et 8 de l'Appendice </w:t>
      </w:r>
      <w:r w:rsidRPr="00B91530">
        <w:rPr>
          <w:b/>
          <w:bCs/>
        </w:rPr>
        <w:t>30B</w:t>
      </w:r>
      <w:r w:rsidR="004A26D5" w:rsidRPr="00B91530">
        <w:t xml:space="preserve"> du RR, l'allotissement devrait être réintégré. Cela n</w:t>
      </w:r>
      <w:r w:rsidR="0073119B" w:rsidRPr="00B91530">
        <w:t>'</w:t>
      </w:r>
      <w:r w:rsidR="004A26D5" w:rsidRPr="00B91530">
        <w:t>aurait aucune incidence pour d</w:t>
      </w:r>
      <w:r w:rsidR="0073119B" w:rsidRPr="00B91530">
        <w:t>'</w:t>
      </w:r>
      <w:r w:rsidR="004A26D5" w:rsidRPr="00B91530">
        <w:t>autres administrations, étant donné que la conversion d</w:t>
      </w:r>
      <w:r w:rsidR="0073119B" w:rsidRPr="00B91530">
        <w:t>'</w:t>
      </w:r>
      <w:r w:rsidR="004A26D5" w:rsidRPr="00B91530">
        <w:t xml:space="preserve">un allotissement national en assignations de fréquence conformes au Plan </w:t>
      </w:r>
      <w:r w:rsidR="00C90801" w:rsidRPr="00B91530">
        <w:t>n'appelle</w:t>
      </w:r>
      <w:r w:rsidR="004A26D5" w:rsidRPr="00B91530">
        <w:t xml:space="preserve"> aucune coordination avec d</w:t>
      </w:r>
      <w:r w:rsidR="0073119B" w:rsidRPr="00B91530">
        <w:t>'</w:t>
      </w:r>
      <w:r w:rsidR="004A26D5" w:rsidRPr="00B91530">
        <w:t xml:space="preserve">autres administrations, mais imposerait des contraintes administratives </w:t>
      </w:r>
      <w:r w:rsidR="00C90801" w:rsidRPr="00B91530">
        <w:t xml:space="preserve">additionnelles </w:t>
      </w:r>
      <w:r w:rsidR="004A26D5" w:rsidRPr="00B91530">
        <w:t>à l</w:t>
      </w:r>
      <w:r w:rsidR="0073119B" w:rsidRPr="00B91530">
        <w:t>'</w:t>
      </w:r>
      <w:r w:rsidR="004A26D5" w:rsidRPr="00B91530">
        <w:t>administration notificatrice et au Bureau.</w:t>
      </w:r>
    </w:p>
    <w:p w14:paraId="3993817E" w14:textId="41D041EE" w:rsidR="00046F92" w:rsidRPr="00B91530" w:rsidRDefault="004A26D5" w:rsidP="00A70B2E">
      <w:r w:rsidRPr="00B91530">
        <w:t xml:space="preserve">Le Comité a </w:t>
      </w:r>
      <w:r w:rsidR="00C90801" w:rsidRPr="00B91530">
        <w:t xml:space="preserve">déterminé </w:t>
      </w:r>
      <w:r w:rsidRPr="00B91530">
        <w:t xml:space="preserve">des modifications </w:t>
      </w:r>
      <w:r w:rsidR="00F25966" w:rsidRPr="00B91530">
        <w:t>qui pourraient être apportées aux</w:t>
      </w:r>
      <w:r w:rsidRPr="00B91530">
        <w:t xml:space="preserve"> Articles 6 et 8 de l</w:t>
      </w:r>
      <w:r w:rsidR="0073119B" w:rsidRPr="00B91530">
        <w:t>'</w:t>
      </w:r>
      <w:r w:rsidRPr="00B91530">
        <w:t xml:space="preserve">Appendice </w:t>
      </w:r>
      <w:r w:rsidRPr="00B91530">
        <w:rPr>
          <w:b/>
          <w:bCs/>
        </w:rPr>
        <w:t>30B</w:t>
      </w:r>
      <w:r w:rsidRPr="00B91530">
        <w:t xml:space="preserve"> du RR pour résoudre ce problème. Dans ce contexte, pour les assignations de fréquence résultant de la conversion d</w:t>
      </w:r>
      <w:r w:rsidR="0073119B" w:rsidRPr="00B91530">
        <w:t>'</w:t>
      </w:r>
      <w:r w:rsidRPr="00B91530">
        <w:t xml:space="preserve">un allotissement dans les limites </w:t>
      </w:r>
      <w:r w:rsidR="00C90801" w:rsidRPr="00B91530">
        <w:t xml:space="preserve">de l'enveloppe </w:t>
      </w:r>
      <w:r w:rsidRPr="00B91530">
        <w:t xml:space="preserve">de </w:t>
      </w:r>
      <w:r w:rsidR="00C90801" w:rsidRPr="00B91530">
        <w:t xml:space="preserve">cet </w:t>
      </w:r>
      <w:r w:rsidR="00F25966" w:rsidRPr="00B91530">
        <w:t>allotissement</w:t>
      </w:r>
      <w:r w:rsidRPr="00B91530">
        <w:t xml:space="preserve">, le délai réglementaire </w:t>
      </w:r>
      <w:r w:rsidR="00C90801" w:rsidRPr="00B91530">
        <w:t xml:space="preserve">applicable à la </w:t>
      </w:r>
      <w:r w:rsidRPr="00B91530">
        <w:t xml:space="preserve">mise en service ne serait </w:t>
      </w:r>
      <w:r w:rsidR="00C90801" w:rsidRPr="00B91530">
        <w:t xml:space="preserve">indiqué </w:t>
      </w:r>
      <w:r w:rsidRPr="00B91530">
        <w:t>qu</w:t>
      </w:r>
      <w:r w:rsidR="0073119B" w:rsidRPr="00B91530">
        <w:t>'</w:t>
      </w:r>
      <w:r w:rsidRPr="00B91530">
        <w:t>au moment de la notification. Il convient de noter qu</w:t>
      </w:r>
      <w:r w:rsidR="0073119B" w:rsidRPr="00B91530">
        <w:t>'</w:t>
      </w:r>
      <w:r w:rsidRPr="00B91530">
        <w:t>en vertu des propositions de modification figurant dans le rapport du Comité, il n</w:t>
      </w:r>
      <w:r w:rsidR="0073119B" w:rsidRPr="00B91530">
        <w:t>'</w:t>
      </w:r>
      <w:r w:rsidRPr="00B91530">
        <w:t>existe aucun délai applicable à la soumission des renseignements de notification au titre de l</w:t>
      </w:r>
      <w:r w:rsidR="0073119B" w:rsidRPr="00B91530">
        <w:t>'</w:t>
      </w:r>
      <w:r w:rsidRPr="00B91530">
        <w:t>Article 8 de l</w:t>
      </w:r>
      <w:r w:rsidR="0073119B" w:rsidRPr="00B91530">
        <w:t>'</w:t>
      </w:r>
      <w:r w:rsidRPr="00B91530">
        <w:t xml:space="preserve">Appendice </w:t>
      </w:r>
      <w:r w:rsidRPr="00B91530">
        <w:rPr>
          <w:b/>
          <w:bCs/>
        </w:rPr>
        <w:t>30B</w:t>
      </w:r>
      <w:r w:rsidRPr="00B91530">
        <w:t xml:space="preserve"> du RR. L</w:t>
      </w:r>
      <w:r w:rsidR="0073119B" w:rsidRPr="00B91530">
        <w:t>'</w:t>
      </w:r>
      <w:r w:rsidRPr="00B91530">
        <w:t>administration serait également autorisée à proroger de trois ans au maximum</w:t>
      </w:r>
      <w:r w:rsidR="004F750B" w:rsidRPr="00B91530">
        <w:t xml:space="preserve">, </w:t>
      </w:r>
      <w:r w:rsidRPr="00B91530">
        <w:t>sur demande</w:t>
      </w:r>
      <w:r w:rsidR="00C90801" w:rsidRPr="00B91530">
        <w:t xml:space="preserve">, </w:t>
      </w:r>
      <w:r w:rsidRPr="00B91530">
        <w:t>le délai réglementaire applicable à la mise en service de ces assignations.</w:t>
      </w:r>
    </w:p>
    <w:p w14:paraId="07353CCB" w14:textId="3B1EF498" w:rsidR="00046F92" w:rsidRPr="00B91530" w:rsidRDefault="00046F92" w:rsidP="00A70B2E">
      <w:pPr>
        <w:pStyle w:val="Heading2"/>
      </w:pPr>
      <w:r w:rsidRPr="00B91530">
        <w:t>3.2</w:t>
      </w:r>
      <w:r w:rsidRPr="00B91530">
        <w:tab/>
      </w:r>
      <w:r w:rsidR="004A26D5" w:rsidRPr="00B91530">
        <w:t>Observations</w:t>
      </w:r>
    </w:p>
    <w:p w14:paraId="7CFA2B70" w14:textId="55574627" w:rsidR="00046F92" w:rsidRPr="00B91530" w:rsidRDefault="004A26D5" w:rsidP="00A70B2E">
      <w:r w:rsidRPr="00B91530">
        <w:t>Le Canada</w:t>
      </w:r>
      <w:r w:rsidR="00C90801" w:rsidRPr="00B91530">
        <w:t xml:space="preserve"> pense lui aussi </w:t>
      </w:r>
      <w:r w:rsidRPr="00B91530">
        <w:t>que l</w:t>
      </w:r>
      <w:r w:rsidR="0073119B" w:rsidRPr="00B91530">
        <w:t>'</w:t>
      </w:r>
      <w:r w:rsidRPr="00B91530">
        <w:t>application actuelle du § 6.31 de l</w:t>
      </w:r>
      <w:r w:rsidR="0073119B" w:rsidRPr="00B91530">
        <w:t>'</w:t>
      </w:r>
      <w:r w:rsidRPr="00B91530">
        <w:t>Article 6 de l</w:t>
      </w:r>
      <w:r w:rsidR="0073119B" w:rsidRPr="00B91530">
        <w:t>'</w:t>
      </w:r>
      <w:r w:rsidRPr="00B91530">
        <w:t xml:space="preserve">Appendice </w:t>
      </w:r>
      <w:r w:rsidRPr="00B91530">
        <w:rPr>
          <w:b/>
          <w:bCs/>
        </w:rPr>
        <w:t>30B</w:t>
      </w:r>
      <w:r w:rsidRPr="00B91530">
        <w:t xml:space="preserve"> du RR aux assignations de fréquence résultant de la conversion d</w:t>
      </w:r>
      <w:r w:rsidR="0073119B" w:rsidRPr="00B91530">
        <w:t>'</w:t>
      </w:r>
      <w:r w:rsidRPr="00B91530">
        <w:t>un allotissement sans aucune modification</w:t>
      </w:r>
      <w:r w:rsidR="00C90801" w:rsidRPr="00B91530">
        <w:t>,</w:t>
      </w:r>
      <w:r w:rsidRPr="00B91530">
        <w:t xml:space="preserve"> ou avec modification dans les limites </w:t>
      </w:r>
      <w:r w:rsidR="00C90801" w:rsidRPr="00B91530">
        <w:t>de l'enveloppe</w:t>
      </w:r>
      <w:r w:rsidR="004F750B" w:rsidRPr="00B91530">
        <w:rPr>
          <w:rFonts w:ascii="Segoe UI" w:hAnsi="Segoe UI" w:cs="Segoe UI"/>
          <w:color w:val="000000"/>
          <w:sz w:val="20"/>
          <w:shd w:val="clear" w:color="auto" w:fill="FFFFFF"/>
        </w:rPr>
        <w:t xml:space="preserve"> </w:t>
      </w:r>
      <w:r w:rsidRPr="00B91530">
        <w:t>d</w:t>
      </w:r>
      <w:r w:rsidR="0073119B" w:rsidRPr="00B91530">
        <w:t>'</w:t>
      </w:r>
      <w:r w:rsidRPr="00B91530">
        <w:t xml:space="preserve">un allotissement figurant dans </w:t>
      </w:r>
      <w:r w:rsidRPr="00B91530">
        <w:lastRenderedPageBreak/>
        <w:t>le Plan</w:t>
      </w:r>
      <w:r w:rsidR="00C90801" w:rsidRPr="00B91530">
        <w:t>,</w:t>
      </w:r>
      <w:r w:rsidRPr="00B91530">
        <w:t xml:space="preserve"> est incompatible avec l</w:t>
      </w:r>
      <w:r w:rsidR="0073119B" w:rsidRPr="00B91530">
        <w:t>'</w:t>
      </w:r>
      <w:r w:rsidRPr="00B91530">
        <w:t xml:space="preserve">objectif </w:t>
      </w:r>
      <w:r w:rsidR="00C90801" w:rsidRPr="00B91530">
        <w:t xml:space="preserve">consistant à assurer un </w:t>
      </w:r>
      <w:r w:rsidRPr="00B91530">
        <w:t>accès équitable aux ressources spectr</w:t>
      </w:r>
      <w:r w:rsidR="001A052C" w:rsidRPr="00B91530">
        <w:t>ales</w:t>
      </w:r>
      <w:r w:rsidRPr="00B91530">
        <w:t xml:space="preserve"> et orbit</w:t>
      </w:r>
      <w:r w:rsidR="001A052C" w:rsidRPr="00B91530">
        <w:t xml:space="preserve">ales, </w:t>
      </w:r>
      <w:r w:rsidR="00C90801" w:rsidRPr="00B91530">
        <w:t>en ce sens qu'elle se traduit par l'utilisation</w:t>
      </w:r>
      <w:r w:rsidR="001A052C" w:rsidRPr="00B91530">
        <w:t xml:space="preserve"> </w:t>
      </w:r>
      <w:r w:rsidRPr="00B91530">
        <w:t>d</w:t>
      </w:r>
      <w:r w:rsidR="00F25966" w:rsidRPr="00B91530">
        <w:t>'</w:t>
      </w:r>
      <w:r w:rsidRPr="00B91530">
        <w:t>assignations résultant de la conversion d</w:t>
      </w:r>
      <w:r w:rsidR="0073119B" w:rsidRPr="00B91530">
        <w:t>'</w:t>
      </w:r>
      <w:r w:rsidRPr="00B91530">
        <w:t>allotissements nationaux sans date d</w:t>
      </w:r>
      <w:r w:rsidR="0073119B" w:rsidRPr="00B91530">
        <w:t>'</w:t>
      </w:r>
      <w:r w:rsidRPr="00B91530">
        <w:t xml:space="preserve">expiration et </w:t>
      </w:r>
      <w:r w:rsidR="004F750B" w:rsidRPr="00B91530">
        <w:t>i</w:t>
      </w:r>
      <w:r w:rsidR="00C90801" w:rsidRPr="00B91530">
        <w:t>mpose des contraintes</w:t>
      </w:r>
      <w:r w:rsidRPr="00B91530">
        <w:t xml:space="preserve"> administrative</w:t>
      </w:r>
      <w:r w:rsidR="00C90801" w:rsidRPr="00B91530">
        <w:t>s</w:t>
      </w:r>
      <w:r w:rsidRPr="00B91530">
        <w:t xml:space="preserve"> inutile</w:t>
      </w:r>
      <w:r w:rsidR="00C90801" w:rsidRPr="00B91530">
        <w:t>s</w:t>
      </w:r>
      <w:r w:rsidRPr="00B91530">
        <w:t xml:space="preserve"> </w:t>
      </w:r>
      <w:r w:rsidR="00C90801" w:rsidRPr="00B91530">
        <w:t>aux administrations</w:t>
      </w:r>
      <w:r w:rsidRPr="00B91530">
        <w:t xml:space="preserve"> notificatrices et </w:t>
      </w:r>
      <w:r w:rsidR="00C90801" w:rsidRPr="00B91530">
        <w:t xml:space="preserve">au </w:t>
      </w:r>
      <w:r w:rsidRPr="00B91530">
        <w:t>Bureau.</w:t>
      </w:r>
    </w:p>
    <w:p w14:paraId="3E03AF39" w14:textId="77777777" w:rsidR="003F7CCC" w:rsidRPr="00B91530" w:rsidRDefault="00291872" w:rsidP="00A70B2E">
      <w:pPr>
        <w:pStyle w:val="Proposal"/>
      </w:pPr>
      <w:r w:rsidRPr="00B91530">
        <w:tab/>
        <w:t>CAN/86A26/4</w:t>
      </w:r>
    </w:p>
    <w:p w14:paraId="2E6601D0" w14:textId="0E269FC6" w:rsidR="003F7CCC" w:rsidRPr="00B91530" w:rsidRDefault="00C60A11" w:rsidP="00A70B2E">
      <w:r w:rsidRPr="00B91530">
        <w:t>Le Canada propose que la Conférence invite l</w:t>
      </w:r>
      <w:r w:rsidR="0073119B" w:rsidRPr="00B91530">
        <w:t>'</w:t>
      </w:r>
      <w:r w:rsidRPr="00B91530">
        <w:t>UIT-R à étudier la question</w:t>
      </w:r>
      <w:r w:rsidR="00C90801" w:rsidRPr="00B91530">
        <w:t>,</w:t>
      </w:r>
      <w:r w:rsidRPr="00B91530">
        <w:t xml:space="preserve"> en vue d</w:t>
      </w:r>
      <w:r w:rsidR="0073119B" w:rsidRPr="00B91530">
        <w:t>'</w:t>
      </w:r>
      <w:r w:rsidRPr="00B91530">
        <w:t xml:space="preserve">apporter les </w:t>
      </w:r>
      <w:r w:rsidR="00C90801" w:rsidRPr="00B91530">
        <w:t xml:space="preserve">éventuelles </w:t>
      </w:r>
      <w:r w:rsidRPr="00B91530">
        <w:t>modifications nécessaires à l</w:t>
      </w:r>
      <w:r w:rsidR="0073119B" w:rsidRPr="00B91530">
        <w:t>'</w:t>
      </w:r>
      <w:r w:rsidRPr="00B91530">
        <w:t xml:space="preserve">Appendice </w:t>
      </w:r>
      <w:r w:rsidRPr="00B91530">
        <w:rPr>
          <w:b/>
          <w:bCs/>
        </w:rPr>
        <w:t>30B</w:t>
      </w:r>
      <w:r w:rsidRPr="00B91530">
        <w:t xml:space="preserve"> du RR</w:t>
      </w:r>
      <w:r w:rsidR="00C90801" w:rsidRPr="00B91530">
        <w:t xml:space="preserve">, </w:t>
      </w:r>
      <w:r w:rsidRPr="00B91530">
        <w:t xml:space="preserve">afin que </w:t>
      </w:r>
      <w:r w:rsidR="00C90801" w:rsidRPr="00B91530">
        <w:t>le fait de ne pas mettre</w:t>
      </w:r>
      <w:r w:rsidRPr="00B91530">
        <w:t xml:space="preserve"> en service une assignation de fréquence résultant de la conversion d</w:t>
      </w:r>
      <w:r w:rsidR="0073119B" w:rsidRPr="00B91530">
        <w:t>'</w:t>
      </w:r>
      <w:r w:rsidRPr="00B91530">
        <w:t>un allotissement sans aucune modification</w:t>
      </w:r>
      <w:r w:rsidR="00A42F0D" w:rsidRPr="00B91530">
        <w:t>,</w:t>
      </w:r>
      <w:r w:rsidRPr="00B91530">
        <w:t xml:space="preserve"> ou avec modification dans les limites</w:t>
      </w:r>
      <w:r w:rsidR="00A42F0D" w:rsidRPr="00B91530">
        <w:t xml:space="preserve"> de l'enveloppe </w:t>
      </w:r>
      <w:r w:rsidRPr="00B91530">
        <w:t>d</w:t>
      </w:r>
      <w:r w:rsidR="0073119B" w:rsidRPr="00B91530">
        <w:t>'</w:t>
      </w:r>
      <w:r w:rsidRPr="00B91530">
        <w:t xml:space="preserve">un allotissement figurant dans le Plan </w:t>
      </w:r>
      <w:r w:rsidR="00A42F0D" w:rsidRPr="00B91530">
        <w:t>n'impose pas des contraintes administratives inutiles à</w:t>
      </w:r>
      <w:r w:rsidRPr="00B91530">
        <w:t xml:space="preserve"> l</w:t>
      </w:r>
      <w:r w:rsidR="0073119B" w:rsidRPr="00B91530">
        <w:t>'</w:t>
      </w:r>
      <w:r w:rsidRPr="00B91530">
        <w:t xml:space="preserve">administration notificatrice et </w:t>
      </w:r>
      <w:r w:rsidR="00A42F0D" w:rsidRPr="00B91530">
        <w:t xml:space="preserve">au </w:t>
      </w:r>
      <w:r w:rsidRPr="00B91530">
        <w:t>Bureau.</w:t>
      </w:r>
    </w:p>
    <w:p w14:paraId="1A6055D1" w14:textId="67304838" w:rsidR="003F7CCC" w:rsidRPr="00B91530" w:rsidRDefault="00291872" w:rsidP="00A70B2E">
      <w:pPr>
        <w:pStyle w:val="Reasons"/>
      </w:pPr>
      <w:r w:rsidRPr="00B91530">
        <w:rPr>
          <w:b/>
        </w:rPr>
        <w:t>Motifs:</w:t>
      </w:r>
      <w:r w:rsidRPr="00B91530">
        <w:tab/>
      </w:r>
      <w:r w:rsidR="00354F4D" w:rsidRPr="00B91530">
        <w:t xml:space="preserve">Étudier </w:t>
      </w:r>
      <w:r w:rsidR="00C60A11" w:rsidRPr="00B91530">
        <w:t>les modifications</w:t>
      </w:r>
      <w:r w:rsidR="00A42F0D" w:rsidRPr="00B91530">
        <w:t xml:space="preserve"> à </w:t>
      </w:r>
      <w:r w:rsidR="00C60A11" w:rsidRPr="00B91530">
        <w:t>apporter à l</w:t>
      </w:r>
      <w:r w:rsidR="0073119B" w:rsidRPr="00B91530">
        <w:t>'</w:t>
      </w:r>
      <w:r w:rsidR="00C60A11" w:rsidRPr="00B91530">
        <w:t xml:space="preserve">Appendice </w:t>
      </w:r>
      <w:r w:rsidR="00C60A11" w:rsidRPr="00B91530">
        <w:rPr>
          <w:b/>
          <w:bCs/>
        </w:rPr>
        <w:t>30B</w:t>
      </w:r>
      <w:r w:rsidR="00C60A11" w:rsidRPr="00B91530">
        <w:t xml:space="preserve"> du RR afin de supprimer les obstacles </w:t>
      </w:r>
      <w:r w:rsidR="00A42F0D" w:rsidRPr="00B91530">
        <w:t xml:space="preserve">à une poursuite de la simplification de </w:t>
      </w:r>
      <w:r w:rsidR="00C60A11" w:rsidRPr="00B91530">
        <w:t>la mise en œuvre des assignations de fréquence résultant de la conversion d</w:t>
      </w:r>
      <w:r w:rsidR="0073119B" w:rsidRPr="00B91530">
        <w:t>'</w:t>
      </w:r>
      <w:r w:rsidR="00C60A11" w:rsidRPr="00B91530">
        <w:t>un allotissement de l</w:t>
      </w:r>
      <w:r w:rsidR="0073119B" w:rsidRPr="00B91530">
        <w:t>'</w:t>
      </w:r>
      <w:r w:rsidR="00C60A11" w:rsidRPr="00B91530">
        <w:t xml:space="preserve">Appendice </w:t>
      </w:r>
      <w:r w:rsidR="00C60A11" w:rsidRPr="00B91530">
        <w:rPr>
          <w:b/>
          <w:bCs/>
        </w:rPr>
        <w:t>30B</w:t>
      </w:r>
      <w:r w:rsidR="00C60A11" w:rsidRPr="00B91530">
        <w:t xml:space="preserve"> du RR et de réduire les </w:t>
      </w:r>
      <w:r w:rsidR="00A42F0D" w:rsidRPr="00B91530">
        <w:t xml:space="preserve">contraintes </w:t>
      </w:r>
      <w:r w:rsidR="00C60A11" w:rsidRPr="00B91530">
        <w:t xml:space="preserve">administratives </w:t>
      </w:r>
      <w:r w:rsidR="00A42F0D" w:rsidRPr="00B91530">
        <w:t xml:space="preserve">pour les </w:t>
      </w:r>
      <w:r w:rsidR="00C60A11" w:rsidRPr="00B91530">
        <w:t xml:space="preserve">administrations notificatrices et </w:t>
      </w:r>
      <w:r w:rsidR="00A42F0D" w:rsidRPr="00B91530">
        <w:t xml:space="preserve">le </w:t>
      </w:r>
      <w:r w:rsidR="00C60A11" w:rsidRPr="00B91530">
        <w:t>Bureau.</w:t>
      </w:r>
    </w:p>
    <w:p w14:paraId="63099353" w14:textId="20C0AA3B" w:rsidR="00046F92" w:rsidRPr="00B91530" w:rsidRDefault="00046F92" w:rsidP="00A70B2E">
      <w:pPr>
        <w:pStyle w:val="Heading1"/>
      </w:pPr>
      <w:r w:rsidRPr="00B91530">
        <w:t>4</w:t>
      </w:r>
      <w:r w:rsidRPr="00B91530">
        <w:tab/>
      </w:r>
      <w:r w:rsidR="00354F4D" w:rsidRPr="00B91530">
        <w:t>Difficultés ayant des incidences sur la coordination des réseaux à satellite</w:t>
      </w:r>
    </w:p>
    <w:p w14:paraId="01DF6D21" w14:textId="4AE002E2" w:rsidR="00046F92" w:rsidRPr="00B91530" w:rsidRDefault="00046F92" w:rsidP="00A70B2E">
      <w:pPr>
        <w:pStyle w:val="Heading2"/>
      </w:pPr>
      <w:r w:rsidRPr="00B91530">
        <w:t>4.1</w:t>
      </w:r>
      <w:r w:rsidRPr="00B91530">
        <w:tab/>
      </w:r>
      <w:r w:rsidR="00354F4D" w:rsidRPr="00B91530">
        <w:t>Considérations générales et examen</w:t>
      </w:r>
    </w:p>
    <w:p w14:paraId="53FC6415" w14:textId="5DE42DBE" w:rsidR="00046F92" w:rsidRPr="00B91530" w:rsidRDefault="00630010" w:rsidP="00A70B2E">
      <w:r w:rsidRPr="00B91530">
        <w:t xml:space="preserve">Le Comité a examiné </w:t>
      </w:r>
      <w:r w:rsidR="00A42F0D" w:rsidRPr="00B91530">
        <w:t xml:space="preserve">des </w:t>
      </w:r>
      <w:r w:rsidRPr="00B91530">
        <w:t xml:space="preserve">cas dans lesquels des assignations avaient été notifiées et mises en service </w:t>
      </w:r>
      <w:r w:rsidR="00A42F0D" w:rsidRPr="00B91530">
        <w:t xml:space="preserve">sans que </w:t>
      </w:r>
      <w:r w:rsidRPr="00B91530">
        <w:t xml:space="preserve">la coordination requise </w:t>
      </w:r>
      <w:r w:rsidR="00A42F0D" w:rsidRPr="00B91530">
        <w:t xml:space="preserve">ait été menée à bonne fin, </w:t>
      </w:r>
      <w:r w:rsidRPr="00B91530">
        <w:t>ou après avoir effectué uniquement une partie de cette coordination. Le Comité a noté qu</w:t>
      </w:r>
      <w:r w:rsidR="00A42F0D" w:rsidRPr="00B91530">
        <w:t xml:space="preserve">e pour </w:t>
      </w:r>
      <w:r w:rsidRPr="00B91530">
        <w:t>assurer la coordination</w:t>
      </w:r>
      <w:r w:rsidR="00A42F0D" w:rsidRPr="00B91530">
        <w:t xml:space="preserve">, les </w:t>
      </w:r>
      <w:r w:rsidRPr="00B91530">
        <w:t xml:space="preserve">administrations concernées </w:t>
      </w:r>
      <w:r w:rsidR="00A42F0D" w:rsidRPr="00B91530">
        <w:t xml:space="preserve">doivent faire preuve de bonne volonté </w:t>
      </w:r>
      <w:r w:rsidRPr="00B91530">
        <w:t xml:space="preserve">et que les différends quant à la date de protection prioritaire et les problèmes liés aux pratiques de réservation de fréquences </w:t>
      </w:r>
      <w:r w:rsidR="009C38A2" w:rsidRPr="00B91530">
        <w:t xml:space="preserve">ont </w:t>
      </w:r>
      <w:r w:rsidRPr="00B91530">
        <w:t xml:space="preserve">généralement </w:t>
      </w:r>
      <w:r w:rsidR="009C38A2" w:rsidRPr="00B91530">
        <w:t xml:space="preserve">mené à une impasse </w:t>
      </w:r>
      <w:r w:rsidRPr="00B91530">
        <w:t xml:space="preserve">les discussions </w:t>
      </w:r>
      <w:r w:rsidR="009C38A2" w:rsidRPr="00B91530">
        <w:t xml:space="preserve">relatives à la </w:t>
      </w:r>
      <w:r w:rsidRPr="00B91530">
        <w:t>coordination</w:t>
      </w:r>
      <w:r w:rsidR="003B04A3" w:rsidRPr="00B91530">
        <w:t xml:space="preserve">. </w:t>
      </w:r>
      <w:r w:rsidRPr="00B91530">
        <w:t xml:space="preserve">En particulier, le </w:t>
      </w:r>
      <w:r w:rsidR="001117D2" w:rsidRPr="00B91530">
        <w:t>Comité</w:t>
      </w:r>
      <w:r w:rsidRPr="00B91530">
        <w:t xml:space="preserve"> a relevé </w:t>
      </w:r>
      <w:r w:rsidR="00835454" w:rsidRPr="00B91530">
        <w:t xml:space="preserve">que, conformément à la Règle de procédure relative au numéro </w:t>
      </w:r>
      <w:r w:rsidR="00835454" w:rsidRPr="00B91530">
        <w:rPr>
          <w:b/>
          <w:bCs/>
        </w:rPr>
        <w:t>9.6</w:t>
      </w:r>
      <w:r w:rsidR="00835454" w:rsidRPr="00B91530">
        <w:t xml:space="preserve"> du RR, le fait d'avoir été la première à engager la procédure de publication anticipée, ou à formuler la demande de procédure de coordination, ne confère aucune priorité particulière à une administration. En outre, </w:t>
      </w:r>
      <w:r w:rsidR="009C38A2" w:rsidRPr="00B91530">
        <w:t xml:space="preserve">bien </w:t>
      </w:r>
      <w:r w:rsidR="00835454" w:rsidRPr="00B91530">
        <w:t xml:space="preserve">que le numéro </w:t>
      </w:r>
      <w:r w:rsidR="00835454" w:rsidRPr="00B91530">
        <w:rPr>
          <w:b/>
          <w:bCs/>
        </w:rPr>
        <w:t>11.41</w:t>
      </w:r>
      <w:r w:rsidR="00835454" w:rsidRPr="00B91530">
        <w:t xml:space="preserve"> du RR permet</w:t>
      </w:r>
      <w:r w:rsidR="009C38A2" w:rsidRPr="00B91530">
        <w:t>te</w:t>
      </w:r>
      <w:r w:rsidR="00835454" w:rsidRPr="00B91530">
        <w:t xml:space="preserve"> la notification sans </w:t>
      </w:r>
      <w:r w:rsidR="009C38A2" w:rsidRPr="00B91530">
        <w:t xml:space="preserve">que </w:t>
      </w:r>
      <w:r w:rsidR="00835454" w:rsidRPr="00B91530">
        <w:t>la coordination</w:t>
      </w:r>
      <w:r w:rsidR="009C38A2" w:rsidRPr="00B91530">
        <w:t xml:space="preserve"> soit menée à bonne fin</w:t>
      </w:r>
      <w:r w:rsidR="00835454" w:rsidRPr="00B91530">
        <w:t xml:space="preserve">, pour autant que des efforts aient été déployés en vue d'effectuer la coordination, </w:t>
      </w:r>
      <w:r w:rsidR="009C38A2" w:rsidRPr="00B91530">
        <w:t>son objectif était</w:t>
      </w:r>
      <w:r w:rsidR="003545A1" w:rsidRPr="00B91530">
        <w:t xml:space="preserve"> </w:t>
      </w:r>
      <w:r w:rsidR="009C38A2" w:rsidRPr="00B91530">
        <w:t xml:space="preserve">d'indiquer </w:t>
      </w:r>
      <w:r w:rsidR="003545A1" w:rsidRPr="00B91530">
        <w:t>que</w:t>
      </w:r>
      <w:r w:rsidR="009C38A2" w:rsidRPr="00B91530">
        <w:t xml:space="preserve"> </w:t>
      </w:r>
      <w:r w:rsidR="003545A1" w:rsidRPr="00B91530">
        <w:t xml:space="preserve">les </w:t>
      </w:r>
      <w:r w:rsidR="00835454" w:rsidRPr="00B91530">
        <w:t xml:space="preserve">discussions </w:t>
      </w:r>
      <w:r w:rsidR="003545A1" w:rsidRPr="00B91530">
        <w:t xml:space="preserve">relatives à la </w:t>
      </w:r>
      <w:r w:rsidR="00835454" w:rsidRPr="00B91530">
        <w:t xml:space="preserve">coordination </w:t>
      </w:r>
      <w:r w:rsidR="009C38A2" w:rsidRPr="00B91530">
        <w:t xml:space="preserve">pouvaient être </w:t>
      </w:r>
      <w:r w:rsidR="00835454" w:rsidRPr="00B91530">
        <w:t>insuffisantes ou difficiles,</w:t>
      </w:r>
      <w:r w:rsidR="004F750B" w:rsidRPr="00B91530">
        <w:t xml:space="preserve"> </w:t>
      </w:r>
      <w:r w:rsidR="009C38A2" w:rsidRPr="00B91530">
        <w:t xml:space="preserve">mais </w:t>
      </w:r>
      <w:r w:rsidR="00835454" w:rsidRPr="00B91530">
        <w:t xml:space="preserve">non </w:t>
      </w:r>
      <w:r w:rsidR="009C38A2" w:rsidRPr="00B91530">
        <w:t>de souligner</w:t>
      </w:r>
      <w:r w:rsidR="003545A1" w:rsidRPr="00B91530">
        <w:t xml:space="preserve"> l'absence </w:t>
      </w:r>
      <w:r w:rsidR="00835454" w:rsidRPr="00B91530">
        <w:t xml:space="preserve">de discussions </w:t>
      </w:r>
      <w:r w:rsidR="009C38A2" w:rsidRPr="00B91530">
        <w:t xml:space="preserve">relatives à la </w:t>
      </w:r>
      <w:r w:rsidR="00835454" w:rsidRPr="00B91530">
        <w:t>coordination.</w:t>
      </w:r>
      <w:r w:rsidR="003545A1" w:rsidRPr="00B91530">
        <w:t xml:space="preserve"> En outre, le Comité a conclu que, pour les assignations de fréquence inscrites au titre du numéro </w:t>
      </w:r>
      <w:r w:rsidR="003545A1" w:rsidRPr="00B91530">
        <w:rPr>
          <w:b/>
          <w:bCs/>
        </w:rPr>
        <w:t>11.41</w:t>
      </w:r>
      <w:r w:rsidR="003545A1" w:rsidRPr="00B91530">
        <w:t xml:space="preserve"> du RR, l</w:t>
      </w:r>
      <w:r w:rsidR="0073119B" w:rsidRPr="00B91530">
        <w:t>'</w:t>
      </w:r>
      <w:r w:rsidR="003545A1" w:rsidRPr="00B91530">
        <w:t xml:space="preserve">application des numéros </w:t>
      </w:r>
      <w:r w:rsidR="003545A1" w:rsidRPr="00B91530">
        <w:rPr>
          <w:b/>
          <w:bCs/>
        </w:rPr>
        <w:t>11.42</w:t>
      </w:r>
      <w:r w:rsidR="003545A1" w:rsidRPr="00B91530">
        <w:t xml:space="preserve"> et </w:t>
      </w:r>
      <w:r w:rsidR="003545A1" w:rsidRPr="00B91530">
        <w:rPr>
          <w:b/>
          <w:bCs/>
        </w:rPr>
        <w:t>11.42A</w:t>
      </w:r>
      <w:r w:rsidR="003545A1" w:rsidRPr="00B91530">
        <w:t xml:space="preserve"> du RR ne devrait pas précéder ou exclure la recherche de solutions</w:t>
      </w:r>
      <w:r w:rsidR="009C38A2" w:rsidRPr="00B91530">
        <w:t xml:space="preserve"> dans le cadre </w:t>
      </w:r>
      <w:r w:rsidR="003545A1" w:rsidRPr="00B91530">
        <w:t>d</w:t>
      </w:r>
      <w:r w:rsidR="0073119B" w:rsidRPr="00B91530">
        <w:t>'</w:t>
      </w:r>
      <w:r w:rsidR="003545A1" w:rsidRPr="00B91530">
        <w:t>une coordination</w:t>
      </w:r>
      <w:r w:rsidR="003B04A3" w:rsidRPr="00B91530">
        <w:t xml:space="preserve"> c</w:t>
      </w:r>
      <w:r w:rsidR="009C38A2" w:rsidRPr="00B91530">
        <w:t>omplète.</w:t>
      </w:r>
    </w:p>
    <w:p w14:paraId="3187E29F" w14:textId="14B73D20" w:rsidR="00046F92" w:rsidRPr="00B91530" w:rsidRDefault="00046F92" w:rsidP="00A70B2E">
      <w:pPr>
        <w:pStyle w:val="Heading2"/>
      </w:pPr>
      <w:r w:rsidRPr="00B91530">
        <w:t>4.2</w:t>
      </w:r>
      <w:r w:rsidRPr="00B91530">
        <w:tab/>
      </w:r>
      <w:r w:rsidR="00354F4D" w:rsidRPr="00B91530">
        <w:t>Observations</w:t>
      </w:r>
    </w:p>
    <w:p w14:paraId="57D7497A" w14:textId="4B090067" w:rsidR="00046F92" w:rsidRPr="00B91530" w:rsidRDefault="003545A1" w:rsidP="00A70B2E">
      <w:r w:rsidRPr="00B91530">
        <w:t>Le Canada note que</w:t>
      </w:r>
      <w:r w:rsidR="009C38A2" w:rsidRPr="00B91530">
        <w:t xml:space="preserve"> </w:t>
      </w:r>
      <w:r w:rsidRPr="00B91530">
        <w:t xml:space="preserve">le numéro </w:t>
      </w:r>
      <w:r w:rsidRPr="00B91530">
        <w:rPr>
          <w:b/>
          <w:bCs/>
        </w:rPr>
        <w:t xml:space="preserve">9.6 </w:t>
      </w:r>
      <w:r w:rsidRPr="00B91530">
        <w:t>du RR</w:t>
      </w:r>
      <w:r w:rsidR="009C38A2" w:rsidRPr="00B91530">
        <w:t xml:space="preserve"> dispose ce qui suit</w:t>
      </w:r>
      <w:r w:rsidRPr="00B91530">
        <w:t>: «</w:t>
      </w:r>
      <w:r w:rsidR="00B91530" w:rsidRPr="00B91530">
        <w:t>a</w:t>
      </w:r>
      <w:r w:rsidRPr="00B91530">
        <w:t>vant de notifier au Bureau ou de mettre en service une assignation de fréquence […]</w:t>
      </w:r>
      <w:r w:rsidR="002D1B71" w:rsidRPr="00B91530">
        <w:t>,</w:t>
      </w:r>
      <w:r w:rsidRPr="00B91530">
        <w:t xml:space="preserve"> </w:t>
      </w:r>
      <w:r w:rsidR="002D1B71" w:rsidRPr="00B91530">
        <w:t xml:space="preserve">toute administration coordonne, si nécessaire, l'utilisation de cette assignation avec les autres administrations conformément au numéro </w:t>
      </w:r>
      <w:r w:rsidR="002D1B71" w:rsidRPr="00B91530">
        <w:rPr>
          <w:b/>
          <w:bCs/>
        </w:rPr>
        <w:t>9.27</w:t>
      </w:r>
      <w:r w:rsidR="002D1B71" w:rsidRPr="00B91530">
        <w:t xml:space="preserve">». Toutefois, étant donné que cette disposition prévoit une obligation de coordination, mais pas nécessairement une obligation de mener à </w:t>
      </w:r>
      <w:r w:rsidR="009C38A2" w:rsidRPr="00B91530">
        <w:t xml:space="preserve">bonne fin </w:t>
      </w:r>
      <w:r w:rsidR="002D1B71" w:rsidRPr="00B91530">
        <w:t>la coordination avant la notification ou la mise en service au titre de l</w:t>
      </w:r>
      <w:r w:rsidR="0073119B" w:rsidRPr="00B91530">
        <w:t>'</w:t>
      </w:r>
      <w:r w:rsidR="002D1B71" w:rsidRPr="00B91530">
        <w:t xml:space="preserve">Article </w:t>
      </w:r>
      <w:r w:rsidR="002D1B71" w:rsidRPr="00B91530">
        <w:rPr>
          <w:b/>
          <w:bCs/>
        </w:rPr>
        <w:t>11</w:t>
      </w:r>
      <w:r w:rsidR="002D1B71" w:rsidRPr="00B91530">
        <w:t xml:space="preserve"> du RR, il n</w:t>
      </w:r>
      <w:r w:rsidR="0073119B" w:rsidRPr="00B91530">
        <w:t>'</w:t>
      </w:r>
      <w:r w:rsidR="002D1B71" w:rsidRPr="00B91530">
        <w:t xml:space="preserve">en demeure pas moins que la coordination devrait </w:t>
      </w:r>
      <w:r w:rsidR="00D857E4" w:rsidRPr="00B91530">
        <w:rPr>
          <w:b/>
          <w:bCs/>
          <w:u w:val="single"/>
        </w:rPr>
        <w:t>en théorie</w:t>
      </w:r>
      <w:r w:rsidR="00D857E4" w:rsidRPr="00B91530">
        <w:t xml:space="preserve"> </w:t>
      </w:r>
      <w:r w:rsidR="002D1B71" w:rsidRPr="00B91530">
        <w:t xml:space="preserve">être </w:t>
      </w:r>
      <w:r w:rsidR="00D857E4" w:rsidRPr="00B91530">
        <w:t>effectuée avec succès</w:t>
      </w:r>
      <w:r w:rsidR="002D1B71" w:rsidRPr="00B91530">
        <w:t xml:space="preserve"> avant que</w:t>
      </w:r>
      <w:r w:rsidR="00D857E4" w:rsidRPr="00B91530">
        <w:t xml:space="preserve"> des </w:t>
      </w:r>
      <w:r w:rsidR="002D1B71" w:rsidRPr="00B91530">
        <w:t>mesure</w:t>
      </w:r>
      <w:r w:rsidR="00D857E4" w:rsidRPr="00B91530">
        <w:t>s</w:t>
      </w:r>
      <w:r w:rsidR="002D1B71" w:rsidRPr="00B91530">
        <w:t xml:space="preserve"> soi</w:t>
      </w:r>
      <w:r w:rsidR="00D857E4" w:rsidRPr="00B91530">
        <w:t>en</w:t>
      </w:r>
      <w:r w:rsidR="002D1B71" w:rsidRPr="00B91530">
        <w:t>t prise</w:t>
      </w:r>
      <w:r w:rsidR="00D857E4" w:rsidRPr="00B91530">
        <w:t>s</w:t>
      </w:r>
      <w:r w:rsidR="002D1B71" w:rsidRPr="00B91530">
        <w:t xml:space="preserve"> au titre de l</w:t>
      </w:r>
      <w:r w:rsidR="0073119B" w:rsidRPr="00B91530">
        <w:t>'</w:t>
      </w:r>
      <w:r w:rsidR="002D1B71" w:rsidRPr="00B91530">
        <w:t xml:space="preserve">Article </w:t>
      </w:r>
      <w:r w:rsidR="002D1B71" w:rsidRPr="00B91530">
        <w:rPr>
          <w:b/>
          <w:bCs/>
        </w:rPr>
        <w:t>11</w:t>
      </w:r>
      <w:r w:rsidR="002D1B71" w:rsidRPr="00B91530">
        <w:t xml:space="preserve"> du RR, y compris le lancement de satellites. Le Canada relève que</w:t>
      </w:r>
      <w:r w:rsidR="00D857E4" w:rsidRPr="00B91530">
        <w:t xml:space="preserve"> </w:t>
      </w:r>
      <w:r w:rsidR="002D1B71" w:rsidRPr="00B91530">
        <w:t>dans la pratique, cela n</w:t>
      </w:r>
      <w:r w:rsidR="0073119B" w:rsidRPr="00B91530">
        <w:t>'</w:t>
      </w:r>
      <w:r w:rsidR="002D1B71" w:rsidRPr="00B91530">
        <w:t>est pas toujours possible en raison de la</w:t>
      </w:r>
      <w:r w:rsidR="00D857E4" w:rsidRPr="00B91530">
        <w:t xml:space="preserve"> complexité </w:t>
      </w:r>
      <w:r w:rsidR="002D1B71" w:rsidRPr="00B91530">
        <w:t>des discussions sur la coordination ou de l</w:t>
      </w:r>
      <w:r w:rsidR="0073119B" w:rsidRPr="00B91530">
        <w:t>'</w:t>
      </w:r>
      <w:r w:rsidR="002D1B71" w:rsidRPr="00B91530">
        <w:t>absence de réponse de la part d</w:t>
      </w:r>
      <w:r w:rsidR="0073119B" w:rsidRPr="00B91530">
        <w:t>'</w:t>
      </w:r>
      <w:r w:rsidR="002D1B71" w:rsidRPr="00B91530">
        <w:t>une administration identifiée comme</w:t>
      </w:r>
      <w:r w:rsidR="00D857E4" w:rsidRPr="00B91530">
        <w:t xml:space="preserve"> </w:t>
      </w:r>
      <w:r w:rsidR="002D1B71" w:rsidRPr="00B91530">
        <w:t xml:space="preserve">affectée. Dans </w:t>
      </w:r>
      <w:r w:rsidR="00D857E4" w:rsidRPr="00B91530">
        <w:t xml:space="preserve">les </w:t>
      </w:r>
      <w:r w:rsidR="002D1B71" w:rsidRPr="00B91530">
        <w:t xml:space="preserve">deux cas, le numéro </w:t>
      </w:r>
      <w:r w:rsidR="002D1B71" w:rsidRPr="00B91530">
        <w:rPr>
          <w:b/>
          <w:bCs/>
        </w:rPr>
        <w:t>11.41</w:t>
      </w:r>
      <w:r w:rsidR="002D1B71" w:rsidRPr="00B91530">
        <w:t xml:space="preserve"> </w:t>
      </w:r>
      <w:r w:rsidR="002D1B71" w:rsidRPr="00B91530">
        <w:lastRenderedPageBreak/>
        <w:t>du</w:t>
      </w:r>
      <w:r w:rsidR="008469FD" w:rsidRPr="00B91530">
        <w:t> </w:t>
      </w:r>
      <w:r w:rsidR="002D1B71" w:rsidRPr="00B91530">
        <w:t>RR apparaît comme un moyen d</w:t>
      </w:r>
      <w:r w:rsidR="0073119B" w:rsidRPr="00B91530">
        <w:t>'</w:t>
      </w:r>
      <w:r w:rsidR="002D1B71" w:rsidRPr="00B91530">
        <w:t>inscrire dans le Fichier de référence</w:t>
      </w:r>
      <w:r w:rsidR="00D857E4" w:rsidRPr="00B91530">
        <w:t xml:space="preserve"> international des fréquences</w:t>
      </w:r>
      <w:r w:rsidR="002D1B71" w:rsidRPr="00B91530">
        <w:t xml:space="preserve"> une assignation pour laquelle une partie ou la totalité de la coordination n'a pas été menée à bien, en attendant que toutes les procédures de coordination soient</w:t>
      </w:r>
      <w:r w:rsidR="00D857E4" w:rsidRPr="00B91530">
        <w:t xml:space="preserve"> menées à leur terme</w:t>
      </w:r>
      <w:r w:rsidR="002D1B71" w:rsidRPr="00B91530">
        <w:t xml:space="preserve">. Comme indiqué dans le </w:t>
      </w:r>
      <w:r w:rsidR="00D857E4" w:rsidRPr="00B91530">
        <w:t xml:space="preserve">rapport </w:t>
      </w:r>
      <w:r w:rsidR="002D1B71" w:rsidRPr="00B91530">
        <w:t xml:space="preserve">du RRB, le numéro </w:t>
      </w:r>
      <w:r w:rsidR="002D1B71" w:rsidRPr="00B91530">
        <w:rPr>
          <w:b/>
          <w:bCs/>
        </w:rPr>
        <w:t>11.41</w:t>
      </w:r>
      <w:r w:rsidR="002D1B71" w:rsidRPr="00B91530">
        <w:t xml:space="preserve"> du RR ne devrait pas être considéré comme un moyen de contourner la coordination et de s</w:t>
      </w:r>
      <w:r w:rsidR="0073119B" w:rsidRPr="00B91530">
        <w:t>'</w:t>
      </w:r>
      <w:r w:rsidR="002D1B71" w:rsidRPr="00B91530">
        <w:t xml:space="preserve">appuyer sur le numéro </w:t>
      </w:r>
      <w:r w:rsidR="002D1B71" w:rsidRPr="00B91530">
        <w:rPr>
          <w:b/>
          <w:bCs/>
        </w:rPr>
        <w:t>11.42A</w:t>
      </w:r>
      <w:r w:rsidR="002D1B71" w:rsidRPr="00B91530">
        <w:t xml:space="preserve"> du RR pour protéger une priorité perçue.</w:t>
      </w:r>
      <w:r w:rsidR="0073119B" w:rsidRPr="00B91530">
        <w:t xml:space="preserve"> À</w:t>
      </w:r>
      <w:r w:rsidR="003801BC" w:rsidRPr="00B91530">
        <w:t xml:space="preserve"> cet égard, le Canada tient à réaffirmer qu</w:t>
      </w:r>
      <w:r w:rsidR="0073119B" w:rsidRPr="00B91530">
        <w:t>'</w:t>
      </w:r>
      <w:r w:rsidR="003801BC" w:rsidRPr="00B91530">
        <w:t xml:space="preserve">il adhère pleinement au principe énoncé dans la Règle de procédure relative au numéro </w:t>
      </w:r>
      <w:r w:rsidR="003801BC" w:rsidRPr="00B91530">
        <w:rPr>
          <w:b/>
          <w:bCs/>
        </w:rPr>
        <w:t>9.6</w:t>
      </w:r>
      <w:r w:rsidR="003801BC" w:rsidRPr="00B91530">
        <w:t xml:space="preserve"> du RR et qu</w:t>
      </w:r>
      <w:r w:rsidR="0073119B" w:rsidRPr="00B91530">
        <w:t>'</w:t>
      </w:r>
      <w:r w:rsidR="003801BC" w:rsidRPr="00B91530">
        <w:t xml:space="preserve">il </w:t>
      </w:r>
      <w:r w:rsidR="00D857E4" w:rsidRPr="00B91530">
        <w:t>souscrit aux</w:t>
      </w:r>
      <w:r w:rsidR="003801BC" w:rsidRPr="00B91530">
        <w:t xml:space="preserve"> conclusions du RRB.</w:t>
      </w:r>
    </w:p>
    <w:p w14:paraId="2416B24D" w14:textId="62D0AEE1" w:rsidR="003801BC" w:rsidRPr="00B91530" w:rsidRDefault="007556FF" w:rsidP="007F49F5">
      <w:r w:rsidRPr="00B91530">
        <w:t>Toutefois, le Canada est d</w:t>
      </w:r>
      <w:r w:rsidR="0073119B" w:rsidRPr="00B91530">
        <w:t>'</w:t>
      </w:r>
      <w:r w:rsidRPr="00B91530">
        <w:t>avis qu</w:t>
      </w:r>
      <w:r w:rsidR="0073119B" w:rsidRPr="00B91530">
        <w:t>'</w:t>
      </w:r>
      <w:r w:rsidRPr="00B91530">
        <w:t>il conviendrait d</w:t>
      </w:r>
      <w:r w:rsidR="0073119B" w:rsidRPr="00B91530">
        <w:t>'</w:t>
      </w:r>
      <w:r w:rsidRPr="00B91530">
        <w:t xml:space="preserve">envisager de réexaminer la condition dans laquelle le numéro </w:t>
      </w:r>
      <w:r w:rsidRPr="00B91530">
        <w:rPr>
          <w:b/>
          <w:bCs/>
        </w:rPr>
        <w:t>11.41</w:t>
      </w:r>
      <w:r w:rsidRPr="00B91530">
        <w:t xml:space="preserve"> du RR peut être invoqué. Bien </w:t>
      </w:r>
      <w:r w:rsidR="00D857E4" w:rsidRPr="00B91530">
        <w:t xml:space="preserve">que cela </w:t>
      </w:r>
      <w:r w:rsidRPr="00B91530">
        <w:t>ne soit pas directement lié à la question portée à notre attention par le RRB, le Canada souhaite saisir cette occasion pour suggérer que l</w:t>
      </w:r>
      <w:r w:rsidR="0073119B" w:rsidRPr="00B91530">
        <w:t>'</w:t>
      </w:r>
      <w:r w:rsidRPr="00B91530">
        <w:t>on étudie les moyens de limiter l</w:t>
      </w:r>
      <w:r w:rsidR="0073119B" w:rsidRPr="00B91530">
        <w:t>'</w:t>
      </w:r>
      <w:r w:rsidRPr="00B91530">
        <w:t xml:space="preserve">application du numéro </w:t>
      </w:r>
      <w:r w:rsidRPr="00B91530">
        <w:rPr>
          <w:b/>
          <w:bCs/>
        </w:rPr>
        <w:t>11.41</w:t>
      </w:r>
      <w:r w:rsidR="00D857E4" w:rsidRPr="00B91530">
        <w:t xml:space="preserve"> du RR</w:t>
      </w:r>
      <w:r w:rsidRPr="00B91530">
        <w:t xml:space="preserve"> aux cas dans lesquels des discussions sont en cours, à l</w:t>
      </w:r>
      <w:r w:rsidR="0073119B" w:rsidRPr="00B91530">
        <w:t>'</w:t>
      </w:r>
      <w:r w:rsidRPr="00B91530">
        <w:t>exclusion des cas où l</w:t>
      </w:r>
      <w:r w:rsidR="0073119B" w:rsidRPr="00B91530">
        <w:t>'</w:t>
      </w:r>
      <w:r w:rsidRPr="00B91530">
        <w:t xml:space="preserve">administration affectée ne </w:t>
      </w:r>
      <w:r w:rsidR="00D857E4" w:rsidRPr="00B91530">
        <w:t xml:space="preserve">donne pas suite </w:t>
      </w:r>
      <w:r w:rsidRPr="00B91530">
        <w:t>à une demande de coordination. Dans ce dernier cas,</w:t>
      </w:r>
      <w:r w:rsidR="00D857E4" w:rsidRPr="00B91530">
        <w:t xml:space="preserve"> une mesure </w:t>
      </w:r>
      <w:r w:rsidRPr="00B91530">
        <w:t>minimal</w:t>
      </w:r>
      <w:r w:rsidR="00D857E4" w:rsidRPr="00B91530">
        <w:t xml:space="preserve">e </w:t>
      </w:r>
      <w:r w:rsidRPr="00B91530">
        <w:t xml:space="preserve">à </w:t>
      </w:r>
      <w:r w:rsidR="00D857E4" w:rsidRPr="00B91530">
        <w:t xml:space="preserve">prendre </w:t>
      </w:r>
      <w:r w:rsidRPr="00B91530">
        <w:t>pourrait consister à demander l</w:t>
      </w:r>
      <w:r w:rsidR="0073119B" w:rsidRPr="00B91530">
        <w:t>'</w:t>
      </w:r>
      <w:r w:rsidRPr="00B91530">
        <w:t>assistance du Bureau avant d</w:t>
      </w:r>
      <w:r w:rsidR="0073119B" w:rsidRPr="00B91530">
        <w:t>'</w:t>
      </w:r>
      <w:r w:rsidRPr="00B91530">
        <w:t xml:space="preserve">invoquer le numéro </w:t>
      </w:r>
      <w:r w:rsidRPr="00B91530">
        <w:rPr>
          <w:b/>
          <w:bCs/>
        </w:rPr>
        <w:t>11.41</w:t>
      </w:r>
      <w:r w:rsidRPr="00B91530">
        <w:t xml:space="preserve"> du RR. En outre,</w:t>
      </w:r>
      <w:r w:rsidR="00D857E4" w:rsidRPr="00B91530">
        <w:t xml:space="preserve"> bien</w:t>
      </w:r>
      <w:r w:rsidRPr="00B91530">
        <w:t xml:space="preserve"> qu</w:t>
      </w:r>
      <w:r w:rsidR="0073119B" w:rsidRPr="00B91530">
        <w:t>'</w:t>
      </w:r>
      <w:r w:rsidRPr="00B91530">
        <w:t>il a</w:t>
      </w:r>
      <w:r w:rsidR="00D857E4" w:rsidRPr="00B91530">
        <w:t>it</w:t>
      </w:r>
      <w:r w:rsidRPr="00B91530">
        <w:t xml:space="preserve"> été observé que les discussions sur la coordination </w:t>
      </w:r>
      <w:r w:rsidR="00D857E4" w:rsidRPr="00B91530">
        <w:t>prennent généralement fin</w:t>
      </w:r>
      <w:r w:rsidRPr="00B91530">
        <w:t xml:space="preserve"> une fois que le numéro </w:t>
      </w:r>
      <w:r w:rsidRPr="00B91530">
        <w:rPr>
          <w:b/>
          <w:bCs/>
        </w:rPr>
        <w:t>11.41</w:t>
      </w:r>
      <w:r w:rsidRPr="00B91530">
        <w:t xml:space="preserve"> du RR </w:t>
      </w:r>
      <w:r w:rsidR="00D857E4" w:rsidRPr="00B91530">
        <w:t>est</w:t>
      </w:r>
      <w:r w:rsidRPr="00B91530">
        <w:t xml:space="preserve"> invoqué, il </w:t>
      </w:r>
      <w:r w:rsidR="00D857E4" w:rsidRPr="00B91530">
        <w:t xml:space="preserve">pourrait </w:t>
      </w:r>
      <w:r w:rsidRPr="00B91530">
        <w:t>être utile de préciser dans le RR que l</w:t>
      </w:r>
      <w:r w:rsidR="0073119B" w:rsidRPr="00B91530">
        <w:t>'</w:t>
      </w:r>
      <w:r w:rsidRPr="00B91530">
        <w:t>utilisation du numéro</w:t>
      </w:r>
      <w:r w:rsidR="00FA5373" w:rsidRPr="00B91530">
        <w:t xml:space="preserve"> </w:t>
      </w:r>
      <w:r w:rsidRPr="00B91530">
        <w:rPr>
          <w:b/>
          <w:bCs/>
        </w:rPr>
        <w:t>11.41</w:t>
      </w:r>
      <w:r w:rsidRPr="00B91530">
        <w:t xml:space="preserve"> du RR ne dispense pas une administration de l</w:t>
      </w:r>
      <w:r w:rsidR="0073119B" w:rsidRPr="00B91530">
        <w:t>'</w:t>
      </w:r>
      <w:r w:rsidRPr="00B91530">
        <w:t>obligation de mener à bien la coordination et qu</w:t>
      </w:r>
      <w:r w:rsidR="0073119B" w:rsidRPr="00B91530">
        <w:t>'</w:t>
      </w:r>
      <w:r w:rsidRPr="00B91530">
        <w:t>il convient de déployer</w:t>
      </w:r>
      <w:r w:rsidR="00D857E4" w:rsidRPr="00B91530">
        <w:t xml:space="preserve"> en permanence </w:t>
      </w:r>
      <w:r w:rsidRPr="00B91530">
        <w:t xml:space="preserve">des efforts </w:t>
      </w:r>
      <w:r w:rsidR="00D857E4" w:rsidRPr="00B91530">
        <w:t xml:space="preserve">pour achever </w:t>
      </w:r>
      <w:r w:rsidRPr="00B91530">
        <w:t>la coordination avec</w:t>
      </w:r>
      <w:r w:rsidR="00D857E4" w:rsidRPr="00B91530">
        <w:t xml:space="preserve"> les </w:t>
      </w:r>
      <w:r w:rsidRPr="00B91530">
        <w:t>administration</w:t>
      </w:r>
      <w:r w:rsidR="00D857E4" w:rsidRPr="00B91530">
        <w:t>s</w:t>
      </w:r>
      <w:r w:rsidRPr="00B91530">
        <w:t xml:space="preserve"> identifiée</w:t>
      </w:r>
      <w:r w:rsidR="00D857E4" w:rsidRPr="00B91530">
        <w:t>s</w:t>
      </w:r>
      <w:r w:rsidRPr="00B91530">
        <w:t xml:space="preserve"> au titre du numéro </w:t>
      </w:r>
      <w:r w:rsidRPr="00B91530">
        <w:rPr>
          <w:b/>
          <w:bCs/>
        </w:rPr>
        <w:t>9.27</w:t>
      </w:r>
      <w:r w:rsidRPr="00B91530">
        <w:t xml:space="preserve"> du RR.</w:t>
      </w:r>
    </w:p>
    <w:p w14:paraId="11BAAED0" w14:textId="3E6F7C95" w:rsidR="000C0561" w:rsidRPr="00B91530" w:rsidRDefault="000C0561" w:rsidP="007F49F5">
      <w:r w:rsidRPr="00B91530">
        <w:t>Compte tenu des observations et d</w:t>
      </w:r>
      <w:r w:rsidR="0073119B" w:rsidRPr="00B91530">
        <w:t>'</w:t>
      </w:r>
      <w:r w:rsidRPr="00B91530">
        <w:t>autres suggestions faites par le RRB, le Canada est d</w:t>
      </w:r>
      <w:r w:rsidR="0073119B" w:rsidRPr="00B91530">
        <w:t>'</w:t>
      </w:r>
      <w:r w:rsidRPr="00B91530">
        <w:t>avis qu'il</w:t>
      </w:r>
      <w:r w:rsidR="00D857E4" w:rsidRPr="00B91530">
        <w:t xml:space="preserve"> faudra </w:t>
      </w:r>
      <w:r w:rsidRPr="00B91530">
        <w:t>peut-être que l</w:t>
      </w:r>
      <w:r w:rsidR="0073119B" w:rsidRPr="00B91530">
        <w:t>'</w:t>
      </w:r>
      <w:r w:rsidRPr="00B91530">
        <w:t>UIT-R mène des études sur les améliorations qui pourraient être apportées afin de limiter encore l</w:t>
      </w:r>
      <w:r w:rsidR="0073119B" w:rsidRPr="00B91530">
        <w:t>'</w:t>
      </w:r>
      <w:r w:rsidRPr="00B91530">
        <w:t xml:space="preserve">invocation du numéro </w:t>
      </w:r>
      <w:r w:rsidRPr="00B91530">
        <w:rPr>
          <w:b/>
          <w:bCs/>
        </w:rPr>
        <w:t>11.41</w:t>
      </w:r>
      <w:r w:rsidRPr="00B91530">
        <w:t xml:space="preserve"> du RR</w:t>
      </w:r>
      <w:r w:rsidR="00387389" w:rsidRPr="00B91530">
        <w:t xml:space="preserve"> </w:t>
      </w:r>
      <w:r w:rsidRPr="00B91530">
        <w:t xml:space="preserve">avant que tous les </w:t>
      </w:r>
      <w:r w:rsidR="001117D2" w:rsidRPr="00B91530">
        <w:t xml:space="preserve">efforts </w:t>
      </w:r>
      <w:r w:rsidR="00D857E4" w:rsidRPr="00B91530">
        <w:t xml:space="preserve">aient </w:t>
      </w:r>
      <w:r w:rsidRPr="00B91530">
        <w:t xml:space="preserve">été </w:t>
      </w:r>
      <w:r w:rsidR="001117D2" w:rsidRPr="00B91530">
        <w:t>déployés</w:t>
      </w:r>
      <w:r w:rsidR="00D857E4" w:rsidRPr="00B91530">
        <w:t xml:space="preserve"> pour effectuer la coordination</w:t>
      </w:r>
      <w:r w:rsidRPr="00B91530">
        <w:t xml:space="preserve">, ou </w:t>
      </w:r>
      <w:r w:rsidR="00981A94" w:rsidRPr="00B91530">
        <w:t>pour</w:t>
      </w:r>
      <w:r w:rsidR="00387389" w:rsidRPr="00B91530">
        <w:t xml:space="preserve"> éviter de</w:t>
      </w:r>
      <w:r w:rsidR="001117D2" w:rsidRPr="00B91530">
        <w:t xml:space="preserve"> </w:t>
      </w:r>
      <w:r w:rsidRPr="00B91530">
        <w:t xml:space="preserve">mener à bien </w:t>
      </w:r>
      <w:r w:rsidR="00387389" w:rsidRPr="00B91530">
        <w:t xml:space="preserve">la </w:t>
      </w:r>
      <w:r w:rsidRPr="00B91530">
        <w:t>coordination</w:t>
      </w:r>
      <w:r w:rsidR="00387389" w:rsidRPr="00B91530">
        <w:t xml:space="preserve"> </w:t>
      </w:r>
      <w:r w:rsidR="00981A94" w:rsidRPr="00B91530">
        <w:t>lors</w:t>
      </w:r>
      <w:r w:rsidR="00387389" w:rsidRPr="00B91530">
        <w:t xml:space="preserve"> </w:t>
      </w:r>
      <w:r w:rsidR="00981A94" w:rsidRPr="00B91530">
        <w:t xml:space="preserve">que celle-ci </w:t>
      </w:r>
      <w:r w:rsidR="00387389" w:rsidRPr="00B91530">
        <w:t>soulève</w:t>
      </w:r>
      <w:r w:rsidR="00981A94" w:rsidRPr="00B91530">
        <w:t xml:space="preserve"> des difficultés</w:t>
      </w:r>
      <w:r w:rsidRPr="00B91530">
        <w:t xml:space="preserve">. Parmi les aspects </w:t>
      </w:r>
      <w:r w:rsidR="00387389" w:rsidRPr="00B91530">
        <w:t>pouvant être</w:t>
      </w:r>
      <w:r w:rsidR="00981A94" w:rsidRPr="00B91530">
        <w:t xml:space="preserve"> </w:t>
      </w:r>
      <w:r w:rsidRPr="00B91530">
        <w:t>étudi</w:t>
      </w:r>
      <w:r w:rsidR="00387389" w:rsidRPr="00B91530">
        <w:t>és</w:t>
      </w:r>
      <w:r w:rsidRPr="00B91530">
        <w:t>, on</w:t>
      </w:r>
      <w:r w:rsidR="00387389" w:rsidRPr="00B91530">
        <w:t xml:space="preserve"> peut </w:t>
      </w:r>
      <w:r w:rsidRPr="00B91530">
        <w:t>citer l</w:t>
      </w:r>
      <w:r w:rsidR="0073119B" w:rsidRPr="00B91530">
        <w:t>'</w:t>
      </w:r>
      <w:r w:rsidRPr="00B91530">
        <w:t>obligation de demander l</w:t>
      </w:r>
      <w:r w:rsidR="0073119B" w:rsidRPr="00B91530">
        <w:t>'</w:t>
      </w:r>
      <w:r w:rsidRPr="00B91530">
        <w:t xml:space="preserve">assistance du Bureau avant </w:t>
      </w:r>
      <w:r w:rsidR="00981A94" w:rsidRPr="00B91530">
        <w:t xml:space="preserve">d'invoquer </w:t>
      </w:r>
      <w:r w:rsidRPr="00B91530">
        <w:t xml:space="preserve">le numéro </w:t>
      </w:r>
      <w:r w:rsidRPr="00B91530">
        <w:rPr>
          <w:b/>
          <w:bCs/>
        </w:rPr>
        <w:t>11.41</w:t>
      </w:r>
      <w:r w:rsidRPr="00B91530">
        <w:t xml:space="preserve"> </w:t>
      </w:r>
      <w:r w:rsidR="00981A94" w:rsidRPr="00B91530">
        <w:t xml:space="preserve">du RR, afin de </w:t>
      </w:r>
      <w:r w:rsidRPr="00B91530">
        <w:t>s</w:t>
      </w:r>
      <w:r w:rsidR="0073119B" w:rsidRPr="00B91530">
        <w:t>'</w:t>
      </w:r>
      <w:r w:rsidRPr="00B91530">
        <w:t xml:space="preserve">assurer </w:t>
      </w:r>
      <w:r w:rsidR="00387389" w:rsidRPr="00B91530">
        <w:t>que l'invocation de ce numéro</w:t>
      </w:r>
      <w:r w:rsidRPr="00B91530">
        <w:t xml:space="preserve"> résulte d</w:t>
      </w:r>
      <w:r w:rsidR="0073119B" w:rsidRPr="00B91530">
        <w:t>'</w:t>
      </w:r>
      <w:r w:rsidRPr="00B91530">
        <w:t>un</w:t>
      </w:r>
      <w:r w:rsidR="00981A94" w:rsidRPr="00B91530">
        <w:t>e</w:t>
      </w:r>
      <w:r w:rsidRPr="00B91530">
        <w:t xml:space="preserve"> </w:t>
      </w:r>
      <w:r w:rsidR="00981A94" w:rsidRPr="00B91530">
        <w:t xml:space="preserve">procédure </w:t>
      </w:r>
      <w:r w:rsidRPr="00B91530">
        <w:t>de coordination difficile et non</w:t>
      </w:r>
      <w:r w:rsidR="00387389" w:rsidRPr="00B91530">
        <w:t xml:space="preserve"> pas </w:t>
      </w:r>
      <w:r w:rsidRPr="00B91530">
        <w:t>d</w:t>
      </w:r>
      <w:r w:rsidR="0073119B" w:rsidRPr="00B91530">
        <w:t>'</w:t>
      </w:r>
      <w:r w:rsidRPr="00B91530">
        <w:t>une absence de réponse de la part d</w:t>
      </w:r>
      <w:r w:rsidR="0073119B" w:rsidRPr="00B91530">
        <w:t>'</w:t>
      </w:r>
      <w:r w:rsidRPr="00B91530">
        <w:t>une administration identifiée comme affectée</w:t>
      </w:r>
      <w:r w:rsidR="00981A94" w:rsidRPr="00B91530">
        <w:t>,</w:t>
      </w:r>
      <w:r w:rsidRPr="00B91530">
        <w:t xml:space="preserve"> </w:t>
      </w:r>
      <w:r w:rsidR="00387389" w:rsidRPr="00B91530">
        <w:t>et</w:t>
      </w:r>
      <w:r w:rsidR="00981A94" w:rsidRPr="00B91530">
        <w:t xml:space="preserve"> </w:t>
      </w:r>
      <w:r w:rsidRPr="00B91530">
        <w:t xml:space="preserve">pour démontrer que tous les efforts ont été </w:t>
      </w:r>
      <w:r w:rsidR="00981A94" w:rsidRPr="00B91530">
        <w:t xml:space="preserve">déployés </w:t>
      </w:r>
      <w:r w:rsidRPr="00B91530">
        <w:t xml:space="preserve">pour obtenir les renseignements nécessaires </w:t>
      </w:r>
      <w:r w:rsidR="00981A94" w:rsidRPr="00B91530">
        <w:t xml:space="preserve">afin de </w:t>
      </w:r>
      <w:r w:rsidRPr="00B91530">
        <w:t>mener à bien la coordination. En outre, d</w:t>
      </w:r>
      <w:r w:rsidR="0073119B" w:rsidRPr="00B91530">
        <w:t>'</w:t>
      </w:r>
      <w:r w:rsidRPr="00B91530">
        <w:t>autres mécanismes réglementaires associés à l</w:t>
      </w:r>
      <w:r w:rsidR="0073119B" w:rsidRPr="00B91530">
        <w:t>'</w:t>
      </w:r>
      <w:r w:rsidRPr="00B91530">
        <w:t xml:space="preserve">utilisation du numéro </w:t>
      </w:r>
      <w:r w:rsidR="00981A94" w:rsidRPr="00B91530">
        <w:rPr>
          <w:b/>
          <w:bCs/>
        </w:rPr>
        <w:t>11.41</w:t>
      </w:r>
      <w:r w:rsidR="00981A94" w:rsidRPr="00B91530">
        <w:t xml:space="preserve"> </w:t>
      </w:r>
      <w:r w:rsidRPr="00B91530">
        <w:t>du RR devrai</w:t>
      </w:r>
      <w:r w:rsidR="00981A94" w:rsidRPr="00B91530">
        <w:t>en</w:t>
      </w:r>
      <w:r w:rsidRPr="00B91530">
        <w:t>t être étudié</w:t>
      </w:r>
      <w:r w:rsidR="00981A94" w:rsidRPr="00B91530">
        <w:t>s</w:t>
      </w:r>
      <w:r w:rsidR="00387389" w:rsidRPr="00B91530">
        <w:t xml:space="preserve">, </w:t>
      </w:r>
      <w:r w:rsidRPr="00B91530">
        <w:t>pour faire en sorte que les efforts visant à mener à bien la coordination se poursuivent</w:t>
      </w:r>
      <w:r w:rsidR="00981A94" w:rsidRPr="00B91530">
        <w:t>,</w:t>
      </w:r>
      <w:r w:rsidRPr="00B91530">
        <w:t xml:space="preserve"> même après l</w:t>
      </w:r>
      <w:r w:rsidR="0073119B" w:rsidRPr="00B91530">
        <w:t>'</w:t>
      </w:r>
      <w:r w:rsidRPr="00B91530">
        <w:t xml:space="preserve">inscription des assignations au titre du numéro </w:t>
      </w:r>
      <w:r w:rsidRPr="00B91530">
        <w:rPr>
          <w:b/>
          <w:bCs/>
        </w:rPr>
        <w:t>11.41</w:t>
      </w:r>
      <w:r w:rsidR="00981A94" w:rsidRPr="00B91530">
        <w:t xml:space="preserve"> du RR, dans la mesure où </w:t>
      </w:r>
      <w:r w:rsidRPr="00B91530">
        <w:t xml:space="preserve">cette inscription ne </w:t>
      </w:r>
      <w:r w:rsidR="00387389" w:rsidRPr="00B91530">
        <w:t xml:space="preserve">dispense </w:t>
      </w:r>
      <w:r w:rsidRPr="00B91530">
        <w:t>pas les administrations notificatrices de leur obligation de mener à bien la coordination.</w:t>
      </w:r>
    </w:p>
    <w:p w14:paraId="7CC8F0D0" w14:textId="77777777" w:rsidR="003F7CCC" w:rsidRPr="00B91530" w:rsidRDefault="00291872" w:rsidP="00A70B2E">
      <w:pPr>
        <w:pStyle w:val="Proposal"/>
      </w:pPr>
      <w:r w:rsidRPr="00B91530">
        <w:tab/>
        <w:t>CAN/86A26/5</w:t>
      </w:r>
    </w:p>
    <w:p w14:paraId="43CB5D1D" w14:textId="53032935" w:rsidR="003F7CCC" w:rsidRPr="00B91530" w:rsidRDefault="00DF7C31" w:rsidP="007F49F5">
      <w:r w:rsidRPr="00B91530">
        <w:t>Le Canada propose que la Conférence invite l'UIT-R à étudier la question</w:t>
      </w:r>
      <w:r w:rsidR="0018518D" w:rsidRPr="00B91530">
        <w:t xml:space="preserve">, </w:t>
      </w:r>
      <w:r w:rsidRPr="00B91530">
        <w:t>afin d</w:t>
      </w:r>
      <w:r w:rsidR="0073119B" w:rsidRPr="00B91530">
        <w:t>'</w:t>
      </w:r>
      <w:r w:rsidRPr="00B91530">
        <w:t>apporter les modifications nécessaires au Règlement des radiocommunications pour empêcher ou décourager l</w:t>
      </w:r>
      <w:r w:rsidR="0073119B" w:rsidRPr="00B91530">
        <w:t>'</w:t>
      </w:r>
      <w:r w:rsidRPr="00B91530">
        <w:t xml:space="preserve">invocation du numéro </w:t>
      </w:r>
      <w:r w:rsidRPr="00B91530">
        <w:rPr>
          <w:b/>
          <w:bCs/>
        </w:rPr>
        <w:t>11.41</w:t>
      </w:r>
      <w:r w:rsidRPr="00B91530">
        <w:t xml:space="preserve"> du RR avant que tous les </w:t>
      </w:r>
      <w:r w:rsidR="001117D2" w:rsidRPr="00B91530">
        <w:t xml:space="preserve">efforts </w:t>
      </w:r>
      <w:r w:rsidR="0018518D" w:rsidRPr="00B91530">
        <w:t xml:space="preserve">pour assurer la </w:t>
      </w:r>
      <w:r w:rsidRPr="00B91530">
        <w:t xml:space="preserve">coordination aient été </w:t>
      </w:r>
      <w:r w:rsidR="001117D2" w:rsidRPr="00B91530">
        <w:t xml:space="preserve">déployés </w:t>
      </w:r>
      <w:r w:rsidRPr="00B91530">
        <w:t>et d</w:t>
      </w:r>
      <w:r w:rsidR="0073119B" w:rsidRPr="00B91530">
        <w:t>'</w:t>
      </w:r>
      <w:r w:rsidRPr="00B91530">
        <w:t>encourager les administrations à mener à bien la coordination en suspens, même après l</w:t>
      </w:r>
      <w:r w:rsidR="0073119B" w:rsidRPr="00B91530">
        <w:t>'</w:t>
      </w:r>
      <w:r w:rsidRPr="00B91530">
        <w:t xml:space="preserve">invocation du numéro </w:t>
      </w:r>
      <w:r w:rsidRPr="00B91530">
        <w:rPr>
          <w:b/>
          <w:bCs/>
        </w:rPr>
        <w:t>11.41</w:t>
      </w:r>
      <w:r w:rsidRPr="00B91530">
        <w:t xml:space="preserve"> du RR.</w:t>
      </w:r>
    </w:p>
    <w:p w14:paraId="6326FDB7" w14:textId="233B067A" w:rsidR="00015139" w:rsidRPr="00B91530" w:rsidRDefault="00291872" w:rsidP="00250DA5">
      <w:pPr>
        <w:pStyle w:val="Reasons"/>
      </w:pPr>
      <w:r w:rsidRPr="00B91530">
        <w:rPr>
          <w:b/>
        </w:rPr>
        <w:t>Motifs:</w:t>
      </w:r>
      <w:r w:rsidRPr="00B91530">
        <w:tab/>
      </w:r>
      <w:r w:rsidR="00DF7C31" w:rsidRPr="00B91530">
        <w:t>Encourager les administrations à mener à bonne fin la coordination et empêcher l</w:t>
      </w:r>
      <w:r w:rsidR="0073119B" w:rsidRPr="00B91530">
        <w:t>'</w:t>
      </w:r>
      <w:r w:rsidR="00DF7C31" w:rsidRPr="00B91530">
        <w:t xml:space="preserve">utilisation du numéro </w:t>
      </w:r>
      <w:r w:rsidR="00DF7C31" w:rsidRPr="00B91530">
        <w:rPr>
          <w:b/>
          <w:bCs/>
        </w:rPr>
        <w:t>11.41</w:t>
      </w:r>
      <w:r w:rsidR="00DF7C31" w:rsidRPr="00B91530">
        <w:t xml:space="preserve"> du RR avant que tous les </w:t>
      </w:r>
      <w:r w:rsidR="001117D2" w:rsidRPr="00B91530">
        <w:t xml:space="preserve">efforts pour </w:t>
      </w:r>
      <w:r w:rsidR="00DF7C31" w:rsidRPr="00B91530">
        <w:t xml:space="preserve">mener à bien la coordination aient été </w:t>
      </w:r>
      <w:r w:rsidR="001117D2" w:rsidRPr="00B91530">
        <w:t>déployés</w:t>
      </w:r>
      <w:r w:rsidR="00DF7C31" w:rsidRPr="00B91530">
        <w:t>.</w:t>
      </w:r>
    </w:p>
    <w:p w14:paraId="05F7FBB3" w14:textId="27CBC1DC" w:rsidR="0052469F" w:rsidRPr="00B91530" w:rsidRDefault="0052469F" w:rsidP="00A70B2E">
      <w:pPr>
        <w:pStyle w:val="Heading1"/>
      </w:pPr>
      <w:r w:rsidRPr="00B91530">
        <w:lastRenderedPageBreak/>
        <w:t>5</w:t>
      </w:r>
      <w:r w:rsidRPr="00B91530">
        <w:tab/>
      </w:r>
      <w:r w:rsidR="00DF7C31" w:rsidRPr="00B91530">
        <w:t>Question relatives à la mise en service de</w:t>
      </w:r>
      <w:r w:rsidR="0018518D" w:rsidRPr="00B91530">
        <w:t>s</w:t>
      </w:r>
      <w:r w:rsidR="00DF7C31" w:rsidRPr="00B91530">
        <w:t xml:space="preserve"> réseaux à satellite non géostationnaire</w:t>
      </w:r>
    </w:p>
    <w:p w14:paraId="381426F4" w14:textId="1C02640E" w:rsidR="0052469F" w:rsidRPr="00B91530" w:rsidRDefault="0052469F" w:rsidP="00A70B2E">
      <w:pPr>
        <w:pStyle w:val="Heading2"/>
      </w:pPr>
      <w:r w:rsidRPr="00B91530">
        <w:t>5.1</w:t>
      </w:r>
      <w:r w:rsidRPr="00B91530">
        <w:tab/>
      </w:r>
      <w:r w:rsidR="00DF7C31" w:rsidRPr="00B91530">
        <w:t>Considérations générales et examen</w:t>
      </w:r>
    </w:p>
    <w:p w14:paraId="49071F9F" w14:textId="622DF9AD" w:rsidR="0052469F" w:rsidRPr="00B91530" w:rsidRDefault="00D53669" w:rsidP="00A70B2E">
      <w:r w:rsidRPr="00B91530">
        <w:t>Dans son rapport, le Comité</w:t>
      </w:r>
      <w:r w:rsidR="0018518D" w:rsidRPr="00B91530">
        <w:t xml:space="preserve"> </w:t>
      </w:r>
      <w:r w:rsidRPr="00B91530">
        <w:t xml:space="preserve">note </w:t>
      </w:r>
      <w:r w:rsidR="0018518D" w:rsidRPr="00B91530">
        <w:t xml:space="preserve">qu'il a été saisi récemment </w:t>
      </w:r>
      <w:r w:rsidRPr="00B91530">
        <w:t xml:space="preserve">de cas de modification </w:t>
      </w:r>
      <w:r w:rsidR="0018518D" w:rsidRPr="00B91530">
        <w:t xml:space="preserve">apportées aux </w:t>
      </w:r>
      <w:r w:rsidRPr="00B91530">
        <w:t>demandes de coordination existantes concernant des réseaux à satellite non OSG. Certaines de</w:t>
      </w:r>
      <w:r w:rsidR="0018518D" w:rsidRPr="00B91530">
        <w:t xml:space="preserve"> ce</w:t>
      </w:r>
      <w:r w:rsidRPr="00B91530">
        <w:t>s modifications</w:t>
      </w:r>
      <w:r w:rsidR="0018518D" w:rsidRPr="00B91530">
        <w:t xml:space="preserve"> étaient</w:t>
      </w:r>
      <w:r w:rsidRPr="00B91530">
        <w:t xml:space="preserve"> limitées à l</w:t>
      </w:r>
      <w:r w:rsidR="0073119B" w:rsidRPr="00B91530">
        <w:t>'</w:t>
      </w:r>
      <w:r w:rsidRPr="00B91530">
        <w:t>adjonction d</w:t>
      </w:r>
      <w:r w:rsidR="0073119B" w:rsidRPr="00B91530">
        <w:t>'</w:t>
      </w:r>
      <w:r w:rsidRPr="00B91530">
        <w:t>un satellite dans un plan orbital, ce qui permet d</w:t>
      </w:r>
      <w:r w:rsidR="0073119B" w:rsidRPr="00B91530">
        <w:t>'</w:t>
      </w:r>
      <w:r w:rsidRPr="00B91530">
        <w:t>ajouter les paramètres orbitaux exacts de l</w:t>
      </w:r>
      <w:r w:rsidR="0073119B" w:rsidRPr="00B91530">
        <w:t>'</w:t>
      </w:r>
      <w:r w:rsidRPr="00B91530">
        <w:t>engin spatial à utiliser pour mettre en service les assignations de fréquence, en l</w:t>
      </w:r>
      <w:r w:rsidR="0073119B" w:rsidRPr="00B91530">
        <w:t>'</w:t>
      </w:r>
      <w:r w:rsidRPr="00B91530">
        <w:t>absence de tolérances orbitales convenues.</w:t>
      </w:r>
    </w:p>
    <w:p w14:paraId="21154756" w14:textId="7932151D" w:rsidR="0052469F" w:rsidRPr="00B91530" w:rsidRDefault="0052469F" w:rsidP="00A70B2E">
      <w:r w:rsidRPr="00B91530">
        <w:t xml:space="preserve">Cependant, les modifications </w:t>
      </w:r>
      <w:r w:rsidR="00015139" w:rsidRPr="00B91530">
        <w:t>ont parfois entraîné</w:t>
      </w:r>
      <w:r w:rsidR="00293231" w:rsidRPr="00B91530">
        <w:t xml:space="preserve"> l'adjonction </w:t>
      </w:r>
      <w:r w:rsidR="00015139" w:rsidRPr="00B91530">
        <w:t>d'</w:t>
      </w:r>
      <w:r w:rsidRPr="00B91530">
        <w:t>un nouveau plan orbital avec un nouveau satellite</w:t>
      </w:r>
      <w:r w:rsidR="00015139" w:rsidRPr="00B91530">
        <w:t>,</w:t>
      </w:r>
      <w:r w:rsidRPr="00B91530">
        <w:t xml:space="preserve"> dont les caractéristiques</w:t>
      </w:r>
      <w:r w:rsidR="0018518D" w:rsidRPr="00B91530">
        <w:t xml:space="preserve"> pouvaient </w:t>
      </w:r>
      <w:r w:rsidRPr="00B91530">
        <w:t xml:space="preserve">différer sensiblement du reste du système non OSG faisant l'objet d'une coordination, </w:t>
      </w:r>
      <w:r w:rsidR="00015139" w:rsidRPr="00B91530">
        <w:t>notamment</w:t>
      </w:r>
      <w:r w:rsidRPr="00B91530">
        <w:t xml:space="preserve"> </w:t>
      </w:r>
      <w:r w:rsidR="00293231" w:rsidRPr="00B91530">
        <w:t>dans les cas où l'</w:t>
      </w:r>
      <w:r w:rsidRPr="00B91530">
        <w:t>altitude orbitale</w:t>
      </w:r>
      <w:r w:rsidR="00293231" w:rsidRPr="00B91530">
        <w:t xml:space="preserve"> </w:t>
      </w:r>
      <w:r w:rsidR="00015139" w:rsidRPr="00B91530">
        <w:t xml:space="preserve">dépasserait </w:t>
      </w:r>
      <w:r w:rsidRPr="00B91530">
        <w:t xml:space="preserve">les tolérances </w:t>
      </w:r>
      <w:r w:rsidR="00015139" w:rsidRPr="00B91530">
        <w:t>devant</w:t>
      </w:r>
      <w:r w:rsidRPr="00B91530">
        <w:t xml:space="preserve"> être examinées par la CMR-23.</w:t>
      </w:r>
      <w:r w:rsidR="00D53669" w:rsidRPr="00B91530">
        <w:t xml:space="preserve"> De tels cas </w:t>
      </w:r>
      <w:r w:rsidR="00293231" w:rsidRPr="00B91530">
        <w:t xml:space="preserve">ont soulevé </w:t>
      </w:r>
      <w:r w:rsidR="00D53669" w:rsidRPr="00B91530">
        <w:t>la question de savoir si un engin spatial ayant la capacité d</w:t>
      </w:r>
      <w:r w:rsidR="0073119B" w:rsidRPr="00B91530">
        <w:t>'</w:t>
      </w:r>
      <w:r w:rsidR="00D53669" w:rsidRPr="00B91530">
        <w:t xml:space="preserve">émettre ou de recevoir sur les fréquences assignées </w:t>
      </w:r>
      <w:r w:rsidR="00293231" w:rsidRPr="00B91530">
        <w:t xml:space="preserve">décrites </w:t>
      </w:r>
      <w:r w:rsidR="00D53669" w:rsidRPr="00B91530">
        <w:t xml:space="preserve">dans la modification </w:t>
      </w:r>
      <w:r w:rsidR="00293231" w:rsidRPr="00B91530">
        <w:t>était conforme aux</w:t>
      </w:r>
      <w:r w:rsidR="00D53669" w:rsidRPr="00B91530">
        <w:t xml:space="preserve"> dispositions des numéros </w:t>
      </w:r>
      <w:r w:rsidR="00D53669" w:rsidRPr="00B91530">
        <w:rPr>
          <w:b/>
          <w:bCs/>
        </w:rPr>
        <w:t>11.44C</w:t>
      </w:r>
      <w:r w:rsidR="00D53669" w:rsidRPr="00B91530">
        <w:t xml:space="preserve"> et </w:t>
      </w:r>
      <w:r w:rsidR="00D53669" w:rsidRPr="00B91530">
        <w:rPr>
          <w:b/>
          <w:bCs/>
        </w:rPr>
        <w:t>11.44D</w:t>
      </w:r>
      <w:r w:rsidR="00293231" w:rsidRPr="00B91530">
        <w:t xml:space="preserve"> du RR</w:t>
      </w:r>
      <w:r w:rsidR="00D53669" w:rsidRPr="00B91530">
        <w:t xml:space="preserve"> pour les autres groupes d</w:t>
      </w:r>
      <w:r w:rsidR="0073119B" w:rsidRPr="00B91530">
        <w:t>'</w:t>
      </w:r>
      <w:r w:rsidR="00D53669" w:rsidRPr="00B91530">
        <w:t>assignations de fréquence.</w:t>
      </w:r>
    </w:p>
    <w:p w14:paraId="6256B606" w14:textId="6ABA305C" w:rsidR="0052469F" w:rsidRPr="00B91530" w:rsidRDefault="00D53669" w:rsidP="00A70B2E">
      <w:r w:rsidRPr="00B91530">
        <w:t xml:space="preserve">Le Comité invite la </w:t>
      </w:r>
      <w:r w:rsidR="0052469F" w:rsidRPr="00B91530">
        <w:t>CMR-23 à charger l'UIT-R d'étudier les mesures qui pourraient être prises pour limiter la pratique consistant à ajouter un plan orbital complètement différent</w:t>
      </w:r>
      <w:r w:rsidR="00293231" w:rsidRPr="00B91530">
        <w:t xml:space="preserve">, </w:t>
      </w:r>
      <w:r w:rsidR="0052469F" w:rsidRPr="00B91530">
        <w:t xml:space="preserve">qu'il n'est pas prévu d'exiger pour l'exploitation de la constellation, afin de satisfaire aux </w:t>
      </w:r>
      <w:r w:rsidR="00293231" w:rsidRPr="00B91530">
        <w:t>prescriptions relatives à la</w:t>
      </w:r>
      <w:r w:rsidR="0052469F" w:rsidRPr="00B91530">
        <w:t xml:space="preserve"> mise en service ou</w:t>
      </w:r>
      <w:r w:rsidR="00293231" w:rsidRPr="00B91530">
        <w:t xml:space="preserve"> à la </w:t>
      </w:r>
      <w:r w:rsidR="0052469F" w:rsidRPr="00B91530">
        <w:t>remise en service des assignations de fréquence.</w:t>
      </w:r>
    </w:p>
    <w:p w14:paraId="40D2F6A2" w14:textId="3C03016A" w:rsidR="0052469F" w:rsidRPr="00B91530" w:rsidRDefault="0052469F" w:rsidP="00A70B2E">
      <w:pPr>
        <w:pStyle w:val="Heading2"/>
      </w:pPr>
      <w:r w:rsidRPr="00B91530">
        <w:t>5.2</w:t>
      </w:r>
      <w:r w:rsidRPr="00B91530">
        <w:tab/>
      </w:r>
      <w:r w:rsidR="00D53669" w:rsidRPr="00B91530">
        <w:t>Observations</w:t>
      </w:r>
    </w:p>
    <w:p w14:paraId="4F06ABEF" w14:textId="77D65954" w:rsidR="00D53669" w:rsidRPr="00B91530" w:rsidRDefault="00D53669" w:rsidP="00A70B2E">
      <w:r w:rsidRPr="00B91530">
        <w:t xml:space="preserve">Le Canada est préoccupé par certaines </w:t>
      </w:r>
      <w:r w:rsidR="00293231" w:rsidRPr="00B91530">
        <w:t xml:space="preserve">des </w:t>
      </w:r>
      <w:r w:rsidRPr="00B91530">
        <w:t xml:space="preserve">modifications apportées aux demandes de coordination existantes de réseaux à satellite non OSG. </w:t>
      </w:r>
      <w:r w:rsidR="00293231" w:rsidRPr="00B91530">
        <w:t xml:space="preserve">Bien que l'on puisse résoudre </w:t>
      </w:r>
      <w:r w:rsidRPr="00B91530">
        <w:t xml:space="preserve">certains des cas </w:t>
      </w:r>
      <w:r w:rsidR="00293231" w:rsidRPr="00B91530">
        <w:t xml:space="preserve">recensés </w:t>
      </w:r>
      <w:r w:rsidRPr="00B91530">
        <w:t>par le Comité</w:t>
      </w:r>
      <w:r w:rsidR="00293231" w:rsidRPr="00B91530">
        <w:t xml:space="preserve"> en menant à bien les</w:t>
      </w:r>
      <w:r w:rsidRPr="00B91530">
        <w:t xml:space="preserve"> travaux sur la question des tolérances orbitales, il apparaît que</w:t>
      </w:r>
      <w:r w:rsidR="00293231" w:rsidRPr="00B91530">
        <w:t xml:space="preserve"> </w:t>
      </w:r>
      <w:r w:rsidRPr="00B91530">
        <w:t xml:space="preserve">dans certains cas, une station spatiale est ajoutée </w:t>
      </w:r>
      <w:r w:rsidR="00293231" w:rsidRPr="00B91530">
        <w:t xml:space="preserve">dans </w:t>
      </w:r>
      <w:r w:rsidRPr="00B91530">
        <w:t xml:space="preserve">une fiche de notification avec des caractéristiques orbitales sensiblement différentes de celles décrites dans la fiche de notification. Cette station spatiale </w:t>
      </w:r>
      <w:r w:rsidR="00293231" w:rsidRPr="00B91530">
        <w:t xml:space="preserve">possédant des </w:t>
      </w:r>
      <w:r w:rsidRPr="00B91530">
        <w:t>caractéristiques orbitales</w:t>
      </w:r>
      <w:r w:rsidR="00293231" w:rsidRPr="00B91530">
        <w:t xml:space="preserve"> nettement</w:t>
      </w:r>
      <w:r w:rsidRPr="00B91530">
        <w:t xml:space="preserve"> différentes pourrait alors être utilisée pour mettre en service toutes les assignations visées </w:t>
      </w:r>
      <w:r w:rsidR="00293231" w:rsidRPr="00B91530">
        <w:t xml:space="preserve">dans </w:t>
      </w:r>
      <w:r w:rsidRPr="00B91530">
        <w:t xml:space="preserve">la fiche de notification, même si aucune des assignations de fréquence </w:t>
      </w:r>
      <w:r w:rsidR="00293231" w:rsidRPr="00B91530">
        <w:t xml:space="preserve">des </w:t>
      </w:r>
      <w:r w:rsidRPr="00B91530">
        <w:t>stations spatiales associées aux plans orbitaux de la fiche de notification initiale n</w:t>
      </w:r>
      <w:r w:rsidR="0073119B" w:rsidRPr="00B91530">
        <w:t>'</w:t>
      </w:r>
      <w:r w:rsidRPr="00B91530">
        <w:t>a</w:t>
      </w:r>
      <w:r w:rsidR="00293231" w:rsidRPr="00B91530">
        <w:t xml:space="preserve"> en fait </w:t>
      </w:r>
      <w:r w:rsidRPr="00B91530">
        <w:t>été mise en service. Un tel scénario soulève d</w:t>
      </w:r>
      <w:r w:rsidR="00293231" w:rsidRPr="00B91530">
        <w:t xml:space="preserve">es problèmes </w:t>
      </w:r>
      <w:r w:rsidRPr="00B91530">
        <w:t>important</w:t>
      </w:r>
      <w:r w:rsidR="00293231" w:rsidRPr="00B91530">
        <w:t>s liés à</w:t>
      </w:r>
      <w:r w:rsidRPr="00B91530">
        <w:t xml:space="preserve"> l</w:t>
      </w:r>
      <w:r w:rsidR="0073119B" w:rsidRPr="00B91530">
        <w:t>'</w:t>
      </w:r>
      <w:r w:rsidRPr="00B91530">
        <w:t>efficacité d</w:t>
      </w:r>
      <w:r w:rsidR="0073119B" w:rsidRPr="00B91530">
        <w:t>'</w:t>
      </w:r>
      <w:r w:rsidRPr="00B91530">
        <w:t xml:space="preserve">utilisation du spectre et au </w:t>
      </w:r>
      <w:r w:rsidR="00293231" w:rsidRPr="00B91530">
        <w:t xml:space="preserve">risque </w:t>
      </w:r>
      <w:r w:rsidRPr="00B91530">
        <w:t xml:space="preserve">de réservation de </w:t>
      </w:r>
      <w:r w:rsidR="00293231" w:rsidRPr="00B91530">
        <w:t xml:space="preserve">fréquences </w:t>
      </w:r>
      <w:r w:rsidRPr="00B91530">
        <w:t>et d</w:t>
      </w:r>
      <w:r w:rsidR="0073119B" w:rsidRPr="00B91530">
        <w:t>'</w:t>
      </w:r>
      <w:r w:rsidRPr="00B91530">
        <w:t>orbites.</w:t>
      </w:r>
    </w:p>
    <w:p w14:paraId="297CDFC9" w14:textId="11C8C993" w:rsidR="0052469F" w:rsidRPr="00B91530" w:rsidRDefault="00D53669" w:rsidP="00A70B2E">
      <w:r w:rsidRPr="00B91530">
        <w:t xml:space="preserve">Conformément au numéro </w:t>
      </w:r>
      <w:r w:rsidRPr="00B91530">
        <w:rPr>
          <w:b/>
          <w:bCs/>
        </w:rPr>
        <w:t>11.44C</w:t>
      </w:r>
      <w:r w:rsidRPr="00B91530">
        <w:t xml:space="preserve"> du RR, </w:t>
      </w:r>
      <w:r w:rsidR="0052469F" w:rsidRPr="00B91530">
        <w:t>«</w:t>
      </w:r>
      <w:r w:rsidR="008469FD" w:rsidRPr="00B91530">
        <w:t>u</w:t>
      </w:r>
      <w:r w:rsidR="0052469F" w:rsidRPr="00B91530">
        <w:t>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 du réseau à satellite non géostationnaire ou du système à satellites non géostationnaires pendant une période continue de 90 jours, quel que soit le nombre notifié de plans orbitaux et de satellites par plan orbital dans le réseau ou le système».</w:t>
      </w:r>
    </w:p>
    <w:p w14:paraId="52B6B9A9" w14:textId="410C57D8" w:rsidR="008D41D4" w:rsidRPr="00B91530" w:rsidRDefault="008D41D4" w:rsidP="00A70B2E">
      <w:r w:rsidRPr="00B91530">
        <w:t xml:space="preserve">Le numéro </w:t>
      </w:r>
      <w:r w:rsidRPr="00B91530">
        <w:rPr>
          <w:b/>
          <w:bCs/>
        </w:rPr>
        <w:t>11.44C</w:t>
      </w:r>
      <w:r w:rsidRPr="00B91530">
        <w:t xml:space="preserve"> du Règlement des radiocommunications semble indiquer qu</w:t>
      </w:r>
      <w:r w:rsidR="0073119B" w:rsidRPr="00B91530">
        <w:t>'</w:t>
      </w:r>
      <w:r w:rsidRPr="00B91530">
        <w:t>une seule station spatiale sur un plan orbital ayant la capacité d</w:t>
      </w:r>
      <w:r w:rsidR="0073119B" w:rsidRPr="00B91530">
        <w:t>'</w:t>
      </w:r>
      <w:r w:rsidRPr="00B91530">
        <w:t>ém</w:t>
      </w:r>
      <w:r w:rsidR="001B4765" w:rsidRPr="00B91530">
        <w:t>ettre</w:t>
      </w:r>
      <w:r w:rsidRPr="00B91530">
        <w:t xml:space="preserve"> et de </w:t>
      </w:r>
      <w:r w:rsidR="001B4765" w:rsidRPr="00B91530">
        <w:t xml:space="preserve">recevoir </w:t>
      </w:r>
      <w:r w:rsidRPr="00B91530">
        <w:t xml:space="preserve">voulue est suffisante pour mettre en service une assignation de fréquence, même pour </w:t>
      </w:r>
      <w:r w:rsidR="00293231" w:rsidRPr="00B91530">
        <w:t xml:space="preserve">les fiches de notification qui comprennent </w:t>
      </w:r>
      <w:r w:rsidRPr="00B91530">
        <w:t>des plans orbitaux ayant des caractéristiques</w:t>
      </w:r>
      <w:r w:rsidR="00293231" w:rsidRPr="00B91530">
        <w:t xml:space="preserve"> différentes</w:t>
      </w:r>
      <w:r w:rsidRPr="00B91530">
        <w:t xml:space="preserve"> (altitudes ou inclinaison</w:t>
      </w:r>
      <w:r w:rsidR="00293231" w:rsidRPr="00B91530">
        <w:t xml:space="preserve"> par exemple</w:t>
      </w:r>
      <w:r w:rsidRPr="00B91530">
        <w:t>)</w:t>
      </w:r>
      <w:r w:rsidR="003B04A3" w:rsidRPr="00B91530">
        <w:t>.</w:t>
      </w:r>
    </w:p>
    <w:p w14:paraId="6B6ADFDF" w14:textId="4B08D51E" w:rsidR="008D41D4" w:rsidRPr="00B91530" w:rsidRDefault="008D41D4" w:rsidP="00A70B2E">
      <w:r w:rsidRPr="00B91530">
        <w:lastRenderedPageBreak/>
        <w:t>Toutefois, cela pose une question plus fondamentale, à savoir celle de la définition même de ce qu</w:t>
      </w:r>
      <w:r w:rsidR="00293231" w:rsidRPr="00B91530">
        <w:t>e</w:t>
      </w:r>
      <w:r w:rsidRPr="00B91530">
        <w:t xml:space="preserve"> constitue une assignation de fréquence dans le contexte des systèmes non OSG. Par exemple, faut-il supposer qu</w:t>
      </w:r>
      <w:r w:rsidR="001B4765" w:rsidRPr="00B91530">
        <w:t xml:space="preserve">e </w:t>
      </w:r>
      <w:r w:rsidR="00501010" w:rsidRPr="00B91530">
        <w:t>les</w:t>
      </w:r>
      <w:r w:rsidR="001B4765" w:rsidRPr="00B91530">
        <w:t xml:space="preserve"> </w:t>
      </w:r>
      <w:r w:rsidRPr="00B91530">
        <w:t>assignation</w:t>
      </w:r>
      <w:r w:rsidR="00501010" w:rsidRPr="00B91530">
        <w:t>s</w:t>
      </w:r>
      <w:r w:rsidRPr="00B91530">
        <w:t xml:space="preserve"> à une station spatiale non OSG </w:t>
      </w:r>
      <w:r w:rsidR="00501010" w:rsidRPr="00B91530">
        <w:t xml:space="preserve">qui </w:t>
      </w:r>
      <w:r w:rsidR="00293231" w:rsidRPr="00B91530">
        <w:t>présente</w:t>
      </w:r>
      <w:r w:rsidR="00501010" w:rsidRPr="00B91530">
        <w:t>nt</w:t>
      </w:r>
      <w:r w:rsidR="00293231" w:rsidRPr="00B91530">
        <w:t xml:space="preserve"> </w:t>
      </w:r>
      <w:r w:rsidRPr="00B91530">
        <w:t xml:space="preserve">les mêmes caractéristiques, exception faite des caractéristiques du plan orbital, </w:t>
      </w:r>
      <w:r w:rsidR="00501010" w:rsidRPr="00B91530">
        <w:t>constituent les mêmes</w:t>
      </w:r>
      <w:r w:rsidR="001B4765" w:rsidRPr="00B91530">
        <w:t xml:space="preserve"> </w:t>
      </w:r>
      <w:r w:rsidRPr="00B91530">
        <w:t>assignation</w:t>
      </w:r>
      <w:r w:rsidR="00501010" w:rsidRPr="00B91530">
        <w:t>s</w:t>
      </w:r>
      <w:r w:rsidRPr="00B91530">
        <w:t xml:space="preserve">? Pour exposer la situation plus clairement, toutes les assignations de fréquence notifiées doivent être mises en service. </w:t>
      </w:r>
      <w:r w:rsidR="001E61C5" w:rsidRPr="00B91530">
        <w:t>Il s</w:t>
      </w:r>
      <w:r w:rsidR="0073119B" w:rsidRPr="00B91530">
        <w:t>'</w:t>
      </w:r>
      <w:r w:rsidR="001E61C5" w:rsidRPr="00B91530">
        <w:t xml:space="preserve">agit ici de déterminer si une assignation de fréquence associée à une station spatiale elle-même associée à un plan orbital notifié à une altitude de 1 000 km est </w:t>
      </w:r>
      <w:r w:rsidR="00501010" w:rsidRPr="00B91530">
        <w:t>la même qu'</w:t>
      </w:r>
      <w:r w:rsidR="001E61C5" w:rsidRPr="00B91530">
        <w:t>une assignation de fréquence associée à une station spatiale située dans un plan orbital notifié à une altitude de 900 km</w:t>
      </w:r>
      <w:r w:rsidR="00501010" w:rsidRPr="00B91530">
        <w:t>, ou encore</w:t>
      </w:r>
      <w:r w:rsidR="001E61C5" w:rsidRPr="00B91530">
        <w:t xml:space="preserve"> </w:t>
      </w:r>
      <w:r w:rsidR="00501010" w:rsidRPr="00B91530">
        <w:t xml:space="preserve">quelle doit être la différence </w:t>
      </w:r>
      <w:r w:rsidR="001E61C5" w:rsidRPr="00B91530">
        <w:t xml:space="preserve">entre les caractéristiques des assignations de fréquence </w:t>
      </w:r>
      <w:r w:rsidR="00501010" w:rsidRPr="00B91530">
        <w:t>de</w:t>
      </w:r>
      <w:r w:rsidR="001E61C5" w:rsidRPr="00B91530">
        <w:t xml:space="preserve"> l</w:t>
      </w:r>
      <w:r w:rsidR="0073119B" w:rsidRPr="00B91530">
        <w:t>'</w:t>
      </w:r>
      <w:r w:rsidR="001E61C5" w:rsidRPr="00B91530">
        <w:t xml:space="preserve">Appendice </w:t>
      </w:r>
      <w:r w:rsidR="001E61C5" w:rsidRPr="00B91530">
        <w:rPr>
          <w:b/>
          <w:bCs/>
        </w:rPr>
        <w:t>4</w:t>
      </w:r>
      <w:r w:rsidR="001E61C5" w:rsidRPr="00B91530">
        <w:t xml:space="preserve"> du RR </w:t>
      </w:r>
      <w:r w:rsidR="00501010" w:rsidRPr="00B91530">
        <w:t>du point de vue des</w:t>
      </w:r>
      <w:r w:rsidR="001E61C5" w:rsidRPr="00B91530">
        <w:t xml:space="preserve"> caractéristiques orbitales des stations spatiales qui les utilisent</w:t>
      </w:r>
      <w:r w:rsidR="00501010" w:rsidRPr="00B91530">
        <w:t xml:space="preserve">, </w:t>
      </w:r>
      <w:r w:rsidR="001E61C5" w:rsidRPr="00B91530">
        <w:t xml:space="preserve">pour qu'il s'agisse </w:t>
      </w:r>
      <w:r w:rsidR="00B273E9" w:rsidRPr="00B91530">
        <w:t xml:space="preserve">bien </w:t>
      </w:r>
      <w:r w:rsidR="00501010" w:rsidRPr="00B91530">
        <w:t>d'une assignation différente</w:t>
      </w:r>
      <w:r w:rsidR="001E61C5" w:rsidRPr="00B91530">
        <w:t>?</w:t>
      </w:r>
    </w:p>
    <w:p w14:paraId="29A9A631" w14:textId="6D5F50F8" w:rsidR="0052469F" w:rsidRPr="00B91530" w:rsidRDefault="00B273E9" w:rsidP="00A70B2E">
      <w:r w:rsidRPr="00B91530">
        <w:t>Pour tenter de répondre à ces questions, il convient également d</w:t>
      </w:r>
      <w:r w:rsidR="0073119B" w:rsidRPr="00B91530">
        <w:t>'</w:t>
      </w:r>
      <w:r w:rsidRPr="00B91530">
        <w:t>examiner la définition actuelle d</w:t>
      </w:r>
      <w:r w:rsidR="0073119B" w:rsidRPr="00B91530">
        <w:t>'</w:t>
      </w:r>
      <w:r w:rsidRPr="00B91530">
        <w:t xml:space="preserve">une assignation </w:t>
      </w:r>
      <w:r w:rsidR="00501010" w:rsidRPr="00B91530">
        <w:t>donnée au</w:t>
      </w:r>
      <w:r w:rsidRPr="00B91530">
        <w:t xml:space="preserve"> numéro </w:t>
      </w:r>
      <w:r w:rsidRPr="00B91530">
        <w:rPr>
          <w:b/>
          <w:bCs/>
        </w:rPr>
        <w:t>1.18</w:t>
      </w:r>
      <w:r w:rsidRPr="00B91530">
        <w:t xml:space="preserve"> du RR et la Règle de procédure relative au numéro </w:t>
      </w:r>
      <w:r w:rsidRPr="00B91530">
        <w:rPr>
          <w:b/>
          <w:bCs/>
        </w:rPr>
        <w:t>1.112</w:t>
      </w:r>
      <w:r w:rsidRPr="00B91530">
        <w:t xml:space="preserve"> du RR, qui </w:t>
      </w:r>
      <w:r w:rsidR="00501010" w:rsidRPr="00B91530">
        <w:t xml:space="preserve">disposent </w:t>
      </w:r>
      <w:r w:rsidRPr="00B91530">
        <w:t>ce qui suit pour les systèmes non OSG</w:t>
      </w:r>
      <w:r w:rsidR="0052469F" w:rsidRPr="00B91530">
        <w:t>:</w:t>
      </w:r>
    </w:p>
    <w:p w14:paraId="3F83FF22" w14:textId="1FE59D7E" w:rsidR="0052469F" w:rsidRPr="00B91530" w:rsidRDefault="0052469F" w:rsidP="00A70B2E">
      <w:pPr>
        <w:pStyle w:val="enumlev1"/>
        <w:rPr>
          <w:i/>
          <w:iCs/>
        </w:rPr>
      </w:pPr>
      <w:r w:rsidRPr="00B91530">
        <w:tab/>
      </w:r>
      <w:r w:rsidR="006A58BC" w:rsidRPr="00B91530">
        <w:rPr>
          <w:b/>
          <w:bCs/>
          <w:i/>
          <w:iCs/>
        </w:rPr>
        <w:t>1.18</w:t>
      </w:r>
      <w:r w:rsidR="006A58BC" w:rsidRPr="00B91530">
        <w:rPr>
          <w:i/>
          <w:iCs/>
        </w:rPr>
        <w:tab/>
      </w:r>
      <w:r w:rsidRPr="00B91530">
        <w:rPr>
          <w:i/>
          <w:iCs/>
        </w:rPr>
        <w:t xml:space="preserve">assignation (d'une fréquence ou d'un canal radioélectrique): Autorisation donnée par une administration pour l'utilisation par </w:t>
      </w:r>
      <w:r w:rsidRPr="00B91530">
        <w:rPr>
          <w:b/>
          <w:bCs/>
          <w:i/>
          <w:iCs/>
          <w:u w:val="single"/>
        </w:rPr>
        <w:t>une station radioélectrique</w:t>
      </w:r>
      <w:r w:rsidRPr="00B91530">
        <w:rPr>
          <w:i/>
          <w:iCs/>
        </w:rPr>
        <w:t xml:space="preserve"> d'une fréquence ou d'un canal radioélectrique déterminé selon des conditions spécifiées.</w:t>
      </w:r>
    </w:p>
    <w:p w14:paraId="07F5C03E" w14:textId="210C67B5" w:rsidR="0052469F" w:rsidRPr="00B91530" w:rsidRDefault="00B273E9" w:rsidP="00A70B2E">
      <w:r w:rsidRPr="00B91530">
        <w:t xml:space="preserve">Règle de procédure relative au numéro </w:t>
      </w:r>
      <w:r w:rsidRPr="00B91530">
        <w:rPr>
          <w:b/>
          <w:bCs/>
        </w:rPr>
        <w:t xml:space="preserve">1.112 </w:t>
      </w:r>
      <w:r w:rsidRPr="00B91530">
        <w:t>du RR</w:t>
      </w:r>
      <w:r w:rsidR="006A58BC" w:rsidRPr="00B91530">
        <w:t>:</w:t>
      </w:r>
    </w:p>
    <w:p w14:paraId="265A81B0" w14:textId="595D493B" w:rsidR="0052469F" w:rsidRPr="00B91530" w:rsidRDefault="006A58BC" w:rsidP="00A70B2E">
      <w:pPr>
        <w:pStyle w:val="enumlev1"/>
      </w:pPr>
      <w:r w:rsidRPr="00B91530">
        <w:tab/>
        <w:t>«En vertu de cette définition, un système à satellites composé d'un seul satellite est aussi un réseau à satellite et, quand il est composé de plusieurs satellites, chacune des parties comprenant un satellite forme un réseau à satellite.</w:t>
      </w:r>
    </w:p>
    <w:p w14:paraId="21CA2FDD" w14:textId="2F20A905" w:rsidR="006A58BC" w:rsidRPr="00B91530" w:rsidRDefault="006A58BC" w:rsidP="00A70B2E">
      <w:pPr>
        <w:pStyle w:val="enumlev1"/>
      </w:pPr>
      <w:r w:rsidRPr="00B91530">
        <w:tab/>
        <w:t>[...]</w:t>
      </w:r>
    </w:p>
    <w:p w14:paraId="2464F0AD" w14:textId="034A58B6" w:rsidR="006A58BC" w:rsidRPr="00B91530" w:rsidRDefault="006A58BC" w:rsidP="00A70B2E">
      <w:pPr>
        <w:pStyle w:val="enumlev1"/>
      </w:pPr>
      <w:r w:rsidRPr="00B91530">
        <w:tab/>
      </w:r>
      <w:r w:rsidRPr="00B91530">
        <w:rPr>
          <w:i/>
          <w:iCs/>
        </w:rPr>
        <w:t>c)</w:t>
      </w:r>
      <w:r w:rsidRPr="00B91530">
        <w:tab/>
        <w:t>un système à satellites non géostationnaires composé d'un ou de plusieurs plans orbitaux, dont chacun comporte un ou plusieurs satellites ayant des caractéristiques identiques, est considéré comme formant un seul et même réseau à satellite. [...]»</w:t>
      </w:r>
    </w:p>
    <w:p w14:paraId="2924F91E" w14:textId="287F1FC0" w:rsidR="00A034C2" w:rsidRPr="00B91530" w:rsidRDefault="00B273E9" w:rsidP="00A70B2E">
      <w:r w:rsidRPr="00B91530">
        <w:t>L</w:t>
      </w:r>
      <w:r w:rsidR="0073119B" w:rsidRPr="00B91530">
        <w:t>'</w:t>
      </w:r>
      <w:r w:rsidRPr="00B91530">
        <w:t xml:space="preserve">UIT-R devra peut-être déterminer si deux stations spatiales </w:t>
      </w:r>
      <w:r w:rsidR="00501010" w:rsidRPr="00B91530">
        <w:t xml:space="preserve">quelconques </w:t>
      </w:r>
      <w:r w:rsidRPr="00B91530">
        <w:t>émettant ou recevant sur le canal radioélectrique du même service peuvent être considérées comme constituant la même assignation de fréquence et, dans l</w:t>
      </w:r>
      <w:r w:rsidR="0073119B" w:rsidRPr="00B91530">
        <w:t>'</w:t>
      </w:r>
      <w:r w:rsidRPr="00B91530">
        <w:t>affirmative, dans quelles conditions, le cas échéant.</w:t>
      </w:r>
    </w:p>
    <w:p w14:paraId="3F719FAB" w14:textId="77777777" w:rsidR="003F7CCC" w:rsidRPr="00B91530" w:rsidRDefault="00291872" w:rsidP="00A70B2E">
      <w:pPr>
        <w:pStyle w:val="Proposal"/>
      </w:pPr>
      <w:r w:rsidRPr="00B91530">
        <w:tab/>
        <w:t>CAN/86A26/6</w:t>
      </w:r>
    </w:p>
    <w:p w14:paraId="050733F9" w14:textId="37F3A3B8" w:rsidR="003F7CCC" w:rsidRPr="00B91530" w:rsidRDefault="00B273E9" w:rsidP="00A70B2E">
      <w:r w:rsidRPr="00B91530">
        <w:t>Le Canada propose que la Conférence invite l</w:t>
      </w:r>
      <w:r w:rsidR="0073119B" w:rsidRPr="00B91530">
        <w:t>'</w:t>
      </w:r>
      <w:r w:rsidRPr="00B91530">
        <w:t>UIT-R à préciser, si nécessaire, ce que l</w:t>
      </w:r>
      <w:r w:rsidR="0073119B" w:rsidRPr="00B91530">
        <w:t>'</w:t>
      </w:r>
      <w:r w:rsidRPr="00B91530">
        <w:t xml:space="preserve">on entend par assignation de fréquence </w:t>
      </w:r>
      <w:r w:rsidR="00501010" w:rsidRPr="00B91530">
        <w:t xml:space="preserve">pour </w:t>
      </w:r>
      <w:r w:rsidRPr="00B91530">
        <w:t xml:space="preserve">des systèmes à satellites non OSG et à étudier les mesures qui pourraient être prises pour limiter la pratique consistant à </w:t>
      </w:r>
      <w:r w:rsidR="00501010" w:rsidRPr="00B91530">
        <w:t xml:space="preserve">ajouter </w:t>
      </w:r>
      <w:r w:rsidRPr="00B91530">
        <w:t>un plan orbital complètement différent qu'il n'est pas prévu d'exiger pour l'exploitation de la constellation</w:t>
      </w:r>
      <w:r w:rsidR="00501010" w:rsidRPr="00B91530">
        <w:t xml:space="preserve">, </w:t>
      </w:r>
      <w:r w:rsidRPr="00B91530">
        <w:t xml:space="preserve">dans le seul but </w:t>
      </w:r>
      <w:r w:rsidR="00501010" w:rsidRPr="00B91530">
        <w:t>d'assurer</w:t>
      </w:r>
      <w:r w:rsidRPr="00B91530">
        <w:t xml:space="preserve"> la mise en service ou la remise en service des assignations de fréquence à des systèmes à</w:t>
      </w:r>
      <w:r w:rsidR="00501010" w:rsidRPr="00B91530">
        <w:t xml:space="preserve"> </w:t>
      </w:r>
      <w:r w:rsidRPr="00B91530">
        <w:t>non OSG.</w:t>
      </w:r>
    </w:p>
    <w:p w14:paraId="791DA972" w14:textId="647D36DD" w:rsidR="00A034C2" w:rsidRPr="00B91530" w:rsidRDefault="00291872" w:rsidP="00A70B2E">
      <w:pPr>
        <w:pStyle w:val="Reasons"/>
      </w:pPr>
      <w:r w:rsidRPr="00B91530">
        <w:rPr>
          <w:b/>
        </w:rPr>
        <w:t>Motifs:</w:t>
      </w:r>
      <w:r w:rsidRPr="00B91530">
        <w:tab/>
      </w:r>
      <w:r w:rsidR="00501010" w:rsidRPr="00B91530">
        <w:t xml:space="preserve">Clarifier </w:t>
      </w:r>
      <w:r w:rsidR="00AC090A" w:rsidRPr="00B91530">
        <w:t>la notion d</w:t>
      </w:r>
      <w:r w:rsidR="0073119B" w:rsidRPr="00B91530">
        <w:t>'</w:t>
      </w:r>
      <w:r w:rsidR="00AC090A" w:rsidRPr="00B91530">
        <w:t xml:space="preserve">assignation de fréquence pour les systèmes non OSG et empêcher </w:t>
      </w:r>
      <w:r w:rsidR="00501010" w:rsidRPr="00B91530">
        <w:t xml:space="preserve">le risque de réservation </w:t>
      </w:r>
      <w:r w:rsidR="00AC090A" w:rsidRPr="00B91530">
        <w:t>de fréquences et de positions orbitales.</w:t>
      </w:r>
    </w:p>
    <w:p w14:paraId="00618A90" w14:textId="1EBAFFD2" w:rsidR="003F7CCC" w:rsidRPr="00B91530" w:rsidRDefault="00A034C2" w:rsidP="00A70B2E">
      <w:pPr>
        <w:jc w:val="center"/>
      </w:pPr>
      <w:r w:rsidRPr="00B91530">
        <w:t>______________</w:t>
      </w:r>
    </w:p>
    <w:sectPr w:rsidR="003F7CCC" w:rsidRPr="00B91530">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CB6B" w14:textId="77777777" w:rsidR="00ED1A81" w:rsidRDefault="00ED1A81">
      <w:r>
        <w:separator/>
      </w:r>
    </w:p>
  </w:endnote>
  <w:endnote w:type="continuationSeparator" w:id="0">
    <w:p w14:paraId="04C86840" w14:textId="77777777" w:rsidR="00ED1A81" w:rsidRDefault="00ED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56D" w14:textId="1A269A5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50DA5">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8527" w14:textId="5C406A4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87814">
      <w:rPr>
        <w:lang w:val="en-US"/>
      </w:rPr>
      <w:t>P:\FRA\ITU-R\CONF-R\CMR23\000\086ADD26F.docx</w:t>
    </w:r>
    <w:r>
      <w:fldChar w:fldCharType="end"/>
    </w:r>
    <w:r w:rsidR="0015378F" w:rsidRPr="007208A8">
      <w:rPr>
        <w:lang w:val="en-US"/>
      </w:rPr>
      <w:t xml:space="preserve"> (530306)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9F0B" w14:textId="26D26CA3" w:rsidR="00936D25" w:rsidRPr="0015378F" w:rsidRDefault="0015378F" w:rsidP="0015378F">
    <w:pPr>
      <w:pStyle w:val="Footer"/>
      <w:rPr>
        <w:lang w:val="en-US"/>
      </w:rPr>
    </w:pPr>
    <w:r>
      <w:fldChar w:fldCharType="begin"/>
    </w:r>
    <w:r>
      <w:rPr>
        <w:lang w:val="en-US"/>
      </w:rPr>
      <w:instrText xml:space="preserve"> FILENAME \p  \* MERGEFORMAT </w:instrText>
    </w:r>
    <w:r>
      <w:fldChar w:fldCharType="separate"/>
    </w:r>
    <w:r w:rsidR="00487814">
      <w:rPr>
        <w:lang w:val="en-US"/>
      </w:rPr>
      <w:t>P:\FRA\ITU-R\CONF-R\CMR23\000\086ADD26F.docx</w:t>
    </w:r>
    <w:r>
      <w:fldChar w:fldCharType="end"/>
    </w:r>
    <w:r w:rsidRPr="007208A8">
      <w:rPr>
        <w:lang w:val="en-US"/>
      </w:rPr>
      <w:t xml:space="preserve"> (530306)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EAEF" w14:textId="77777777" w:rsidR="00ED1A81" w:rsidRDefault="00ED1A81">
      <w:r>
        <w:rPr>
          <w:b/>
        </w:rPr>
        <w:t>_______________</w:t>
      </w:r>
    </w:p>
  </w:footnote>
  <w:footnote w:type="continuationSeparator" w:id="0">
    <w:p w14:paraId="0CDFF417" w14:textId="77777777" w:rsidR="00ED1A81" w:rsidRDefault="00ED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06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EDC2F84" w14:textId="77777777" w:rsidR="004F1F8E" w:rsidRDefault="00225CF2" w:rsidP="00FD7AA3">
    <w:pPr>
      <w:pStyle w:val="Header"/>
    </w:pPr>
    <w:r>
      <w:t>WRC</w:t>
    </w:r>
    <w:r w:rsidR="00D3426F">
      <w:t>23</w:t>
    </w:r>
    <w:r w:rsidR="004F1F8E">
      <w:t>/</w:t>
    </w:r>
    <w:r w:rsidR="006A4B45">
      <w:t>86(Add.26)-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21221771">
    <w:abstractNumId w:val="0"/>
  </w:num>
  <w:num w:numId="2" w16cid:durableId="783326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139"/>
    <w:rsid w:val="00016648"/>
    <w:rsid w:val="0003522F"/>
    <w:rsid w:val="00046F92"/>
    <w:rsid w:val="00063A1F"/>
    <w:rsid w:val="00080E2C"/>
    <w:rsid w:val="00081366"/>
    <w:rsid w:val="000863B3"/>
    <w:rsid w:val="000A4755"/>
    <w:rsid w:val="000A55AE"/>
    <w:rsid w:val="000B2E0C"/>
    <w:rsid w:val="000B3D0C"/>
    <w:rsid w:val="000C0561"/>
    <w:rsid w:val="000E3415"/>
    <w:rsid w:val="001117D2"/>
    <w:rsid w:val="001167B9"/>
    <w:rsid w:val="001267A0"/>
    <w:rsid w:val="0015203F"/>
    <w:rsid w:val="0015378F"/>
    <w:rsid w:val="00160C64"/>
    <w:rsid w:val="00180721"/>
    <w:rsid w:val="0018169B"/>
    <w:rsid w:val="0018518D"/>
    <w:rsid w:val="0019352B"/>
    <w:rsid w:val="001960D0"/>
    <w:rsid w:val="001A052C"/>
    <w:rsid w:val="001A11F6"/>
    <w:rsid w:val="001B4765"/>
    <w:rsid w:val="001E61C5"/>
    <w:rsid w:val="001F17E8"/>
    <w:rsid w:val="00201CA5"/>
    <w:rsid w:val="00204306"/>
    <w:rsid w:val="00225CF2"/>
    <w:rsid w:val="00232FD2"/>
    <w:rsid w:val="00250DA5"/>
    <w:rsid w:val="0026554E"/>
    <w:rsid w:val="00274E28"/>
    <w:rsid w:val="00291872"/>
    <w:rsid w:val="00293231"/>
    <w:rsid w:val="002A4622"/>
    <w:rsid w:val="002A6F8F"/>
    <w:rsid w:val="002B17E5"/>
    <w:rsid w:val="002C0EBF"/>
    <w:rsid w:val="002C28A4"/>
    <w:rsid w:val="002D1B71"/>
    <w:rsid w:val="002D7E0A"/>
    <w:rsid w:val="002F4B76"/>
    <w:rsid w:val="00315AFE"/>
    <w:rsid w:val="003411F6"/>
    <w:rsid w:val="003545A1"/>
    <w:rsid w:val="00354F4D"/>
    <w:rsid w:val="003606A6"/>
    <w:rsid w:val="0036175A"/>
    <w:rsid w:val="0036650C"/>
    <w:rsid w:val="00377012"/>
    <w:rsid w:val="003801BC"/>
    <w:rsid w:val="00387389"/>
    <w:rsid w:val="00393ACD"/>
    <w:rsid w:val="003A583E"/>
    <w:rsid w:val="003B04A3"/>
    <w:rsid w:val="003B3C6D"/>
    <w:rsid w:val="003E0FA0"/>
    <w:rsid w:val="003E112B"/>
    <w:rsid w:val="003E1D1C"/>
    <w:rsid w:val="003E7B05"/>
    <w:rsid w:val="003F3719"/>
    <w:rsid w:val="003F6F2D"/>
    <w:rsid w:val="003F7CCC"/>
    <w:rsid w:val="00415DD9"/>
    <w:rsid w:val="004355F4"/>
    <w:rsid w:val="00466211"/>
    <w:rsid w:val="00483196"/>
    <w:rsid w:val="004834A9"/>
    <w:rsid w:val="004841A4"/>
    <w:rsid w:val="00487814"/>
    <w:rsid w:val="004A26D5"/>
    <w:rsid w:val="004B7EA5"/>
    <w:rsid w:val="004C4C52"/>
    <w:rsid w:val="004D01FC"/>
    <w:rsid w:val="004E28C3"/>
    <w:rsid w:val="004F1F8E"/>
    <w:rsid w:val="004F6DC7"/>
    <w:rsid w:val="004F750B"/>
    <w:rsid w:val="00501010"/>
    <w:rsid w:val="00512A32"/>
    <w:rsid w:val="0052469F"/>
    <w:rsid w:val="005343DA"/>
    <w:rsid w:val="00560874"/>
    <w:rsid w:val="00586CF2"/>
    <w:rsid w:val="00597548"/>
    <w:rsid w:val="005A7C75"/>
    <w:rsid w:val="005C3768"/>
    <w:rsid w:val="005C6C3F"/>
    <w:rsid w:val="00613635"/>
    <w:rsid w:val="0062093D"/>
    <w:rsid w:val="00630010"/>
    <w:rsid w:val="00637ECF"/>
    <w:rsid w:val="00647B59"/>
    <w:rsid w:val="006761B8"/>
    <w:rsid w:val="00684152"/>
    <w:rsid w:val="00690C7B"/>
    <w:rsid w:val="006A4B45"/>
    <w:rsid w:val="006A58BC"/>
    <w:rsid w:val="006D4724"/>
    <w:rsid w:val="006F5FA2"/>
    <w:rsid w:val="0070076C"/>
    <w:rsid w:val="00701BAE"/>
    <w:rsid w:val="007208A8"/>
    <w:rsid w:val="00721F04"/>
    <w:rsid w:val="00730E95"/>
    <w:rsid w:val="0073119B"/>
    <w:rsid w:val="00733E26"/>
    <w:rsid w:val="007426B9"/>
    <w:rsid w:val="007556FF"/>
    <w:rsid w:val="00764342"/>
    <w:rsid w:val="00774362"/>
    <w:rsid w:val="00786598"/>
    <w:rsid w:val="00790C74"/>
    <w:rsid w:val="007A04E8"/>
    <w:rsid w:val="007A2D63"/>
    <w:rsid w:val="007B2C34"/>
    <w:rsid w:val="007D2BB8"/>
    <w:rsid w:val="007F282B"/>
    <w:rsid w:val="007F49F5"/>
    <w:rsid w:val="00830086"/>
    <w:rsid w:val="00835454"/>
    <w:rsid w:val="008469FD"/>
    <w:rsid w:val="00851625"/>
    <w:rsid w:val="00853ECE"/>
    <w:rsid w:val="00863C0A"/>
    <w:rsid w:val="008A3120"/>
    <w:rsid w:val="008A4B97"/>
    <w:rsid w:val="008C5B8E"/>
    <w:rsid w:val="008C5DD5"/>
    <w:rsid w:val="008C7123"/>
    <w:rsid w:val="008D41BE"/>
    <w:rsid w:val="008D41D4"/>
    <w:rsid w:val="008D58D3"/>
    <w:rsid w:val="008E3BC9"/>
    <w:rsid w:val="00923064"/>
    <w:rsid w:val="0092554E"/>
    <w:rsid w:val="00930FFD"/>
    <w:rsid w:val="00936D25"/>
    <w:rsid w:val="00941EA5"/>
    <w:rsid w:val="00964700"/>
    <w:rsid w:val="00966C16"/>
    <w:rsid w:val="00980F37"/>
    <w:rsid w:val="00981A94"/>
    <w:rsid w:val="00982030"/>
    <w:rsid w:val="00984666"/>
    <w:rsid w:val="0098732F"/>
    <w:rsid w:val="009A045F"/>
    <w:rsid w:val="009A6A2B"/>
    <w:rsid w:val="009C38A2"/>
    <w:rsid w:val="009C7E7C"/>
    <w:rsid w:val="00A00473"/>
    <w:rsid w:val="00A034C2"/>
    <w:rsid w:val="00A03C9B"/>
    <w:rsid w:val="00A348A1"/>
    <w:rsid w:val="00A37105"/>
    <w:rsid w:val="00A42F0D"/>
    <w:rsid w:val="00A606C3"/>
    <w:rsid w:val="00A70B2E"/>
    <w:rsid w:val="00A815D6"/>
    <w:rsid w:val="00A83B09"/>
    <w:rsid w:val="00A84541"/>
    <w:rsid w:val="00AB61F9"/>
    <w:rsid w:val="00AC090A"/>
    <w:rsid w:val="00AE36A0"/>
    <w:rsid w:val="00B00294"/>
    <w:rsid w:val="00B273E9"/>
    <w:rsid w:val="00B3749C"/>
    <w:rsid w:val="00B64FD0"/>
    <w:rsid w:val="00B66628"/>
    <w:rsid w:val="00B7763C"/>
    <w:rsid w:val="00B91530"/>
    <w:rsid w:val="00BA5BD0"/>
    <w:rsid w:val="00BB1D82"/>
    <w:rsid w:val="00BC217E"/>
    <w:rsid w:val="00BD51C5"/>
    <w:rsid w:val="00BF26E7"/>
    <w:rsid w:val="00C053D1"/>
    <w:rsid w:val="00C1305F"/>
    <w:rsid w:val="00C53FCA"/>
    <w:rsid w:val="00C60A11"/>
    <w:rsid w:val="00C71DEB"/>
    <w:rsid w:val="00C76BAF"/>
    <w:rsid w:val="00C814B9"/>
    <w:rsid w:val="00C90801"/>
    <w:rsid w:val="00CB685A"/>
    <w:rsid w:val="00CD14E5"/>
    <w:rsid w:val="00CD516F"/>
    <w:rsid w:val="00CD6184"/>
    <w:rsid w:val="00D119A7"/>
    <w:rsid w:val="00D25FBA"/>
    <w:rsid w:val="00D32B28"/>
    <w:rsid w:val="00D3426F"/>
    <w:rsid w:val="00D42954"/>
    <w:rsid w:val="00D43ABC"/>
    <w:rsid w:val="00D52C96"/>
    <w:rsid w:val="00D53669"/>
    <w:rsid w:val="00D56B86"/>
    <w:rsid w:val="00D66EAC"/>
    <w:rsid w:val="00D730DF"/>
    <w:rsid w:val="00D772F0"/>
    <w:rsid w:val="00D77BDC"/>
    <w:rsid w:val="00D857E4"/>
    <w:rsid w:val="00DC402B"/>
    <w:rsid w:val="00DD52FC"/>
    <w:rsid w:val="00DE0932"/>
    <w:rsid w:val="00DF15E8"/>
    <w:rsid w:val="00DF7C31"/>
    <w:rsid w:val="00E03A27"/>
    <w:rsid w:val="00E049F1"/>
    <w:rsid w:val="00E37A25"/>
    <w:rsid w:val="00E52C10"/>
    <w:rsid w:val="00E537FF"/>
    <w:rsid w:val="00E60CB2"/>
    <w:rsid w:val="00E6539B"/>
    <w:rsid w:val="00E70A31"/>
    <w:rsid w:val="00E723A7"/>
    <w:rsid w:val="00EA1DB8"/>
    <w:rsid w:val="00EA3F38"/>
    <w:rsid w:val="00EA5AB6"/>
    <w:rsid w:val="00EB5819"/>
    <w:rsid w:val="00EC6775"/>
    <w:rsid w:val="00EC7615"/>
    <w:rsid w:val="00ED16AA"/>
    <w:rsid w:val="00ED1A81"/>
    <w:rsid w:val="00ED6B8D"/>
    <w:rsid w:val="00EE3D7B"/>
    <w:rsid w:val="00EF3A0B"/>
    <w:rsid w:val="00EF662E"/>
    <w:rsid w:val="00F10064"/>
    <w:rsid w:val="00F148F1"/>
    <w:rsid w:val="00F25966"/>
    <w:rsid w:val="00F403E2"/>
    <w:rsid w:val="00F61D3B"/>
    <w:rsid w:val="00F711A7"/>
    <w:rsid w:val="00F90EB6"/>
    <w:rsid w:val="00FA3BBF"/>
    <w:rsid w:val="00FA5373"/>
    <w:rsid w:val="00FA5600"/>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50E1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52C10"/>
    <w:rPr>
      <w:color w:val="605E5C"/>
      <w:shd w:val="clear" w:color="auto" w:fill="E1DFDD"/>
    </w:rPr>
  </w:style>
  <w:style w:type="paragraph" w:styleId="Revision">
    <w:name w:val="Revision"/>
    <w:hidden/>
    <w:uiPriority w:val="99"/>
    <w:semiHidden/>
    <w:rsid w:val="00CD6184"/>
    <w:rPr>
      <w:rFonts w:ascii="Times New Roman" w:hAnsi="Times New Roman"/>
      <w:sz w:val="24"/>
      <w:lang w:val="fr-FR" w:eastAsia="en-US"/>
    </w:rPr>
  </w:style>
  <w:style w:type="character" w:styleId="CommentReference">
    <w:name w:val="annotation reference"/>
    <w:basedOn w:val="DefaultParagraphFont"/>
    <w:semiHidden/>
    <w:unhideWhenUsed/>
    <w:rsid w:val="00A815D6"/>
    <w:rPr>
      <w:sz w:val="16"/>
      <w:szCs w:val="16"/>
    </w:rPr>
  </w:style>
  <w:style w:type="paragraph" w:styleId="CommentText">
    <w:name w:val="annotation text"/>
    <w:basedOn w:val="Normal"/>
    <w:link w:val="CommentTextChar"/>
    <w:unhideWhenUsed/>
    <w:rsid w:val="00A815D6"/>
    <w:rPr>
      <w:sz w:val="20"/>
    </w:rPr>
  </w:style>
  <w:style w:type="character" w:customStyle="1" w:styleId="CommentTextChar">
    <w:name w:val="Comment Text Char"/>
    <w:basedOn w:val="DefaultParagraphFont"/>
    <w:link w:val="CommentText"/>
    <w:rsid w:val="00A815D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815D6"/>
    <w:rPr>
      <w:b/>
      <w:bCs/>
    </w:rPr>
  </w:style>
  <w:style w:type="character" w:customStyle="1" w:styleId="CommentSubjectChar">
    <w:name w:val="Comment Subject Char"/>
    <w:basedOn w:val="CommentTextChar"/>
    <w:link w:val="CommentSubject"/>
    <w:semiHidden/>
    <w:rsid w:val="00A815D6"/>
    <w:rPr>
      <w:rFonts w:ascii="Times New Roman" w:hAnsi="Times New Roman"/>
      <w:b/>
      <w:bCs/>
      <w:lang w:val="fr-FR" w:eastAsia="en-US"/>
    </w:rPr>
  </w:style>
  <w:style w:type="paragraph" w:customStyle="1" w:styleId="elementtoproof">
    <w:name w:val="elementtoproof"/>
    <w:basedOn w:val="Normal"/>
    <w:rsid w:val="00A42F0D"/>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GB" w:eastAsia="en-GB"/>
    </w:rPr>
  </w:style>
  <w:style w:type="character" w:styleId="FollowedHyperlink">
    <w:name w:val="FollowedHyperlink"/>
    <w:basedOn w:val="DefaultParagraphFont"/>
    <w:semiHidden/>
    <w:unhideWhenUsed/>
    <w:rsid w:val="000E34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RC23-C-0050/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0D0305-8336-4605-AC8F-0DB5EABC2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BA6F2-445E-4703-8854-8B9FCE4690F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3A2BE22F-9778-41D6-A0AB-A38F1AC82F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5374</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R23-WRC23-C-0086!A26!MSW-F</vt:lpstr>
    </vt:vector>
  </TitlesOfParts>
  <Manager>Secrétariat général - Pool</Manager>
  <Company>Union internationale des télécommunications (UIT)</Company>
  <LinksUpToDate>false</LinksUpToDate>
  <CharactersWithSpaces>34928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R23-WRC23-C-0086!A26!MSW-F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2023-11-13T08:13:00Z</dcterms:created>
  <dcterms:modified xsi:type="dcterms:W3CDTF">2023-11-14T11:21:00Z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