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2371D" w14:paraId="0C0D73AD" w14:textId="77777777" w:rsidTr="0080079E">
        <w:trPr>
          <w:cantSplit/>
        </w:trPr>
        <w:tc>
          <w:tcPr>
            <w:tcW w:w="1418" w:type="dxa"/>
            <w:vAlign w:val="center"/>
          </w:tcPr>
          <w:p w14:paraId="7560F39A" w14:textId="77777777" w:rsidR="0080079E" w:rsidRPr="00F2371D" w:rsidRDefault="0080079E" w:rsidP="0080079E">
            <w:pPr>
              <w:spacing w:before="0" w:line="240" w:lineRule="atLeast"/>
              <w:rPr>
                <w:rFonts w:ascii="Verdana" w:hAnsi="Verdana"/>
                <w:position w:val="6"/>
              </w:rPr>
            </w:pPr>
            <w:r w:rsidRPr="00F2371D">
              <w:rPr>
                <w:noProof/>
              </w:rPr>
              <w:drawing>
                <wp:inline distT="0" distB="0" distL="0" distR="0" wp14:anchorId="3020F60F" wp14:editId="7B8C6C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36E43B2" w14:textId="77777777" w:rsidR="0080079E" w:rsidRPr="00F2371D" w:rsidRDefault="0080079E" w:rsidP="00C44E9E">
            <w:pPr>
              <w:spacing w:before="400" w:after="48" w:line="240" w:lineRule="atLeast"/>
              <w:rPr>
                <w:rFonts w:ascii="Verdana" w:hAnsi="Verdana"/>
                <w:position w:val="6"/>
              </w:rPr>
            </w:pPr>
            <w:r w:rsidRPr="00F2371D">
              <w:rPr>
                <w:rFonts w:ascii="Verdana" w:hAnsi="Verdana" w:cs="Times"/>
                <w:b/>
                <w:position w:val="6"/>
                <w:sz w:val="20"/>
              </w:rPr>
              <w:t>Conferencia Mundial de Radiocomunicaciones (CMR-23)</w:t>
            </w:r>
            <w:r w:rsidRPr="00F2371D">
              <w:rPr>
                <w:rFonts w:ascii="Verdana" w:hAnsi="Verdana" w:cs="Times"/>
                <w:b/>
                <w:position w:val="6"/>
                <w:sz w:val="20"/>
              </w:rPr>
              <w:br/>
            </w:r>
            <w:r w:rsidRPr="00F2371D">
              <w:rPr>
                <w:rFonts w:ascii="Verdana" w:hAnsi="Verdana" w:cs="Times"/>
                <w:b/>
                <w:position w:val="6"/>
                <w:sz w:val="18"/>
                <w:szCs w:val="18"/>
              </w:rPr>
              <w:t>Dubái, 20 de noviembre - 15 de diciembre de 2023</w:t>
            </w:r>
          </w:p>
        </w:tc>
        <w:tc>
          <w:tcPr>
            <w:tcW w:w="1809" w:type="dxa"/>
            <w:vAlign w:val="center"/>
          </w:tcPr>
          <w:p w14:paraId="5827DB1B" w14:textId="77777777" w:rsidR="0080079E" w:rsidRPr="00F2371D" w:rsidRDefault="0080079E" w:rsidP="0080079E">
            <w:pPr>
              <w:spacing w:before="0" w:line="240" w:lineRule="atLeast"/>
            </w:pPr>
            <w:r w:rsidRPr="00F2371D">
              <w:rPr>
                <w:noProof/>
              </w:rPr>
              <w:drawing>
                <wp:inline distT="0" distB="0" distL="0" distR="0" wp14:anchorId="55229691" wp14:editId="2AF70A2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2371D" w14:paraId="57842035" w14:textId="77777777" w:rsidTr="0050008E">
        <w:trPr>
          <w:cantSplit/>
        </w:trPr>
        <w:tc>
          <w:tcPr>
            <w:tcW w:w="6911" w:type="dxa"/>
            <w:gridSpan w:val="2"/>
            <w:tcBorders>
              <w:bottom w:val="single" w:sz="12" w:space="0" w:color="auto"/>
            </w:tcBorders>
          </w:tcPr>
          <w:p w14:paraId="7B1B77A8" w14:textId="77777777" w:rsidR="0090121B" w:rsidRPr="00F2371D"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67CA50A1" w14:textId="77777777" w:rsidR="0090121B" w:rsidRPr="00F2371D" w:rsidRDefault="0090121B" w:rsidP="0090121B">
            <w:pPr>
              <w:spacing w:before="0" w:line="240" w:lineRule="atLeast"/>
              <w:rPr>
                <w:rFonts w:ascii="Verdana" w:hAnsi="Verdana"/>
                <w:szCs w:val="24"/>
              </w:rPr>
            </w:pPr>
          </w:p>
        </w:tc>
      </w:tr>
      <w:tr w:rsidR="0090121B" w:rsidRPr="00F2371D" w14:paraId="6A1A8A73" w14:textId="77777777" w:rsidTr="0090121B">
        <w:trPr>
          <w:cantSplit/>
        </w:trPr>
        <w:tc>
          <w:tcPr>
            <w:tcW w:w="6911" w:type="dxa"/>
            <w:gridSpan w:val="2"/>
            <w:tcBorders>
              <w:top w:val="single" w:sz="12" w:space="0" w:color="auto"/>
            </w:tcBorders>
          </w:tcPr>
          <w:p w14:paraId="02D4646E" w14:textId="77777777" w:rsidR="0090121B" w:rsidRPr="00F2371D"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91D74E7" w14:textId="77777777" w:rsidR="0090121B" w:rsidRPr="00F2371D" w:rsidRDefault="0090121B" w:rsidP="0090121B">
            <w:pPr>
              <w:spacing w:before="0" w:line="240" w:lineRule="atLeast"/>
              <w:rPr>
                <w:rFonts w:ascii="Verdana" w:hAnsi="Verdana"/>
                <w:sz w:val="20"/>
              </w:rPr>
            </w:pPr>
          </w:p>
        </w:tc>
      </w:tr>
      <w:tr w:rsidR="0090121B" w:rsidRPr="00F2371D" w14:paraId="6FDC73FB" w14:textId="77777777" w:rsidTr="0090121B">
        <w:trPr>
          <w:cantSplit/>
        </w:trPr>
        <w:tc>
          <w:tcPr>
            <w:tcW w:w="6911" w:type="dxa"/>
            <w:gridSpan w:val="2"/>
          </w:tcPr>
          <w:p w14:paraId="173E4807" w14:textId="77777777" w:rsidR="0090121B" w:rsidRPr="00F2371D" w:rsidRDefault="001E7D42" w:rsidP="00EA77F0">
            <w:pPr>
              <w:pStyle w:val="Committee"/>
              <w:framePr w:hSpace="0" w:wrap="auto" w:hAnchor="text" w:yAlign="inline"/>
              <w:rPr>
                <w:szCs w:val="20"/>
                <w:lang w:val="es-ES_tradnl"/>
              </w:rPr>
            </w:pPr>
            <w:r w:rsidRPr="00F2371D">
              <w:rPr>
                <w:szCs w:val="20"/>
                <w:lang w:val="es-ES_tradnl"/>
              </w:rPr>
              <w:t>SESIÓN PLENARIA</w:t>
            </w:r>
          </w:p>
        </w:tc>
        <w:tc>
          <w:tcPr>
            <w:tcW w:w="3120" w:type="dxa"/>
            <w:gridSpan w:val="2"/>
          </w:tcPr>
          <w:p w14:paraId="4B5DFDBF" w14:textId="77777777" w:rsidR="0090121B" w:rsidRPr="00F2371D" w:rsidRDefault="00AE658F" w:rsidP="0045384C">
            <w:pPr>
              <w:spacing w:before="0"/>
              <w:rPr>
                <w:rFonts w:ascii="Verdana" w:hAnsi="Verdana"/>
                <w:sz w:val="20"/>
              </w:rPr>
            </w:pPr>
            <w:r w:rsidRPr="00F2371D">
              <w:rPr>
                <w:rFonts w:ascii="Verdana" w:hAnsi="Verdana"/>
                <w:b/>
                <w:sz w:val="20"/>
              </w:rPr>
              <w:t>Addéndum 26 al</w:t>
            </w:r>
            <w:r w:rsidRPr="00F2371D">
              <w:rPr>
                <w:rFonts w:ascii="Verdana" w:hAnsi="Verdana"/>
                <w:b/>
                <w:sz w:val="20"/>
              </w:rPr>
              <w:br/>
              <w:t>Documento 86</w:t>
            </w:r>
            <w:r w:rsidR="0090121B" w:rsidRPr="00F2371D">
              <w:rPr>
                <w:rFonts w:ascii="Verdana" w:hAnsi="Verdana"/>
                <w:b/>
                <w:sz w:val="20"/>
              </w:rPr>
              <w:t>-</w:t>
            </w:r>
            <w:r w:rsidRPr="00F2371D">
              <w:rPr>
                <w:rFonts w:ascii="Verdana" w:hAnsi="Verdana"/>
                <w:b/>
                <w:sz w:val="20"/>
              </w:rPr>
              <w:t>S</w:t>
            </w:r>
          </w:p>
        </w:tc>
      </w:tr>
      <w:bookmarkEnd w:id="0"/>
      <w:tr w:rsidR="000A5B9A" w:rsidRPr="00F2371D" w14:paraId="6DAF96BB" w14:textId="77777777" w:rsidTr="0090121B">
        <w:trPr>
          <w:cantSplit/>
        </w:trPr>
        <w:tc>
          <w:tcPr>
            <w:tcW w:w="6911" w:type="dxa"/>
            <w:gridSpan w:val="2"/>
          </w:tcPr>
          <w:p w14:paraId="775A5E17" w14:textId="77777777" w:rsidR="000A5B9A" w:rsidRPr="00F2371D" w:rsidRDefault="000A5B9A" w:rsidP="0045384C">
            <w:pPr>
              <w:spacing w:before="0" w:after="48"/>
              <w:rPr>
                <w:rFonts w:ascii="Verdana" w:hAnsi="Verdana"/>
                <w:b/>
                <w:smallCaps/>
                <w:sz w:val="20"/>
              </w:rPr>
            </w:pPr>
          </w:p>
        </w:tc>
        <w:tc>
          <w:tcPr>
            <w:tcW w:w="3120" w:type="dxa"/>
            <w:gridSpan w:val="2"/>
          </w:tcPr>
          <w:p w14:paraId="60D88693" w14:textId="77777777" w:rsidR="000A5B9A" w:rsidRPr="00F2371D" w:rsidRDefault="000A5B9A" w:rsidP="0045384C">
            <w:pPr>
              <w:spacing w:before="0"/>
              <w:rPr>
                <w:rFonts w:ascii="Verdana" w:hAnsi="Verdana"/>
                <w:b/>
                <w:sz w:val="20"/>
              </w:rPr>
            </w:pPr>
            <w:r w:rsidRPr="00F2371D">
              <w:rPr>
                <w:rFonts w:ascii="Verdana" w:hAnsi="Verdana"/>
                <w:b/>
                <w:sz w:val="20"/>
              </w:rPr>
              <w:t>29 de octubre de 2023</w:t>
            </w:r>
          </w:p>
        </w:tc>
      </w:tr>
      <w:tr w:rsidR="000A5B9A" w:rsidRPr="00F2371D" w14:paraId="64728BD4" w14:textId="77777777" w:rsidTr="0090121B">
        <w:trPr>
          <w:cantSplit/>
        </w:trPr>
        <w:tc>
          <w:tcPr>
            <w:tcW w:w="6911" w:type="dxa"/>
            <w:gridSpan w:val="2"/>
          </w:tcPr>
          <w:p w14:paraId="04368244" w14:textId="77777777" w:rsidR="000A5B9A" w:rsidRPr="00F2371D" w:rsidRDefault="000A5B9A" w:rsidP="0045384C">
            <w:pPr>
              <w:spacing w:before="0" w:after="48"/>
              <w:rPr>
                <w:rFonts w:ascii="Verdana" w:hAnsi="Verdana"/>
                <w:b/>
                <w:smallCaps/>
                <w:sz w:val="20"/>
              </w:rPr>
            </w:pPr>
          </w:p>
        </w:tc>
        <w:tc>
          <w:tcPr>
            <w:tcW w:w="3120" w:type="dxa"/>
            <w:gridSpan w:val="2"/>
          </w:tcPr>
          <w:p w14:paraId="3A3027C5" w14:textId="77777777" w:rsidR="000A5B9A" w:rsidRPr="00F2371D" w:rsidRDefault="000A5B9A" w:rsidP="0045384C">
            <w:pPr>
              <w:spacing w:before="0"/>
              <w:rPr>
                <w:rFonts w:ascii="Verdana" w:hAnsi="Verdana"/>
                <w:b/>
                <w:sz w:val="20"/>
              </w:rPr>
            </w:pPr>
            <w:r w:rsidRPr="00F2371D">
              <w:rPr>
                <w:rFonts w:ascii="Verdana" w:hAnsi="Verdana"/>
                <w:b/>
                <w:sz w:val="20"/>
              </w:rPr>
              <w:t>Original: inglés</w:t>
            </w:r>
          </w:p>
        </w:tc>
      </w:tr>
      <w:tr w:rsidR="000A5B9A" w:rsidRPr="00F2371D" w14:paraId="3EC3DC74" w14:textId="77777777" w:rsidTr="006744FC">
        <w:trPr>
          <w:cantSplit/>
        </w:trPr>
        <w:tc>
          <w:tcPr>
            <w:tcW w:w="10031" w:type="dxa"/>
            <w:gridSpan w:val="4"/>
          </w:tcPr>
          <w:p w14:paraId="196B2700" w14:textId="77777777" w:rsidR="000A5B9A" w:rsidRPr="00F2371D" w:rsidRDefault="000A5B9A" w:rsidP="0045384C">
            <w:pPr>
              <w:spacing w:before="0"/>
              <w:rPr>
                <w:rFonts w:ascii="Verdana" w:hAnsi="Verdana"/>
                <w:b/>
                <w:sz w:val="18"/>
                <w:szCs w:val="22"/>
              </w:rPr>
            </w:pPr>
          </w:p>
        </w:tc>
      </w:tr>
      <w:tr w:rsidR="000A5B9A" w:rsidRPr="00F2371D" w14:paraId="7677219D" w14:textId="77777777" w:rsidTr="0050008E">
        <w:trPr>
          <w:cantSplit/>
        </w:trPr>
        <w:tc>
          <w:tcPr>
            <w:tcW w:w="10031" w:type="dxa"/>
            <w:gridSpan w:val="4"/>
          </w:tcPr>
          <w:p w14:paraId="7AED237B" w14:textId="77777777" w:rsidR="000A5B9A" w:rsidRPr="00F2371D" w:rsidRDefault="000A5B9A" w:rsidP="000A5B9A">
            <w:pPr>
              <w:pStyle w:val="Source"/>
            </w:pPr>
            <w:bookmarkStart w:id="1" w:name="dsource" w:colFirst="0" w:colLast="0"/>
            <w:r w:rsidRPr="00F2371D">
              <w:t>Canadá</w:t>
            </w:r>
          </w:p>
        </w:tc>
      </w:tr>
      <w:tr w:rsidR="000A5B9A" w:rsidRPr="00F2371D" w14:paraId="760F0F26" w14:textId="77777777" w:rsidTr="0050008E">
        <w:trPr>
          <w:cantSplit/>
        </w:trPr>
        <w:tc>
          <w:tcPr>
            <w:tcW w:w="10031" w:type="dxa"/>
            <w:gridSpan w:val="4"/>
          </w:tcPr>
          <w:p w14:paraId="53516EA8" w14:textId="4400F1D9" w:rsidR="000A5B9A" w:rsidRPr="00F2371D" w:rsidRDefault="006724F9" w:rsidP="000A5B9A">
            <w:pPr>
              <w:pStyle w:val="Title1"/>
            </w:pPr>
            <w:bookmarkStart w:id="2" w:name="dtitle1" w:colFirst="0" w:colLast="0"/>
            <w:bookmarkEnd w:id="1"/>
            <w:r w:rsidRPr="00F2371D">
              <w:t>Propuestas para los trabajos de la Conferencia</w:t>
            </w:r>
          </w:p>
        </w:tc>
      </w:tr>
      <w:tr w:rsidR="000A5B9A" w:rsidRPr="00F2371D" w14:paraId="38C7A870" w14:textId="77777777" w:rsidTr="0050008E">
        <w:trPr>
          <w:cantSplit/>
        </w:trPr>
        <w:tc>
          <w:tcPr>
            <w:tcW w:w="10031" w:type="dxa"/>
            <w:gridSpan w:val="4"/>
          </w:tcPr>
          <w:p w14:paraId="3AC52921" w14:textId="77777777" w:rsidR="000A5B9A" w:rsidRPr="00F2371D" w:rsidRDefault="000A5B9A" w:rsidP="000A5B9A">
            <w:pPr>
              <w:pStyle w:val="Title2"/>
            </w:pPr>
            <w:bookmarkStart w:id="3" w:name="dtitle2" w:colFirst="0" w:colLast="0"/>
            <w:bookmarkEnd w:id="2"/>
          </w:p>
        </w:tc>
      </w:tr>
      <w:tr w:rsidR="000A5B9A" w:rsidRPr="00F2371D" w14:paraId="2B889393" w14:textId="77777777" w:rsidTr="0050008E">
        <w:trPr>
          <w:cantSplit/>
        </w:trPr>
        <w:tc>
          <w:tcPr>
            <w:tcW w:w="10031" w:type="dxa"/>
            <w:gridSpan w:val="4"/>
          </w:tcPr>
          <w:p w14:paraId="5E95952C" w14:textId="77777777" w:rsidR="000A5B9A" w:rsidRPr="00F2371D" w:rsidRDefault="000A5B9A" w:rsidP="000A5B9A">
            <w:pPr>
              <w:pStyle w:val="Agendaitem"/>
            </w:pPr>
            <w:bookmarkStart w:id="4" w:name="dtitle3" w:colFirst="0" w:colLast="0"/>
            <w:bookmarkEnd w:id="3"/>
            <w:r w:rsidRPr="00F2371D">
              <w:t>Punto 9.3 del orden del día</w:t>
            </w:r>
          </w:p>
        </w:tc>
      </w:tr>
    </w:tbl>
    <w:bookmarkEnd w:id="4"/>
    <w:p w14:paraId="31923908" w14:textId="77777777" w:rsidR="00853CC3" w:rsidRPr="00F2371D" w:rsidRDefault="00853CC3" w:rsidP="00A13A64">
      <w:pPr>
        <w:pStyle w:val="Normalaftertitle"/>
      </w:pPr>
      <w:r w:rsidRPr="00F2371D">
        <w:t>9</w:t>
      </w:r>
      <w:r w:rsidRPr="00F2371D">
        <w:tab/>
        <w:t>examinar y aprobar el Informe del Director de la Oficina de Radiocomunicaciones, de conformidad con el Artículo 7 del Convenio de la UIT:</w:t>
      </w:r>
    </w:p>
    <w:p w14:paraId="6B7113BF" w14:textId="441A98ED" w:rsidR="00363A65" w:rsidRPr="00F2371D" w:rsidRDefault="00853CC3" w:rsidP="002C1A52">
      <w:r w:rsidRPr="00F2371D">
        <w:t>9.3</w:t>
      </w:r>
      <w:r w:rsidRPr="00F2371D">
        <w:tab/>
        <w:t xml:space="preserve">sobre acciones en respuesta a la Resolución </w:t>
      </w:r>
      <w:r w:rsidRPr="00F2371D">
        <w:rPr>
          <w:b/>
          <w:bCs/>
        </w:rPr>
        <w:t>80 (Rev.CMR-07</w:t>
      </w:r>
      <w:r w:rsidRPr="00F2371D">
        <w:t>);</w:t>
      </w:r>
    </w:p>
    <w:p w14:paraId="6C0F7BA6" w14:textId="77777777" w:rsidR="008750A8" w:rsidRPr="00F2371D" w:rsidRDefault="008750A8" w:rsidP="008750A8">
      <w:pPr>
        <w:tabs>
          <w:tab w:val="clear" w:pos="1134"/>
          <w:tab w:val="clear" w:pos="1871"/>
          <w:tab w:val="clear" w:pos="2268"/>
        </w:tabs>
        <w:overflowPunct/>
        <w:autoSpaceDE/>
        <w:autoSpaceDN/>
        <w:adjustRightInd/>
        <w:spacing w:before="0"/>
        <w:textAlignment w:val="auto"/>
      </w:pPr>
      <w:r w:rsidRPr="00F2371D">
        <w:br w:type="page"/>
      </w:r>
    </w:p>
    <w:p w14:paraId="42214EF9" w14:textId="77777777" w:rsidR="006724F9" w:rsidRPr="00F2371D" w:rsidRDefault="006724F9" w:rsidP="006724F9">
      <w:pPr>
        <w:pStyle w:val="Heading1"/>
      </w:pPr>
      <w:r w:rsidRPr="00F2371D">
        <w:lastRenderedPageBreak/>
        <w:t>1</w:t>
      </w:r>
      <w:r w:rsidRPr="00F2371D">
        <w:tab/>
        <w:t>Introducción</w:t>
      </w:r>
    </w:p>
    <w:p w14:paraId="12DF7416" w14:textId="7AD58359" w:rsidR="006724F9" w:rsidRPr="00F2371D" w:rsidRDefault="006724F9" w:rsidP="00A13A64">
      <w:r w:rsidRPr="00F2371D">
        <w:t xml:space="preserve">En el Informe de la Junta del Reglamento de Radiocomunicaciones (en adelante, la Junta) a la CMR-23 sobre Resolución </w:t>
      </w:r>
      <w:r w:rsidRPr="00F2371D">
        <w:rPr>
          <w:b/>
        </w:rPr>
        <w:t xml:space="preserve">80 (Rev.CMR-07) </w:t>
      </w:r>
      <w:r w:rsidRPr="00F2371D">
        <w:t xml:space="preserve">(véase el Documento </w:t>
      </w:r>
      <w:hyperlink r:id="rId14" w:history="1">
        <w:r w:rsidRPr="00F2371D">
          <w:rPr>
            <w:rStyle w:val="Hyperlink"/>
            <w:rFonts w:asciiTheme="majorBidi" w:hAnsiTheme="majorBidi" w:cstheme="majorBidi"/>
          </w:rPr>
          <w:t>CMR-23/50</w:t>
        </w:r>
      </w:hyperlink>
      <w:hyperlink r:id="rId15" w:history="1"/>
      <w:r w:rsidRPr="00F2371D">
        <w:t>) se abordan cinco temas con respecto a los cuales Canadá desea formular comentarios y propuestas. Dichos comentarios y propuestas guardan relación con:</w:t>
      </w:r>
    </w:p>
    <w:p w14:paraId="21752A5D" w14:textId="64596D8B" w:rsidR="006724F9" w:rsidRPr="00F2371D" w:rsidRDefault="00A13A64" w:rsidP="00A13A64">
      <w:pPr>
        <w:pStyle w:val="enumlev1"/>
      </w:pPr>
      <w:r w:rsidRPr="00F2371D">
        <w:t>–</w:t>
      </w:r>
      <w:r w:rsidR="006724F9" w:rsidRPr="00F2371D">
        <w:tab/>
        <w:t>la sección 4.4 del Documento CMR-23/50, sobre cuestiones relativas a la prórroga de los plazos para la puesta en servicio, o la reanudación del servicio, de una asignación de frecuencias;</w:t>
      </w:r>
    </w:p>
    <w:p w14:paraId="26E6F85F" w14:textId="31B6A741" w:rsidR="006724F9" w:rsidRPr="00F2371D" w:rsidRDefault="00A13A64" w:rsidP="00A13A64">
      <w:pPr>
        <w:pStyle w:val="enumlev1"/>
      </w:pPr>
      <w:r w:rsidRPr="00F2371D">
        <w:t>–</w:t>
      </w:r>
      <w:r w:rsidRPr="00F2371D">
        <w:tab/>
      </w:r>
      <w:r w:rsidR="006724F9" w:rsidRPr="00F2371D">
        <w:t>la sección 4.6 del Documento CMR-23/50,</w:t>
      </w:r>
      <w:bookmarkStart w:id="5" w:name="lt_pId450"/>
      <w:r w:rsidR="006724F9" w:rsidRPr="00F2371D">
        <w:t xml:space="preserve"> sobre temas relativos </w:t>
      </w:r>
      <w:bookmarkEnd w:id="5"/>
      <w:r w:rsidR="006724F9" w:rsidRPr="00F2371D">
        <w:t xml:space="preserve">al Apéndice </w:t>
      </w:r>
      <w:r w:rsidR="006724F9" w:rsidRPr="00F2371D">
        <w:rPr>
          <w:b/>
          <w:bCs/>
        </w:rPr>
        <w:t>30B</w:t>
      </w:r>
      <w:r w:rsidR="006724F9" w:rsidRPr="00F2371D">
        <w:t xml:space="preserve"> del</w:t>
      </w:r>
      <w:r w:rsidR="00494C44" w:rsidRPr="00F2371D">
        <w:t xml:space="preserve"> Reglamento de Radiocomunicaciones (RR);</w:t>
      </w:r>
    </w:p>
    <w:p w14:paraId="05D30C0A" w14:textId="473B3B7C" w:rsidR="006724F9" w:rsidRPr="00F2371D" w:rsidRDefault="00A13A64" w:rsidP="00A13A64">
      <w:pPr>
        <w:pStyle w:val="enumlev1"/>
      </w:pPr>
      <w:r w:rsidRPr="00F2371D">
        <w:t>–</w:t>
      </w:r>
      <w:r w:rsidRPr="00F2371D">
        <w:tab/>
      </w:r>
      <w:r w:rsidR="006724F9" w:rsidRPr="00F2371D">
        <w:t xml:space="preserve">la sección 4.7 del Documento CMR-23/50, sobre dificultades que afectan </w:t>
      </w:r>
      <w:r w:rsidR="00DA614E" w:rsidRPr="00F2371D">
        <w:t xml:space="preserve">a </w:t>
      </w:r>
      <w:r w:rsidR="006724F9" w:rsidRPr="00F2371D">
        <w:t>la coordinación de</w:t>
      </w:r>
      <w:r w:rsidR="00DA614E" w:rsidRPr="00F2371D">
        <w:t xml:space="preserve"> las</w:t>
      </w:r>
      <w:r w:rsidR="006724F9" w:rsidRPr="00F2371D">
        <w:t xml:space="preserve"> redes de satélite</w:t>
      </w:r>
      <w:r w:rsidR="00DA614E" w:rsidRPr="00F2371D">
        <w:t>s</w:t>
      </w:r>
      <w:r w:rsidR="006724F9" w:rsidRPr="00F2371D">
        <w:t>; y</w:t>
      </w:r>
    </w:p>
    <w:p w14:paraId="0C817F9A" w14:textId="4ED79766" w:rsidR="006724F9" w:rsidRPr="00F2371D" w:rsidRDefault="00A13A64" w:rsidP="00A13A64">
      <w:pPr>
        <w:pStyle w:val="enumlev1"/>
        <w:rPr>
          <w:rFonts w:asciiTheme="majorBidi" w:hAnsiTheme="majorBidi" w:cstheme="majorBidi"/>
        </w:rPr>
      </w:pPr>
      <w:r w:rsidRPr="00F2371D">
        <w:t>–</w:t>
      </w:r>
      <w:r w:rsidRPr="00F2371D">
        <w:tab/>
      </w:r>
      <w:r w:rsidR="006724F9" w:rsidRPr="00F2371D">
        <w:t xml:space="preserve">la sección 4.12 del Documento </w:t>
      </w:r>
      <w:r w:rsidR="008B3980" w:rsidRPr="00F2371D">
        <w:t>CMR</w:t>
      </w:r>
      <w:r w:rsidR="006724F9" w:rsidRPr="00F2371D">
        <w:t>-23/50</w:t>
      </w:r>
      <w:r w:rsidR="00DA614E" w:rsidRPr="00F2371D">
        <w:t>,</w:t>
      </w:r>
      <w:r w:rsidR="006724F9" w:rsidRPr="00F2371D">
        <w:t xml:space="preserve"> sobre </w:t>
      </w:r>
      <w:r w:rsidR="008B3980" w:rsidRPr="00F2371D">
        <w:t>temas relacionados con la puesta en servicio de redes de satélites no geoestacionarios</w:t>
      </w:r>
      <w:r w:rsidR="006724F9" w:rsidRPr="00F2371D">
        <w:t>.</w:t>
      </w:r>
    </w:p>
    <w:p w14:paraId="6C2696D6" w14:textId="7751C002" w:rsidR="008B3980" w:rsidRPr="00F2371D" w:rsidRDefault="006724F9" w:rsidP="003D10F1">
      <w:pPr>
        <w:pStyle w:val="Heading1"/>
      </w:pPr>
      <w:r w:rsidRPr="00F2371D">
        <w:t>2</w:t>
      </w:r>
      <w:r w:rsidRPr="00F2371D">
        <w:tab/>
      </w:r>
      <w:r w:rsidR="008B3980" w:rsidRPr="00F2371D">
        <w:t xml:space="preserve">Cuestiones relativas a la prórroga de los plazos para la puesta en servicio, o la reanudación del servicio, de una asignación de frecuencias </w:t>
      </w:r>
    </w:p>
    <w:p w14:paraId="7529F67D" w14:textId="6618D535" w:rsidR="006724F9" w:rsidRPr="00F2371D" w:rsidRDefault="006724F9" w:rsidP="006724F9">
      <w:pPr>
        <w:pStyle w:val="Heading2"/>
      </w:pPr>
      <w:r w:rsidRPr="00F2371D">
        <w:rPr>
          <w:szCs w:val="24"/>
        </w:rPr>
        <w:t>2.1</w:t>
      </w:r>
      <w:r w:rsidRPr="00F2371D">
        <w:rPr>
          <w:szCs w:val="24"/>
        </w:rPr>
        <w:tab/>
      </w:r>
      <w:r w:rsidR="008B3980" w:rsidRPr="00F2371D">
        <w:t xml:space="preserve">Cuestiones relativas a </w:t>
      </w:r>
      <w:r w:rsidRPr="00F2371D">
        <w:t>la Resolución 49 (Rev.CMR-19) y sus actualizaciones</w:t>
      </w:r>
    </w:p>
    <w:p w14:paraId="65E20D2C" w14:textId="47BFFACE" w:rsidR="006724F9" w:rsidRPr="00F2371D" w:rsidRDefault="006724F9" w:rsidP="006724F9">
      <w:pPr>
        <w:pStyle w:val="Heading3"/>
      </w:pPr>
      <w:r w:rsidRPr="00F2371D">
        <w:t>2.1.1</w:t>
      </w:r>
      <w:r w:rsidR="008B3980" w:rsidRPr="00F2371D">
        <w:tab/>
      </w:r>
      <w:r w:rsidRPr="00F2371D">
        <w:t>Antecedentes</w:t>
      </w:r>
      <w:r w:rsidR="008B3980" w:rsidRPr="00F2371D">
        <w:t xml:space="preserve"> </w:t>
      </w:r>
      <w:r w:rsidRPr="00F2371D">
        <w:t>y debate</w:t>
      </w:r>
    </w:p>
    <w:p w14:paraId="2C204340" w14:textId="09EECBAA" w:rsidR="006724F9" w:rsidRPr="00F2371D" w:rsidRDefault="00197481" w:rsidP="003D3E67">
      <w:r w:rsidRPr="00F2371D">
        <w:rPr>
          <w:lang w:eastAsia="zh-CN"/>
        </w:rPr>
        <w:t xml:space="preserve">La CMR-15 </w:t>
      </w:r>
      <w:r w:rsidR="003D3E67" w:rsidRPr="00F2371D">
        <w:t xml:space="preserve">reafirmó </w:t>
      </w:r>
      <w:r w:rsidRPr="00F2371D">
        <w:rPr>
          <w:lang w:eastAsia="zh-CN"/>
        </w:rPr>
        <w:t xml:space="preserve">la autoridad de la Junta para examinar las solicitudes de prórroga de los plazos </w:t>
      </w:r>
      <w:r w:rsidR="003D3E67" w:rsidRPr="00F2371D">
        <w:rPr>
          <w:lang w:eastAsia="zh-CN"/>
        </w:rPr>
        <w:t>reglamentarios para la</w:t>
      </w:r>
      <w:r w:rsidRPr="00F2371D">
        <w:rPr>
          <w:lang w:eastAsia="zh-CN"/>
        </w:rPr>
        <w:t xml:space="preserve"> puesta en servicio</w:t>
      </w:r>
      <w:r w:rsidR="00A53C59" w:rsidRPr="00F2371D">
        <w:rPr>
          <w:lang w:eastAsia="zh-CN"/>
        </w:rPr>
        <w:t xml:space="preserve"> (PeS)</w:t>
      </w:r>
      <w:r w:rsidRPr="00F2371D">
        <w:rPr>
          <w:lang w:eastAsia="zh-CN"/>
        </w:rPr>
        <w:t xml:space="preserve"> o </w:t>
      </w:r>
      <w:r w:rsidR="003D3E67" w:rsidRPr="00F2371D">
        <w:rPr>
          <w:lang w:eastAsia="zh-CN"/>
        </w:rPr>
        <w:t xml:space="preserve">la </w:t>
      </w:r>
      <w:r w:rsidRPr="00F2371D">
        <w:rPr>
          <w:lang w:eastAsia="zh-CN"/>
        </w:rPr>
        <w:t xml:space="preserve">reanudación del servicio de una asignación de frecuencias en casos de </w:t>
      </w:r>
      <w:r w:rsidRPr="00F2371D">
        <w:rPr>
          <w:i/>
          <w:iCs/>
          <w:lang w:eastAsia="zh-CN"/>
        </w:rPr>
        <w:t>fuerza mayor</w:t>
      </w:r>
      <w:r w:rsidRPr="00F2371D">
        <w:rPr>
          <w:lang w:eastAsia="zh-CN"/>
        </w:rPr>
        <w:t xml:space="preserve"> o de retraso </w:t>
      </w:r>
      <w:r w:rsidR="00C941A9" w:rsidRPr="00F2371D">
        <w:rPr>
          <w:lang w:eastAsia="zh-CN"/>
        </w:rPr>
        <w:t>por</w:t>
      </w:r>
      <w:r w:rsidRPr="00F2371D">
        <w:rPr>
          <w:lang w:eastAsia="zh-CN"/>
        </w:rPr>
        <w:t xml:space="preserve"> lanzamiento colectivo (</w:t>
      </w:r>
      <w:r w:rsidR="003D3E67" w:rsidRPr="00F2371D">
        <w:rPr>
          <w:lang w:eastAsia="zh-CN"/>
        </w:rPr>
        <w:t>véanse las actas</w:t>
      </w:r>
      <w:r w:rsidRPr="00F2371D">
        <w:rPr>
          <w:lang w:eastAsia="zh-CN"/>
        </w:rPr>
        <w:t xml:space="preserve"> de la séptima Sesión Plenaria de la CMR</w:t>
      </w:r>
      <w:r w:rsidRPr="00F2371D">
        <w:rPr>
          <w:lang w:eastAsia="zh-CN"/>
        </w:rPr>
        <w:noBreakHyphen/>
        <w:t>15).</w:t>
      </w:r>
    </w:p>
    <w:p w14:paraId="6CC0C829" w14:textId="7B168934" w:rsidR="006724F9" w:rsidRPr="00F2371D" w:rsidRDefault="006724F9" w:rsidP="006724F9">
      <w:r w:rsidRPr="00F2371D">
        <w:t>Desde la CMR</w:t>
      </w:r>
      <w:r w:rsidR="00A53C59" w:rsidRPr="00F2371D">
        <w:t>-</w:t>
      </w:r>
      <w:r w:rsidRPr="00F2371D">
        <w:t>19, la Junta ha observado que</w:t>
      </w:r>
      <w:r w:rsidR="00A53C59" w:rsidRPr="00F2371D">
        <w:t>, en ocasiones,</w:t>
      </w:r>
      <w:r w:rsidRPr="00F2371D">
        <w:t xml:space="preserve"> las administraciones a las que se ha concedido una prórroga del plazo reglamentario para la puesta en servicio no cumplen otros plazos reglamentarios</w:t>
      </w:r>
      <w:r w:rsidR="00A53C59" w:rsidRPr="00F2371D">
        <w:t xml:space="preserve"> aplicables a la presentación de</w:t>
      </w:r>
      <w:r w:rsidRPr="00F2371D">
        <w:t xml:space="preserve"> información, como</w:t>
      </w:r>
      <w:r w:rsidR="00A53C59" w:rsidRPr="00F2371D">
        <w:t xml:space="preserve"> puede ser</w:t>
      </w:r>
      <w:r w:rsidRPr="00F2371D">
        <w:t xml:space="preserve"> la información de diligencia debida de la Resolución </w:t>
      </w:r>
      <w:r w:rsidRPr="00F2371D">
        <w:rPr>
          <w:b/>
          <w:bCs/>
        </w:rPr>
        <w:t xml:space="preserve">49 (Rev.CMR-19) </w:t>
      </w:r>
      <w:r w:rsidRPr="00F2371D">
        <w:t xml:space="preserve">o la información de notificación. La Junta recuerda que una prórroga del plazo reglamentario para </w:t>
      </w:r>
      <w:r w:rsidR="00A53C59" w:rsidRPr="00F2371D">
        <w:t>la PeS</w:t>
      </w:r>
      <w:r w:rsidRPr="00F2371D">
        <w:t>, por ejemplo</w:t>
      </w:r>
      <w:r w:rsidR="00A53C59" w:rsidRPr="00F2371D">
        <w:t>,</w:t>
      </w:r>
      <w:r w:rsidRPr="00F2371D">
        <w:t xml:space="preserve"> por causa de</w:t>
      </w:r>
      <w:r w:rsidRPr="00F2371D">
        <w:rPr>
          <w:i/>
          <w:iCs/>
        </w:rPr>
        <w:t xml:space="preserve"> fuerza mayor</w:t>
      </w:r>
      <w:r w:rsidRPr="00F2371D">
        <w:t xml:space="preserve">, no implica </w:t>
      </w:r>
      <w:r w:rsidR="00A53C59" w:rsidRPr="00F2371D">
        <w:t xml:space="preserve">automáticamente </w:t>
      </w:r>
      <w:r w:rsidRPr="00F2371D">
        <w:t>una prórroga de</w:t>
      </w:r>
      <w:r w:rsidR="0062373E" w:rsidRPr="00F2371D">
        <w:t xml:space="preserve"> </w:t>
      </w:r>
      <w:r w:rsidRPr="00F2371D">
        <w:t>l</w:t>
      </w:r>
      <w:r w:rsidR="0062373E" w:rsidRPr="00F2371D">
        <w:t>os</w:t>
      </w:r>
      <w:r w:rsidRPr="00F2371D">
        <w:t xml:space="preserve"> plazo</w:t>
      </w:r>
      <w:r w:rsidR="0062373E" w:rsidRPr="00F2371D">
        <w:t>s</w:t>
      </w:r>
      <w:r w:rsidRPr="00F2371D">
        <w:t xml:space="preserve"> </w:t>
      </w:r>
      <w:r w:rsidR="0062373E" w:rsidRPr="00F2371D">
        <w:t xml:space="preserve">aplicables </w:t>
      </w:r>
      <w:r w:rsidRPr="00F2371D">
        <w:t xml:space="preserve">a otras disposiciones, </w:t>
      </w:r>
      <w:r w:rsidR="0062373E" w:rsidRPr="00F2371D">
        <w:t>por ejemplo,</w:t>
      </w:r>
      <w:r w:rsidRPr="00F2371D">
        <w:t xml:space="preserve"> la</w:t>
      </w:r>
      <w:r w:rsidR="00A53C59" w:rsidRPr="00F2371D">
        <w:t>s relativas a la</w:t>
      </w:r>
      <w:r w:rsidRPr="00F2371D">
        <w:t xml:space="preserve"> presentación de la información de diligencia debida de la Resolución </w:t>
      </w:r>
      <w:r w:rsidRPr="00F2371D">
        <w:rPr>
          <w:b/>
          <w:bCs/>
        </w:rPr>
        <w:t>49 (Rev.CMR-19)</w:t>
      </w:r>
      <w:r w:rsidRPr="00F2371D">
        <w:t>.</w:t>
      </w:r>
    </w:p>
    <w:p w14:paraId="3ACBCBE6" w14:textId="77777777" w:rsidR="006724F9" w:rsidRPr="00F2371D" w:rsidRDefault="006724F9" w:rsidP="006724F9">
      <w:pPr>
        <w:pStyle w:val="Heading3"/>
      </w:pPr>
      <w:r w:rsidRPr="00F2371D">
        <w:t>2.1.2</w:t>
      </w:r>
      <w:r w:rsidRPr="00F2371D">
        <w:tab/>
        <w:t xml:space="preserve">Comentarios </w:t>
      </w:r>
    </w:p>
    <w:p w14:paraId="375A0BE6" w14:textId="78FA4AD0" w:rsidR="006724F9" w:rsidRPr="00F2371D" w:rsidRDefault="00A53C59" w:rsidP="006724F9">
      <w:r w:rsidRPr="00F2371D">
        <w:t>Canadá toma nota de las cuestiones planteadas por la Junta, en particular, de</w:t>
      </w:r>
      <w:r w:rsidR="006724F9" w:rsidRPr="00F2371D">
        <w:t xml:space="preserve"> que la prórroga del plazo reglamentario para la </w:t>
      </w:r>
      <w:r w:rsidRPr="00F2371D">
        <w:t>PeS</w:t>
      </w:r>
      <w:r w:rsidR="006724F9" w:rsidRPr="00F2371D">
        <w:t xml:space="preserve"> no se aplica automáticamente a</w:t>
      </w:r>
      <w:r w:rsidRPr="00F2371D">
        <w:t xml:space="preserve"> </w:t>
      </w:r>
      <w:r w:rsidR="006724F9" w:rsidRPr="00F2371D">
        <w:t>l</w:t>
      </w:r>
      <w:r w:rsidRPr="00F2371D">
        <w:t xml:space="preserve">a presentación de la información de diligencia debida de la Resolución </w:t>
      </w:r>
      <w:r w:rsidRPr="00F2371D">
        <w:rPr>
          <w:b/>
          <w:bCs/>
        </w:rPr>
        <w:t>49 (Rev.CMR-19)</w:t>
      </w:r>
      <w:r w:rsidR="007C4F07" w:rsidRPr="00F2371D">
        <w:t>,</w:t>
      </w:r>
      <w:r w:rsidR="006724F9" w:rsidRPr="00F2371D">
        <w:t xml:space="preserve"> </w:t>
      </w:r>
      <w:r w:rsidRPr="00F2371D">
        <w:t>o</w:t>
      </w:r>
      <w:r w:rsidR="006724F9" w:rsidRPr="00F2371D">
        <w:t xml:space="preserve"> de la información de notificación en virtud del </w:t>
      </w:r>
      <w:r w:rsidRPr="00F2371D">
        <w:t>número</w:t>
      </w:r>
      <w:r w:rsidR="006724F9" w:rsidRPr="00F2371D">
        <w:t xml:space="preserve"> </w:t>
      </w:r>
      <w:r w:rsidR="006724F9" w:rsidRPr="00F2371D">
        <w:rPr>
          <w:b/>
          <w:bCs/>
        </w:rPr>
        <w:t>11.2</w:t>
      </w:r>
      <w:r w:rsidRPr="00F2371D">
        <w:t xml:space="preserve"> del RR</w:t>
      </w:r>
      <w:r w:rsidR="006724F9" w:rsidRPr="00F2371D">
        <w:t>. Canadá toma</w:t>
      </w:r>
      <w:r w:rsidRPr="00F2371D">
        <w:t xml:space="preserve"> asimismo </w:t>
      </w:r>
      <w:r w:rsidR="006724F9" w:rsidRPr="00F2371D">
        <w:t>nota de la Regla de Procedimiento (R</w:t>
      </w:r>
      <w:r w:rsidRPr="00F2371D">
        <w:t>d</w:t>
      </w:r>
      <w:r w:rsidR="006724F9" w:rsidRPr="00F2371D">
        <w:t>P) adoptada</w:t>
      </w:r>
      <w:r w:rsidRPr="00F2371D">
        <w:t xml:space="preserve"> recientemente por la Junta </w:t>
      </w:r>
      <w:r w:rsidR="006724F9" w:rsidRPr="00F2371D">
        <w:t>en relación con l</w:t>
      </w:r>
      <w:r w:rsidR="007C4F07" w:rsidRPr="00F2371D">
        <w:t>a provisión de la</w:t>
      </w:r>
      <w:r w:rsidR="006724F9" w:rsidRPr="00F2371D">
        <w:t xml:space="preserve"> información actualizada </w:t>
      </w:r>
      <w:r w:rsidR="007C4F07" w:rsidRPr="00F2371D">
        <w:t xml:space="preserve">prevista en </w:t>
      </w:r>
      <w:r w:rsidR="006724F9" w:rsidRPr="00F2371D">
        <w:t xml:space="preserve">la Resolución </w:t>
      </w:r>
      <w:r w:rsidR="006724F9" w:rsidRPr="00F2371D">
        <w:rPr>
          <w:b/>
          <w:bCs/>
        </w:rPr>
        <w:t>49</w:t>
      </w:r>
      <w:r w:rsidR="007C4F07" w:rsidRPr="00F2371D">
        <w:t xml:space="preserve">, en la que, </w:t>
      </w:r>
      <w:r w:rsidR="006724F9" w:rsidRPr="00F2371D">
        <w:t>en caso de que se haya concedido una prórroga para l</w:t>
      </w:r>
      <w:r w:rsidR="007C4F07" w:rsidRPr="00F2371D">
        <w:t>a</w:t>
      </w:r>
      <w:r w:rsidR="006724F9" w:rsidRPr="00F2371D">
        <w:t xml:space="preserve"> </w:t>
      </w:r>
      <w:r w:rsidR="007C4F07" w:rsidRPr="00F2371D">
        <w:t>PeS</w:t>
      </w:r>
      <w:r w:rsidR="006724F9" w:rsidRPr="00F2371D">
        <w:t xml:space="preserve"> de</w:t>
      </w:r>
      <w:r w:rsidR="007C4F07" w:rsidRPr="00F2371D">
        <w:t xml:space="preserve"> las</w:t>
      </w:r>
      <w:r w:rsidR="006724F9" w:rsidRPr="00F2371D">
        <w:t xml:space="preserve"> asignaciones a una red o</w:t>
      </w:r>
      <w:r w:rsidR="007C4F07" w:rsidRPr="00F2371D">
        <w:t xml:space="preserve"> un</w:t>
      </w:r>
      <w:r w:rsidR="006724F9" w:rsidRPr="00F2371D">
        <w:t xml:space="preserve"> sistema de satélite</w:t>
      </w:r>
      <w:r w:rsidR="007C4F07" w:rsidRPr="00F2371D">
        <w:t>s, se prevé lo siguiente</w:t>
      </w:r>
      <w:r w:rsidR="006724F9" w:rsidRPr="00F2371D">
        <w:t>:</w:t>
      </w:r>
    </w:p>
    <w:p w14:paraId="14874C20" w14:textId="5F2824FF" w:rsidR="006724F9" w:rsidRPr="00F2371D" w:rsidRDefault="006724F9" w:rsidP="007C4F07">
      <w:pPr>
        <w:pStyle w:val="enumlev1"/>
      </w:pPr>
      <w:r w:rsidRPr="00F2371D">
        <w:tab/>
      </w:r>
      <w:r w:rsidR="00F2371D" w:rsidRPr="00F2371D">
        <w:t>«</w:t>
      </w:r>
      <w:r w:rsidR="007C4F07" w:rsidRPr="00F2371D">
        <w:t xml:space="preserve">Si, antes de la finalización del periodo de extensión o en el periodo de un año después de la decisión de la Junta de conceder una extensión, tomando entre ambas la fecha más temprana, la administración notificante no ha facilitado a la Oficina la información </w:t>
      </w:r>
      <w:r w:rsidR="007C4F07" w:rsidRPr="00F2371D">
        <w:lastRenderedPageBreak/>
        <w:t xml:space="preserve">actualizada de la Resolución </w:t>
      </w:r>
      <w:r w:rsidR="007C4F07" w:rsidRPr="00F2371D">
        <w:rPr>
          <w:b/>
          <w:bCs/>
        </w:rPr>
        <w:t xml:space="preserve">49 (Rev.CMR-19) </w:t>
      </w:r>
      <w:r w:rsidR="007C4F07" w:rsidRPr="00F2371D">
        <w:t>sobre el nuevo satélite en proceso de adquisición, las asignaciones de frecuencia correspondientes expirarán</w:t>
      </w:r>
      <w:r w:rsidR="00F2371D" w:rsidRPr="00F2371D">
        <w:t>»</w:t>
      </w:r>
      <w:r w:rsidR="003D10F1" w:rsidRPr="00F2371D">
        <w:t>.</w:t>
      </w:r>
    </w:p>
    <w:p w14:paraId="25802BBD" w14:textId="11259908" w:rsidR="006724F9" w:rsidRPr="00F2371D" w:rsidRDefault="006724F9" w:rsidP="006724F9">
      <w:r w:rsidRPr="00F2371D">
        <w:t xml:space="preserve">Canadá también señala </w:t>
      </w:r>
      <w:r w:rsidR="0062373E" w:rsidRPr="00F2371D">
        <w:t>lo siguiente</w:t>
      </w:r>
      <w:r w:rsidRPr="00F2371D">
        <w:t xml:space="preserve">: </w:t>
      </w:r>
    </w:p>
    <w:p w14:paraId="411AA968" w14:textId="12DF6C8A" w:rsidR="006724F9" w:rsidRPr="00F2371D" w:rsidRDefault="005D02EE" w:rsidP="006724F9">
      <w:pPr>
        <w:pStyle w:val="enumlev1"/>
      </w:pPr>
      <w:r w:rsidRPr="00F2371D">
        <w:t>–</w:t>
      </w:r>
      <w:r w:rsidRPr="00F2371D">
        <w:tab/>
      </w:r>
      <w:r w:rsidR="006724F9" w:rsidRPr="00F2371D">
        <w:t xml:space="preserve">El requisito </w:t>
      </w:r>
      <w:r w:rsidR="0062373E" w:rsidRPr="00F2371D">
        <w:t>consistente en</w:t>
      </w:r>
      <w:r w:rsidR="006724F9" w:rsidRPr="00F2371D">
        <w:t xml:space="preserve"> proporcionar</w:t>
      </w:r>
      <w:r w:rsidRPr="00F2371D">
        <w:t xml:space="preserve"> la</w:t>
      </w:r>
      <w:r w:rsidR="006724F9" w:rsidRPr="00F2371D">
        <w:t xml:space="preserve"> información de notificación con</w:t>
      </w:r>
      <w:r w:rsidRPr="00F2371D">
        <w:t xml:space="preserve">forme al </w:t>
      </w:r>
      <w:r w:rsidR="006724F9" w:rsidRPr="00F2371D">
        <w:t xml:space="preserve">número </w:t>
      </w:r>
      <w:r w:rsidR="006724F9" w:rsidRPr="00F2371D">
        <w:rPr>
          <w:b/>
          <w:bCs/>
        </w:rPr>
        <w:t xml:space="preserve">11.2 </w:t>
      </w:r>
      <w:r w:rsidR="006724F9" w:rsidRPr="00F2371D">
        <w:t>del RR dentro del plazo reglamentario de siete años, aunque no se contempla explícitamente en la R</w:t>
      </w:r>
      <w:r w:rsidRPr="00F2371D">
        <w:t>d</w:t>
      </w:r>
      <w:r w:rsidR="006724F9" w:rsidRPr="00F2371D">
        <w:t>P antes</w:t>
      </w:r>
      <w:r w:rsidRPr="00F2371D">
        <w:t xml:space="preserve"> mencionada</w:t>
      </w:r>
      <w:r w:rsidR="006724F9" w:rsidRPr="00F2371D">
        <w:t xml:space="preserve">, </w:t>
      </w:r>
      <w:r w:rsidRPr="00F2371D">
        <w:t>se mantiene sin cambios.</w:t>
      </w:r>
      <w:r w:rsidR="006724F9" w:rsidRPr="00F2371D">
        <w:t xml:space="preserve"> Entendemos que</w:t>
      </w:r>
      <w:r w:rsidR="00C941A9" w:rsidRPr="00F2371D">
        <w:t>,</w:t>
      </w:r>
      <w:r w:rsidR="006724F9" w:rsidRPr="00F2371D">
        <w:t xml:space="preserve"> </w:t>
      </w:r>
      <w:r w:rsidR="00C941A9" w:rsidRPr="00F2371D">
        <w:t xml:space="preserve">en el momento en que solicitan la prórroga del plazo reglamentario, el operador y/o la administración notificante son conscientes de </w:t>
      </w:r>
      <w:r w:rsidR="006724F9" w:rsidRPr="00F2371D">
        <w:t xml:space="preserve">las características finales de las asignaciones de frecuencias a </w:t>
      </w:r>
      <w:r w:rsidR="00C941A9" w:rsidRPr="00F2371D">
        <w:t>l</w:t>
      </w:r>
      <w:r w:rsidR="006724F9" w:rsidRPr="00F2371D">
        <w:t xml:space="preserve">a red o </w:t>
      </w:r>
      <w:r w:rsidR="00C941A9" w:rsidRPr="00F2371D">
        <w:t>el</w:t>
      </w:r>
      <w:r w:rsidRPr="00F2371D">
        <w:t xml:space="preserve"> </w:t>
      </w:r>
      <w:r w:rsidR="006724F9" w:rsidRPr="00F2371D">
        <w:t xml:space="preserve">sistema de satélites </w:t>
      </w:r>
      <w:r w:rsidR="00C941A9" w:rsidRPr="00F2371D">
        <w:t>cuyo plazo de puesta en servicio se ha prorrogado</w:t>
      </w:r>
      <w:r w:rsidR="006724F9" w:rsidRPr="00F2371D">
        <w:t xml:space="preserve"> por </w:t>
      </w:r>
      <w:r w:rsidR="00C941A9" w:rsidRPr="00F2371D">
        <w:t>motivos</w:t>
      </w:r>
      <w:r w:rsidR="006724F9" w:rsidRPr="00F2371D">
        <w:t xml:space="preserve"> de </w:t>
      </w:r>
      <w:r w:rsidR="00C941A9" w:rsidRPr="00F2371D">
        <w:rPr>
          <w:i/>
          <w:iCs/>
          <w:lang w:eastAsia="zh-CN"/>
        </w:rPr>
        <w:t>fuerza mayor</w:t>
      </w:r>
      <w:r w:rsidR="00C941A9" w:rsidRPr="00F2371D">
        <w:rPr>
          <w:lang w:eastAsia="zh-CN"/>
        </w:rPr>
        <w:t xml:space="preserve"> o de retraso por lanzamiento colectivo</w:t>
      </w:r>
      <w:r w:rsidR="006724F9" w:rsidRPr="00F2371D">
        <w:t>.</w:t>
      </w:r>
    </w:p>
    <w:p w14:paraId="36E1DA04" w14:textId="62584725" w:rsidR="006724F9" w:rsidRPr="00F2371D" w:rsidRDefault="005D02EE" w:rsidP="006724F9">
      <w:pPr>
        <w:pStyle w:val="enumlev1"/>
      </w:pPr>
      <w:r w:rsidRPr="00F2371D">
        <w:t>–</w:t>
      </w:r>
      <w:r w:rsidRPr="00F2371D">
        <w:tab/>
      </w:r>
      <w:r w:rsidR="006724F9" w:rsidRPr="00F2371D">
        <w:t xml:space="preserve">La información de la Resolución </w:t>
      </w:r>
      <w:r w:rsidR="006724F9" w:rsidRPr="00F2371D">
        <w:rPr>
          <w:b/>
          <w:bCs/>
        </w:rPr>
        <w:t xml:space="preserve">49 (Rev.CMR-19) </w:t>
      </w:r>
      <w:r w:rsidR="006724F9" w:rsidRPr="00F2371D">
        <w:t xml:space="preserve">facilitada antes o poco después de la concesión de </w:t>
      </w:r>
      <w:r w:rsidR="00C941A9" w:rsidRPr="00F2371D">
        <w:t>la</w:t>
      </w:r>
      <w:r w:rsidR="006724F9" w:rsidRPr="00F2371D">
        <w:t xml:space="preserve"> prórroga puede</w:t>
      </w:r>
      <w:r w:rsidR="00C941A9" w:rsidRPr="00F2371D">
        <w:t xml:space="preserve"> haber quedado obsoleta</w:t>
      </w:r>
      <w:r w:rsidR="006724F9" w:rsidRPr="00F2371D">
        <w:t xml:space="preserve"> </w:t>
      </w:r>
      <w:r w:rsidR="00C941A9" w:rsidRPr="00F2371D">
        <w:t>a</w:t>
      </w:r>
      <w:r w:rsidR="006724F9" w:rsidRPr="00F2371D">
        <w:t xml:space="preserve"> consecuencia de la</w:t>
      </w:r>
      <w:r w:rsidR="00C941A9" w:rsidRPr="00F2371D">
        <w:t>s circunstancias</w:t>
      </w:r>
      <w:r w:rsidR="006724F9" w:rsidRPr="00F2371D">
        <w:t xml:space="preserve"> (</w:t>
      </w:r>
      <w:r w:rsidR="006724F9" w:rsidRPr="00F2371D">
        <w:rPr>
          <w:i/>
          <w:iCs/>
        </w:rPr>
        <w:t xml:space="preserve">fuerza mayor </w:t>
      </w:r>
      <w:r w:rsidR="006724F9" w:rsidRPr="00F2371D">
        <w:t xml:space="preserve">o </w:t>
      </w:r>
      <w:r w:rsidR="00C941A9" w:rsidRPr="00F2371D">
        <w:rPr>
          <w:lang w:eastAsia="zh-CN"/>
        </w:rPr>
        <w:t>retraso por lanzamiento colectivo</w:t>
      </w:r>
      <w:r w:rsidR="006724F9" w:rsidRPr="00F2371D">
        <w:t>) que justific</w:t>
      </w:r>
      <w:r w:rsidR="00C941A9" w:rsidRPr="00F2371D">
        <w:t>an dich</w:t>
      </w:r>
      <w:r w:rsidR="006724F9" w:rsidRPr="00F2371D">
        <w:t>a prórroga,</w:t>
      </w:r>
      <w:r w:rsidR="00C941A9" w:rsidRPr="00F2371D">
        <w:t xml:space="preserve"> por lo que</w:t>
      </w:r>
      <w:r w:rsidR="006724F9" w:rsidRPr="00F2371D">
        <w:t xml:space="preserve"> puede ser necesario actualizarla en el futuro.</w:t>
      </w:r>
    </w:p>
    <w:p w14:paraId="1175A020" w14:textId="5BFCCCE3" w:rsidR="006724F9" w:rsidRPr="00F2371D" w:rsidRDefault="005D02EE" w:rsidP="006724F9">
      <w:pPr>
        <w:pStyle w:val="enumlev1"/>
      </w:pPr>
      <w:r w:rsidRPr="00F2371D">
        <w:t>–</w:t>
      </w:r>
      <w:r w:rsidRPr="00F2371D">
        <w:tab/>
      </w:r>
      <w:r w:rsidR="006724F9" w:rsidRPr="00F2371D">
        <w:t xml:space="preserve">Tras la decisión de la Junta de prorrogar el plazo reglamentario para la </w:t>
      </w:r>
      <w:r w:rsidR="00C941A9" w:rsidRPr="00F2371D">
        <w:t>PeS</w:t>
      </w:r>
      <w:r w:rsidR="006724F9" w:rsidRPr="00F2371D">
        <w:t>, es posible que se necesite más tiempo para que el operador</w:t>
      </w:r>
      <w:r w:rsidR="008C6762" w:rsidRPr="00F2371D">
        <w:t xml:space="preserve"> y</w:t>
      </w:r>
      <w:r w:rsidR="006724F9" w:rsidRPr="00F2371D">
        <w:t>/</w:t>
      </w:r>
      <w:r w:rsidR="008C6762" w:rsidRPr="00F2371D">
        <w:t xml:space="preserve">o la </w:t>
      </w:r>
      <w:r w:rsidR="006724F9" w:rsidRPr="00F2371D">
        <w:t>administración notificante ultime</w:t>
      </w:r>
      <w:r w:rsidR="008C6762" w:rsidRPr="00F2371D">
        <w:t>n</w:t>
      </w:r>
      <w:r w:rsidR="006724F9" w:rsidRPr="00F2371D">
        <w:t xml:space="preserve"> los detalles relacionados con el lanzamiento del satélite</w:t>
      </w:r>
      <w:r w:rsidR="008C6762" w:rsidRPr="00F2371D">
        <w:t xml:space="preserve"> que se necesitan</w:t>
      </w:r>
      <w:r w:rsidR="006724F9" w:rsidRPr="00F2371D">
        <w:t xml:space="preserve"> para</w:t>
      </w:r>
      <w:r w:rsidR="008C6762" w:rsidRPr="00F2371D">
        <w:t xml:space="preserve"> presentar una comunicación </w:t>
      </w:r>
      <w:r w:rsidR="006724F9" w:rsidRPr="00F2371D">
        <w:t xml:space="preserve">con arreglo a la Resolución </w:t>
      </w:r>
      <w:r w:rsidR="006724F9" w:rsidRPr="00F2371D">
        <w:rPr>
          <w:b/>
          <w:bCs/>
        </w:rPr>
        <w:t>49 (Rev.CMR-19)</w:t>
      </w:r>
      <w:r w:rsidR="006724F9" w:rsidRPr="00F2371D">
        <w:t>.</w:t>
      </w:r>
    </w:p>
    <w:p w14:paraId="688CA8D7" w14:textId="7B8F35B1" w:rsidR="006724F9" w:rsidRPr="00F2371D" w:rsidRDefault="006724F9" w:rsidP="006724F9">
      <w:r w:rsidRPr="00F2371D">
        <w:t xml:space="preserve">En este contexto, </w:t>
      </w:r>
      <w:r w:rsidR="008C6762" w:rsidRPr="00F2371D">
        <w:t>lo</w:t>
      </w:r>
      <w:r w:rsidRPr="00F2371D">
        <w:t xml:space="preserve"> sencillo </w:t>
      </w:r>
      <w:r w:rsidR="008C6762" w:rsidRPr="00F2371D">
        <w:t>hubiera</w:t>
      </w:r>
      <w:r w:rsidRPr="00F2371D">
        <w:t xml:space="preserve"> sido conceder </w:t>
      </w:r>
      <w:r w:rsidR="008C6762" w:rsidRPr="00F2371D">
        <w:t xml:space="preserve">automáticamente </w:t>
      </w:r>
      <w:r w:rsidRPr="00F2371D">
        <w:t xml:space="preserve">una prórroga del plazo establecido para </w:t>
      </w:r>
      <w:r w:rsidR="008C6762" w:rsidRPr="00F2371D">
        <w:t>la presentación</w:t>
      </w:r>
      <w:r w:rsidRPr="00F2371D">
        <w:t xml:space="preserve"> de</w:t>
      </w:r>
      <w:r w:rsidR="008C6762" w:rsidRPr="00F2371D">
        <w:t xml:space="preserve"> la</w:t>
      </w:r>
      <w:r w:rsidRPr="00F2371D">
        <w:t xml:space="preserve"> información en virtud de la Resolución </w:t>
      </w:r>
      <w:r w:rsidRPr="00F2371D">
        <w:rPr>
          <w:b/>
          <w:bCs/>
        </w:rPr>
        <w:t>49</w:t>
      </w:r>
      <w:r w:rsidR="008C6762" w:rsidRPr="00F2371D">
        <w:t>, una vez concedida la</w:t>
      </w:r>
      <w:r w:rsidRPr="00F2371D">
        <w:t xml:space="preserve"> prórroga del plazo reglamentario para la </w:t>
      </w:r>
      <w:r w:rsidR="008C6762" w:rsidRPr="00F2371D">
        <w:t>PeS</w:t>
      </w:r>
      <w:r w:rsidRPr="00F2371D">
        <w:t>. Est</w:t>
      </w:r>
      <w:r w:rsidR="008C6762" w:rsidRPr="00F2371D">
        <w:t>a</w:t>
      </w:r>
      <w:r w:rsidRPr="00F2371D">
        <w:t xml:space="preserve"> </w:t>
      </w:r>
      <w:r w:rsidR="008C6762" w:rsidRPr="00F2371D">
        <w:t>medida</w:t>
      </w:r>
      <w:r w:rsidRPr="00F2371D">
        <w:t xml:space="preserve"> podría haber reducido la carga</w:t>
      </w:r>
      <w:r w:rsidR="008C6762" w:rsidRPr="00F2371D">
        <w:t xml:space="preserve"> de trabajo</w:t>
      </w:r>
      <w:r w:rsidRPr="00F2371D">
        <w:t xml:space="preserve"> tanto</w:t>
      </w:r>
      <w:r w:rsidR="008C6762" w:rsidRPr="00F2371D">
        <w:t xml:space="preserve"> de</w:t>
      </w:r>
      <w:r w:rsidRPr="00F2371D">
        <w:t xml:space="preserve"> las administraciones como </w:t>
      </w:r>
      <w:r w:rsidR="008C6762" w:rsidRPr="00F2371D">
        <w:t>de</w:t>
      </w:r>
      <w:r w:rsidRPr="00F2371D">
        <w:t xml:space="preserve"> la Oficina de Radiocomunicaciones en lo que respecta a la presentación de información que</w:t>
      </w:r>
      <w:r w:rsidR="008C6762" w:rsidRPr="00F2371D">
        <w:t xml:space="preserve"> ha quedado obsoleta </w:t>
      </w:r>
      <w:r w:rsidRPr="00F2371D">
        <w:t>y</w:t>
      </w:r>
      <w:r w:rsidR="008C6762" w:rsidRPr="00F2371D">
        <w:t xml:space="preserve"> a</w:t>
      </w:r>
      <w:r w:rsidRPr="00F2371D">
        <w:t xml:space="preserve"> su </w:t>
      </w:r>
      <w:r w:rsidR="008C6762" w:rsidRPr="00F2371D">
        <w:t>tramitación</w:t>
      </w:r>
      <w:r w:rsidRPr="00F2371D">
        <w:t xml:space="preserve">, respectivamente. También habría evitado que </w:t>
      </w:r>
      <w:r w:rsidR="008C6762" w:rsidRPr="00F2371D">
        <w:t>las</w:t>
      </w:r>
      <w:r w:rsidRPr="00F2371D">
        <w:t xml:space="preserve"> administraci</w:t>
      </w:r>
      <w:r w:rsidR="008C6762" w:rsidRPr="00F2371D">
        <w:t>ones</w:t>
      </w:r>
      <w:r w:rsidRPr="00F2371D">
        <w:t xml:space="preserve"> incumpliera</w:t>
      </w:r>
      <w:r w:rsidR="008C6762" w:rsidRPr="00F2371D">
        <w:t>n ciertos</w:t>
      </w:r>
      <w:r w:rsidRPr="00F2371D">
        <w:t xml:space="preserve"> plazo</w:t>
      </w:r>
      <w:r w:rsidR="008C6762" w:rsidRPr="00F2371D">
        <w:t>s</w:t>
      </w:r>
      <w:r w:rsidRPr="00F2371D">
        <w:t xml:space="preserve"> por no ser consciente</w:t>
      </w:r>
      <w:r w:rsidR="008C6762" w:rsidRPr="00F2371D">
        <w:t>s</w:t>
      </w:r>
      <w:r w:rsidRPr="00F2371D">
        <w:t xml:space="preserve"> del requisito de proporcionar</w:t>
      </w:r>
      <w:r w:rsidR="008C6762" w:rsidRPr="00F2371D">
        <w:t xml:space="preserve"> </w:t>
      </w:r>
      <w:r w:rsidRPr="00F2371D">
        <w:t xml:space="preserve">información actualizada </w:t>
      </w:r>
      <w:r w:rsidR="008C6762" w:rsidRPr="00F2371D">
        <w:t xml:space="preserve">de conformidad con </w:t>
      </w:r>
      <w:r w:rsidRPr="00F2371D">
        <w:t xml:space="preserve">la Resolución </w:t>
      </w:r>
      <w:r w:rsidRPr="00F2371D">
        <w:rPr>
          <w:b/>
          <w:bCs/>
        </w:rPr>
        <w:t>49 (Rev.CMR-19)</w:t>
      </w:r>
      <w:r w:rsidRPr="00F2371D">
        <w:t>,</w:t>
      </w:r>
      <w:r w:rsidR="008C6762" w:rsidRPr="00F2371D">
        <w:t xml:space="preserve"> según</w:t>
      </w:r>
      <w:r w:rsidRPr="00F2371D">
        <w:t xml:space="preserve"> se indica en las Reglas de Procedimiento </w:t>
      </w:r>
      <w:r w:rsidR="008C6762" w:rsidRPr="00F2371D">
        <w:t>relativas al número</w:t>
      </w:r>
      <w:r w:rsidRPr="00F2371D">
        <w:t xml:space="preserve"> </w:t>
      </w:r>
      <w:r w:rsidRPr="00F2371D">
        <w:rPr>
          <w:b/>
          <w:bCs/>
        </w:rPr>
        <w:t>11.48</w:t>
      </w:r>
      <w:r w:rsidR="008C6762" w:rsidRPr="00F2371D">
        <w:t xml:space="preserve"> del RR</w:t>
      </w:r>
      <w:r w:rsidRPr="00F2371D">
        <w:t>.</w:t>
      </w:r>
    </w:p>
    <w:p w14:paraId="7736294D" w14:textId="1CE60265" w:rsidR="006724F9" w:rsidRPr="00F2371D" w:rsidRDefault="006724F9" w:rsidP="006724F9">
      <w:r w:rsidRPr="00F2371D">
        <w:t>Además, Canadá observa que</w:t>
      </w:r>
      <w:r w:rsidR="008C6762" w:rsidRPr="00F2371D">
        <w:t>, en</w:t>
      </w:r>
      <w:r w:rsidRPr="00F2371D">
        <w:t xml:space="preserve"> el </w:t>
      </w:r>
      <w:r w:rsidR="008C6762" w:rsidRPr="00F2371D">
        <w:t>número</w:t>
      </w:r>
      <w:r w:rsidRPr="00F2371D">
        <w:t xml:space="preserve"> </w:t>
      </w:r>
      <w:r w:rsidRPr="00F2371D">
        <w:rPr>
          <w:b/>
          <w:bCs/>
        </w:rPr>
        <w:t>11.48</w:t>
      </w:r>
      <w:r w:rsidR="008C6762" w:rsidRPr="00F2371D">
        <w:t xml:space="preserve"> del RR, </w:t>
      </w:r>
      <w:r w:rsidRPr="00F2371D">
        <w:t>no</w:t>
      </w:r>
      <w:r w:rsidR="008C6762" w:rsidRPr="00F2371D">
        <w:t xml:space="preserve"> se</w:t>
      </w:r>
      <w:r w:rsidRPr="00F2371D">
        <w:t xml:space="preserve"> especifica </w:t>
      </w:r>
      <w:r w:rsidR="008C6762" w:rsidRPr="00F2371D">
        <w:t>r</w:t>
      </w:r>
      <w:r w:rsidRPr="00F2371D">
        <w:t>equisito</w:t>
      </w:r>
      <w:r w:rsidR="008C6762" w:rsidRPr="00F2371D">
        <w:t xml:space="preserve"> alguno en lo que respecta a la actualización de</w:t>
      </w:r>
      <w:r w:rsidRPr="00F2371D">
        <w:t xml:space="preserve"> la información</w:t>
      </w:r>
      <w:r w:rsidR="008C6762" w:rsidRPr="00F2371D">
        <w:t xml:space="preserve"> prevista en </w:t>
      </w:r>
      <w:r w:rsidRPr="00F2371D">
        <w:t xml:space="preserve">la Resolución </w:t>
      </w:r>
      <w:r w:rsidRPr="00F2371D">
        <w:rPr>
          <w:b/>
          <w:bCs/>
        </w:rPr>
        <w:t xml:space="preserve">49 (Rev.CMR-19) </w:t>
      </w:r>
      <w:r w:rsidRPr="00F2371D">
        <w:t>que</w:t>
      </w:r>
      <w:r w:rsidR="008C6762" w:rsidRPr="00F2371D">
        <w:t xml:space="preserve"> haya podido </w:t>
      </w:r>
      <w:r w:rsidRPr="00F2371D">
        <w:t>presentarse en una fase muy temprana</w:t>
      </w:r>
      <w:r w:rsidR="008C6762" w:rsidRPr="00F2371D">
        <w:t xml:space="preserve"> del plazo </w:t>
      </w:r>
      <w:r w:rsidRPr="00F2371D">
        <w:t xml:space="preserve">reglamentario. Por otra parte, Canadá también observa que </w:t>
      </w:r>
      <w:r w:rsidR="008C6762" w:rsidRPr="00F2371D">
        <w:t>el</w:t>
      </w:r>
      <w:r w:rsidRPr="00F2371D">
        <w:t xml:space="preserve"> requisito de actualizar la</w:t>
      </w:r>
      <w:r w:rsidR="008C6762" w:rsidRPr="00F2371D">
        <w:t xml:space="preserve"> información prevista en la</w:t>
      </w:r>
      <w:r w:rsidRPr="00F2371D">
        <w:t xml:space="preserve"> Resolución </w:t>
      </w:r>
      <w:r w:rsidRPr="00F2371D">
        <w:rPr>
          <w:b/>
          <w:bCs/>
        </w:rPr>
        <w:t xml:space="preserve">49 </w:t>
      </w:r>
      <w:r w:rsidRPr="00F2371D">
        <w:t xml:space="preserve">en caso de solicitud de prórroga del plazo reglamentario para </w:t>
      </w:r>
      <w:r w:rsidR="008C6762" w:rsidRPr="00F2371D">
        <w:t>la PeS a causa de</w:t>
      </w:r>
      <w:r w:rsidRPr="00F2371D">
        <w:t xml:space="preserve"> un fallo de lanzamiento </w:t>
      </w:r>
      <w:r w:rsidR="0062373E" w:rsidRPr="00F2371D">
        <w:t>aparece descrito</w:t>
      </w:r>
      <w:r w:rsidRPr="00F2371D">
        <w:t xml:space="preserve"> en los Apéndices </w:t>
      </w:r>
      <w:r w:rsidRPr="00F2371D">
        <w:rPr>
          <w:b/>
          <w:bCs/>
        </w:rPr>
        <w:t>30</w:t>
      </w:r>
      <w:r w:rsidRPr="00F2371D">
        <w:t xml:space="preserve">, </w:t>
      </w:r>
      <w:r w:rsidRPr="00F2371D">
        <w:rPr>
          <w:b/>
          <w:bCs/>
        </w:rPr>
        <w:t xml:space="preserve">30A </w:t>
      </w:r>
      <w:r w:rsidRPr="00F2371D">
        <w:t xml:space="preserve">y </w:t>
      </w:r>
      <w:r w:rsidRPr="00F2371D">
        <w:rPr>
          <w:b/>
          <w:bCs/>
        </w:rPr>
        <w:t xml:space="preserve">30B </w:t>
      </w:r>
      <w:r w:rsidRPr="00F2371D">
        <w:t>del RR. Considerando que no</w:t>
      </w:r>
      <w:r w:rsidR="00494C44" w:rsidRPr="00F2371D">
        <w:t xml:space="preserve"> existe motivo alguno por el que</w:t>
      </w:r>
      <w:r w:rsidRPr="00F2371D">
        <w:t xml:space="preserve"> la información de la Resolución </w:t>
      </w:r>
      <w:r w:rsidRPr="00F2371D">
        <w:rPr>
          <w:b/>
          <w:bCs/>
        </w:rPr>
        <w:t xml:space="preserve">49 (Rev.CMR-19) </w:t>
      </w:r>
      <w:r w:rsidR="00494C44" w:rsidRPr="00F2371D">
        <w:t>deba recibir una tratamiento distinto</w:t>
      </w:r>
      <w:r w:rsidRPr="00F2371D">
        <w:t xml:space="preserve"> a</w:t>
      </w:r>
      <w:r w:rsidR="00494C44" w:rsidRPr="00F2371D">
        <w:t>l</w:t>
      </w:r>
      <w:r w:rsidRPr="00F2371D">
        <w:t xml:space="preserve"> </w:t>
      </w:r>
      <w:r w:rsidR="00494C44" w:rsidRPr="00F2371D">
        <w:t xml:space="preserve">que se otorga a </w:t>
      </w:r>
      <w:r w:rsidRPr="00F2371D">
        <w:t xml:space="preserve">las asignaciones en las bandas no planificadas en caso de prórroga del plazo reglamentario </w:t>
      </w:r>
      <w:r w:rsidR="0062373E" w:rsidRPr="00F2371D">
        <w:t>para</w:t>
      </w:r>
      <w:r w:rsidRPr="00F2371D">
        <w:t xml:space="preserve"> </w:t>
      </w:r>
      <w:r w:rsidR="00494C44" w:rsidRPr="00F2371D">
        <w:t xml:space="preserve">la PeS, </w:t>
      </w:r>
      <w:r w:rsidRPr="00F2371D">
        <w:t xml:space="preserve">Canadá </w:t>
      </w:r>
      <w:r w:rsidR="00494C44" w:rsidRPr="00F2371D">
        <w:t xml:space="preserve">no solo </w:t>
      </w:r>
      <w:r w:rsidRPr="00F2371D">
        <w:t>comprende y apoya la R</w:t>
      </w:r>
      <w:r w:rsidR="00494C44" w:rsidRPr="00F2371D">
        <w:t>d</w:t>
      </w:r>
      <w:r w:rsidRPr="00F2371D">
        <w:t xml:space="preserve">P </w:t>
      </w:r>
      <w:r w:rsidR="00494C44" w:rsidRPr="00F2371D">
        <w:t xml:space="preserve">relativa al número </w:t>
      </w:r>
      <w:r w:rsidRPr="00F2371D">
        <w:rPr>
          <w:b/>
          <w:bCs/>
        </w:rPr>
        <w:t>11.48</w:t>
      </w:r>
      <w:r w:rsidRPr="00F2371D">
        <w:t xml:space="preserve"> </w:t>
      </w:r>
      <w:r w:rsidR="00494C44" w:rsidRPr="00F2371D">
        <w:t xml:space="preserve">del RR, </w:t>
      </w:r>
      <w:r w:rsidRPr="00F2371D">
        <w:t xml:space="preserve">sino que </w:t>
      </w:r>
      <w:r w:rsidR="00494C44" w:rsidRPr="00F2371D">
        <w:t>además r</w:t>
      </w:r>
      <w:r w:rsidRPr="00F2371D">
        <w:t xml:space="preserve">econoce la necesidad de </w:t>
      </w:r>
      <w:r w:rsidR="00494C44" w:rsidRPr="00F2371D">
        <w:t xml:space="preserve">señalar a </w:t>
      </w:r>
      <w:r w:rsidRPr="00F2371D">
        <w:t xml:space="preserve">la atención de las administraciones que </w:t>
      </w:r>
      <w:r w:rsidR="00494C44" w:rsidRPr="00F2371D">
        <w:t>la</w:t>
      </w:r>
      <w:r w:rsidRPr="00F2371D">
        <w:t xml:space="preserve"> prórroga del plazo reglamentario para l</w:t>
      </w:r>
      <w:r w:rsidR="00494C44" w:rsidRPr="00F2371D">
        <w:t>a</w:t>
      </w:r>
      <w:r w:rsidRPr="00F2371D">
        <w:t xml:space="preserve"> </w:t>
      </w:r>
      <w:r w:rsidR="00494C44" w:rsidRPr="00F2371D">
        <w:t>PeS</w:t>
      </w:r>
      <w:r w:rsidRPr="00F2371D">
        <w:t xml:space="preserve"> de </w:t>
      </w:r>
      <w:r w:rsidR="00143A93" w:rsidRPr="00F2371D">
        <w:t xml:space="preserve">una </w:t>
      </w:r>
      <w:r w:rsidRPr="00F2371D">
        <w:t>asignaci</w:t>
      </w:r>
      <w:r w:rsidR="00143A93" w:rsidRPr="00F2371D">
        <w:t>ón</w:t>
      </w:r>
      <w:r w:rsidRPr="00F2371D">
        <w:t xml:space="preserve"> de frecuencia</w:t>
      </w:r>
      <w:r w:rsidR="00494C44" w:rsidRPr="00F2371D">
        <w:t>s</w:t>
      </w:r>
      <w:r w:rsidRPr="00F2371D">
        <w:t xml:space="preserve"> a </w:t>
      </w:r>
      <w:r w:rsidR="00143A93" w:rsidRPr="00F2371D">
        <w:t xml:space="preserve">una </w:t>
      </w:r>
      <w:r w:rsidRPr="00F2371D">
        <w:t>red o</w:t>
      </w:r>
      <w:r w:rsidR="00143A93" w:rsidRPr="00F2371D">
        <w:t xml:space="preserve"> un</w:t>
      </w:r>
      <w:r w:rsidRPr="00F2371D">
        <w:t xml:space="preserve"> sistema de satélite</w:t>
      </w:r>
      <w:r w:rsidR="00494C44" w:rsidRPr="00F2371D">
        <w:t>s</w:t>
      </w:r>
      <w:r w:rsidRPr="00F2371D">
        <w:t xml:space="preserve"> no</w:t>
      </w:r>
      <w:r w:rsidR="00494C44" w:rsidRPr="00F2371D">
        <w:t xml:space="preserve"> conlleva automáticamente </w:t>
      </w:r>
      <w:r w:rsidR="00143A93" w:rsidRPr="00F2371D">
        <w:t>l</w:t>
      </w:r>
      <w:r w:rsidRPr="00F2371D">
        <w:t xml:space="preserve">a prórroga de los plazos establecidos en las disposiciones </w:t>
      </w:r>
      <w:r w:rsidR="00494C44" w:rsidRPr="00F2371D">
        <w:t>aplicables</w:t>
      </w:r>
      <w:r w:rsidRPr="00F2371D">
        <w:t xml:space="preserve"> del RR, que siguen aplicándose a menos que se estipule lo contrario en una decisión de la </w:t>
      </w:r>
      <w:r w:rsidR="00143A93" w:rsidRPr="00F2371D">
        <w:t xml:space="preserve">Junta </w:t>
      </w:r>
      <w:r w:rsidRPr="00F2371D">
        <w:t>o en una R</w:t>
      </w:r>
      <w:r w:rsidR="00143A93" w:rsidRPr="00F2371D">
        <w:t>d</w:t>
      </w:r>
      <w:r w:rsidRPr="00F2371D">
        <w:t>P.</w:t>
      </w:r>
    </w:p>
    <w:p w14:paraId="1DE63058" w14:textId="77777777" w:rsidR="00A75DF0" w:rsidRPr="00F2371D" w:rsidRDefault="00853CC3">
      <w:pPr>
        <w:pStyle w:val="Proposal"/>
      </w:pPr>
      <w:r w:rsidRPr="00F2371D">
        <w:tab/>
        <w:t>CAN/86A26/1</w:t>
      </w:r>
    </w:p>
    <w:p w14:paraId="476F21A0" w14:textId="77777777" w:rsidR="00143A93" w:rsidRPr="00F2371D" w:rsidRDefault="00143A93" w:rsidP="00143A93">
      <w:r w:rsidRPr="00F2371D">
        <w:t>Canadá propone que la Conferencia:</w:t>
      </w:r>
    </w:p>
    <w:p w14:paraId="0D69CF2B" w14:textId="440CA1AB" w:rsidR="00143A93" w:rsidRPr="00F2371D" w:rsidRDefault="00143A93" w:rsidP="00242D42">
      <w:pPr>
        <w:pStyle w:val="enumlev1"/>
      </w:pPr>
      <w:r w:rsidRPr="00F2371D">
        <w:t>–</w:t>
      </w:r>
      <w:r w:rsidRPr="00F2371D">
        <w:tab/>
        <w:t>encarg</w:t>
      </w:r>
      <w:r w:rsidR="00242D42" w:rsidRPr="00F2371D">
        <w:t>ue</w:t>
      </w:r>
      <w:r w:rsidRPr="00F2371D">
        <w:t xml:space="preserve"> a la Junta que incluya en la nueva sección de la Regla de Procedimiento dedicada a las decisiones de la CMR </w:t>
      </w:r>
      <w:r w:rsidR="00242D42" w:rsidRPr="00F2371D">
        <w:t>un apartado para señalar a</w:t>
      </w:r>
      <w:r w:rsidRPr="00F2371D">
        <w:t xml:space="preserve"> la atención de las </w:t>
      </w:r>
      <w:r w:rsidRPr="00F2371D">
        <w:lastRenderedPageBreak/>
        <w:t xml:space="preserve">administraciones </w:t>
      </w:r>
      <w:r w:rsidR="00242D42" w:rsidRPr="00F2371D">
        <w:t xml:space="preserve">que la prórroga del plazo reglamentario para la PeS de una asignación de frecuencias a una red o un sistema de satélites no conlleva automáticamente la prórroga de los plazos establecidos </w:t>
      </w:r>
      <w:r w:rsidRPr="00F2371D">
        <w:t xml:space="preserve">en cualesquiera otras disposiciones aplicables del RR. A menos que la Junta haya previsto explícitamente una prórroga para una disposición específica del RR o de las Reglas de </w:t>
      </w:r>
      <w:r w:rsidR="00242D42" w:rsidRPr="00F2371D">
        <w:t>Procedimiento</w:t>
      </w:r>
      <w:r w:rsidRPr="00F2371D">
        <w:t xml:space="preserve">, todos los demás plazos reglamentarios </w:t>
      </w:r>
      <w:r w:rsidR="00242D42" w:rsidRPr="00F2371D">
        <w:t>seguirán</w:t>
      </w:r>
      <w:r w:rsidRPr="00F2371D">
        <w:t xml:space="preserve"> siendo aplicables</w:t>
      </w:r>
      <w:r w:rsidR="00242D42" w:rsidRPr="00F2371D">
        <w:t>;</w:t>
      </w:r>
      <w:r w:rsidRPr="00F2371D">
        <w:t xml:space="preserve"> y</w:t>
      </w:r>
    </w:p>
    <w:p w14:paraId="2F3D6882" w14:textId="6E3ABC22" w:rsidR="00143A93" w:rsidRPr="00F2371D" w:rsidRDefault="00143A93" w:rsidP="00143A93">
      <w:pPr>
        <w:pStyle w:val="enumlev1"/>
      </w:pPr>
      <w:r w:rsidRPr="00F2371D">
        <w:t>–</w:t>
      </w:r>
      <w:r w:rsidRPr="00F2371D">
        <w:tab/>
        <w:t>encarg</w:t>
      </w:r>
      <w:r w:rsidR="00242D42" w:rsidRPr="00F2371D">
        <w:t>ue</w:t>
      </w:r>
      <w:r w:rsidRPr="00F2371D">
        <w:t xml:space="preserve"> a la Oficina de Radiocomunicaciones que envíe sin demora un recordatorio </w:t>
      </w:r>
      <w:r w:rsidR="00242D42" w:rsidRPr="00F2371D">
        <w:t xml:space="preserve">con </w:t>
      </w:r>
      <w:r w:rsidRPr="00F2371D">
        <w:t xml:space="preserve">todos los plazos aplicables pertinentes a </w:t>
      </w:r>
      <w:r w:rsidR="00242D42" w:rsidRPr="00F2371D">
        <w:t>las</w:t>
      </w:r>
      <w:r w:rsidRPr="00F2371D">
        <w:t xml:space="preserve"> administraci</w:t>
      </w:r>
      <w:r w:rsidR="00242D42" w:rsidRPr="00F2371D">
        <w:t>ones</w:t>
      </w:r>
      <w:r w:rsidRPr="00F2371D">
        <w:t xml:space="preserve"> que haya</w:t>
      </w:r>
      <w:r w:rsidR="00242D42" w:rsidRPr="00F2371D">
        <w:t>n</w:t>
      </w:r>
      <w:r w:rsidRPr="00F2371D">
        <w:t xml:space="preserve"> solicitado y obtenido una prórroga de un plazo específico.</w:t>
      </w:r>
    </w:p>
    <w:p w14:paraId="0335DBF5" w14:textId="1892D41D" w:rsidR="006315ED" w:rsidRPr="00F2371D" w:rsidRDefault="00143A93" w:rsidP="006315ED">
      <w:pPr>
        <w:pStyle w:val="Reasons"/>
      </w:pPr>
      <w:r w:rsidRPr="00F2371D">
        <w:rPr>
          <w:b/>
        </w:rPr>
        <w:t>Motivos:</w:t>
      </w:r>
      <w:r w:rsidRPr="00F2371D">
        <w:tab/>
      </w:r>
      <w:r w:rsidRPr="00F2371D">
        <w:rPr>
          <w:rFonts w:eastAsiaTheme="minorHAnsi"/>
        </w:rPr>
        <w:t xml:space="preserve">Garantizar que las administraciones </w:t>
      </w:r>
      <w:r w:rsidR="00242D42" w:rsidRPr="00F2371D">
        <w:rPr>
          <w:rFonts w:eastAsiaTheme="minorHAnsi"/>
        </w:rPr>
        <w:t>sean conscientes d</w:t>
      </w:r>
      <w:r w:rsidRPr="00F2371D">
        <w:rPr>
          <w:rFonts w:eastAsiaTheme="minorHAnsi"/>
        </w:rPr>
        <w:t>el alcance de cualquier decisión</w:t>
      </w:r>
      <w:r w:rsidR="00242D42" w:rsidRPr="00F2371D">
        <w:rPr>
          <w:rFonts w:eastAsiaTheme="minorHAnsi"/>
        </w:rPr>
        <w:t xml:space="preserve"> relativa a la</w:t>
      </w:r>
      <w:r w:rsidRPr="00F2371D">
        <w:rPr>
          <w:rFonts w:eastAsiaTheme="minorHAnsi"/>
        </w:rPr>
        <w:t xml:space="preserve"> prórroga </w:t>
      </w:r>
      <w:r w:rsidR="002B4BA1" w:rsidRPr="00F2371D">
        <w:rPr>
          <w:rFonts w:eastAsiaTheme="minorHAnsi"/>
        </w:rPr>
        <w:t xml:space="preserve">de </w:t>
      </w:r>
      <w:r w:rsidR="00242D42" w:rsidRPr="00F2371D">
        <w:rPr>
          <w:rFonts w:eastAsiaTheme="minorHAnsi"/>
        </w:rPr>
        <w:t>un</w:t>
      </w:r>
      <w:r w:rsidRPr="00F2371D">
        <w:rPr>
          <w:rFonts w:eastAsiaTheme="minorHAnsi"/>
        </w:rPr>
        <w:t xml:space="preserve"> plazo</w:t>
      </w:r>
      <w:r w:rsidR="00242D42" w:rsidRPr="00F2371D">
        <w:rPr>
          <w:rFonts w:eastAsiaTheme="minorHAnsi"/>
        </w:rPr>
        <w:t xml:space="preserve"> y reciban una notificación formal al respecto.</w:t>
      </w:r>
    </w:p>
    <w:p w14:paraId="4443FD9A" w14:textId="709029CF" w:rsidR="006315ED" w:rsidRPr="00F2371D" w:rsidRDefault="006315ED" w:rsidP="006315ED">
      <w:pPr>
        <w:pStyle w:val="Heading2"/>
      </w:pPr>
      <w:r w:rsidRPr="00F2371D">
        <w:t>2.2</w:t>
      </w:r>
      <w:r w:rsidRPr="00F2371D">
        <w:tab/>
      </w:r>
      <w:r w:rsidR="0057709B" w:rsidRPr="00F2371D">
        <w:t>Casos</w:t>
      </w:r>
      <w:r w:rsidRPr="00F2371D">
        <w:t xml:space="preserve"> de </w:t>
      </w:r>
      <w:r w:rsidRPr="00F2371D">
        <w:rPr>
          <w:i/>
          <w:iCs/>
        </w:rPr>
        <w:t>fuerza mayor</w:t>
      </w:r>
    </w:p>
    <w:p w14:paraId="7F64CE3E" w14:textId="77777777" w:rsidR="006315ED" w:rsidRPr="00F2371D" w:rsidRDefault="006315ED" w:rsidP="006315ED">
      <w:pPr>
        <w:pStyle w:val="Heading3"/>
      </w:pPr>
      <w:r w:rsidRPr="00F2371D">
        <w:t>2.2.1</w:t>
      </w:r>
      <w:r w:rsidRPr="00F2371D">
        <w:tab/>
        <w:t>Antecedentes y debate</w:t>
      </w:r>
    </w:p>
    <w:p w14:paraId="59491470" w14:textId="2232E26B" w:rsidR="006315ED" w:rsidRPr="00F2371D" w:rsidRDefault="006315ED" w:rsidP="006315ED">
      <w:pPr>
        <w:rPr>
          <w:i/>
        </w:rPr>
      </w:pPr>
      <w:r w:rsidRPr="00F2371D">
        <w:t xml:space="preserve">Al examinar las solicitudes de prórroga del plazo reglamentario para la </w:t>
      </w:r>
      <w:r w:rsidR="0057709B" w:rsidRPr="00F2371D">
        <w:t>PeS</w:t>
      </w:r>
      <w:r w:rsidRPr="00F2371D">
        <w:t xml:space="preserve"> </w:t>
      </w:r>
      <w:r w:rsidR="002B4BA1" w:rsidRPr="00F2371D">
        <w:t xml:space="preserve">limitadas en el tiempo y </w:t>
      </w:r>
      <w:r w:rsidRPr="00F2371D">
        <w:t>basadas en casos de fuerza mayor</w:t>
      </w:r>
      <w:r w:rsidRPr="00F2371D">
        <w:rPr>
          <w:i/>
          <w:iCs/>
        </w:rPr>
        <w:t xml:space="preserve">, </w:t>
      </w:r>
      <w:r w:rsidRPr="00F2371D">
        <w:t xml:space="preserve">la Junta determina, </w:t>
      </w:r>
      <w:r w:rsidR="0057709B" w:rsidRPr="00F2371D">
        <w:t>de acuerdo con</w:t>
      </w:r>
      <w:r w:rsidRPr="00F2371D">
        <w:t xml:space="preserve"> la información facilitada por las administraciones, si se </w:t>
      </w:r>
      <w:r w:rsidRPr="00F2371D">
        <w:rPr>
          <w:iCs/>
        </w:rPr>
        <w:t xml:space="preserve">cumplen </w:t>
      </w:r>
      <w:r w:rsidRPr="00F2371D">
        <w:t xml:space="preserve">las cuatro condiciones siguientes para que </w:t>
      </w:r>
      <w:r w:rsidR="0057709B" w:rsidRPr="00F2371D">
        <w:t xml:space="preserve">la situación </w:t>
      </w:r>
      <w:r w:rsidRPr="00F2371D">
        <w:t xml:space="preserve">se considere un caso de </w:t>
      </w:r>
      <w:r w:rsidRPr="00F2371D">
        <w:rPr>
          <w:i/>
        </w:rPr>
        <w:t>fuerza mayor</w:t>
      </w:r>
      <w:r w:rsidRPr="00F2371D">
        <w:rPr>
          <w:iCs/>
        </w:rPr>
        <w:t>:</w:t>
      </w:r>
    </w:p>
    <w:p w14:paraId="6A20563E" w14:textId="77777777" w:rsidR="0057709B" w:rsidRPr="00F2371D" w:rsidRDefault="0057709B" w:rsidP="00225F71">
      <w:pPr>
        <w:ind w:left="1134" w:hanging="1134"/>
      </w:pPr>
      <w:r w:rsidRPr="00F2371D">
        <w:t>1)</w:t>
      </w:r>
      <w:r w:rsidRPr="00F2371D">
        <w:tab/>
        <w:t>El evento debe ser ajeno a la voluntad del obligado y no haber sido inducido por el mismo.</w:t>
      </w:r>
    </w:p>
    <w:p w14:paraId="759981D4" w14:textId="77777777" w:rsidR="0057709B" w:rsidRPr="00F2371D" w:rsidRDefault="0057709B" w:rsidP="00225F71">
      <w:pPr>
        <w:ind w:left="1134" w:hanging="1134"/>
      </w:pPr>
      <w:r w:rsidRPr="00F2371D">
        <w:t>2)</w:t>
      </w:r>
      <w:r w:rsidRPr="00F2371D">
        <w:tab/>
        <w:t>El evento que constituye la fuerza mayor debe ser imprevisto o, de haberse previsto, debe ser inevitable o irresistible.</w:t>
      </w:r>
    </w:p>
    <w:p w14:paraId="1D16A525" w14:textId="77777777" w:rsidR="0057709B" w:rsidRPr="00F2371D" w:rsidRDefault="0057709B" w:rsidP="00225F71">
      <w:pPr>
        <w:ind w:left="1134" w:hanging="1134"/>
      </w:pPr>
      <w:r w:rsidRPr="00F2371D">
        <w:t>3)</w:t>
      </w:r>
      <w:r w:rsidRPr="00F2371D">
        <w:tab/>
        <w:t>El evento debe impedir el cumplimiento de la obligación por parte del obligado.</w:t>
      </w:r>
    </w:p>
    <w:p w14:paraId="08CA2B20" w14:textId="77777777" w:rsidR="0057709B" w:rsidRPr="00F2371D" w:rsidRDefault="0057709B" w:rsidP="00225F71">
      <w:pPr>
        <w:ind w:left="1134" w:hanging="1134"/>
      </w:pPr>
      <w:r w:rsidRPr="00F2371D">
        <w:t>4)</w:t>
      </w:r>
      <w:r w:rsidRPr="00F2371D">
        <w:tab/>
        <w:t>Debe existir una relación de causalidad entre el hecho que constituye fuerza mayor y el incumplimiento por parte del sujeto de obligación.</w:t>
      </w:r>
    </w:p>
    <w:p w14:paraId="57A1D3E9" w14:textId="722C0DAB" w:rsidR="006315ED" w:rsidRPr="00F2371D" w:rsidRDefault="0057709B" w:rsidP="006315ED">
      <w:r w:rsidRPr="00F2371D">
        <w:t>A fin de</w:t>
      </w:r>
      <w:r w:rsidR="006315ED" w:rsidRPr="00F2371D">
        <w:t xml:space="preserve"> mejorar la calidad de las </w:t>
      </w:r>
      <w:r w:rsidRPr="00F2371D">
        <w:t>c</w:t>
      </w:r>
      <w:r w:rsidR="006315ED" w:rsidRPr="00F2371D">
        <w:t>omunicaciones de las administraciones y reducir</w:t>
      </w:r>
      <w:r w:rsidRPr="00F2371D">
        <w:t xml:space="preserve"> tanto</w:t>
      </w:r>
      <w:r w:rsidR="006315ED" w:rsidRPr="00F2371D">
        <w:t xml:space="preserve"> las solicitudes de aclaraciones adicionales por parte de la</w:t>
      </w:r>
      <w:r w:rsidRPr="00F2371D">
        <w:t xml:space="preserve"> Junta, como </w:t>
      </w:r>
      <w:r w:rsidR="006315ED" w:rsidRPr="00F2371D">
        <w:t>los retrasos</w:t>
      </w:r>
      <w:r w:rsidRPr="00F2371D">
        <w:t xml:space="preserve"> conexos en la tramitación de los casos</w:t>
      </w:r>
      <w:r w:rsidR="006315ED" w:rsidRPr="00F2371D">
        <w:t xml:space="preserve">, la Junta </w:t>
      </w:r>
      <w:r w:rsidRPr="00F2371D">
        <w:t>propone</w:t>
      </w:r>
      <w:r w:rsidR="006315ED" w:rsidRPr="00F2371D">
        <w:t xml:space="preserve"> que la CMR-23 confirme que, </w:t>
      </w:r>
      <w:r w:rsidR="006315ED" w:rsidRPr="00F2371D">
        <w:rPr>
          <w:b/>
          <w:bCs/>
          <w:u w:val="single"/>
        </w:rPr>
        <w:t>como</w:t>
      </w:r>
      <w:r w:rsidR="006315ED" w:rsidRPr="00F2371D">
        <w:rPr>
          <w:u w:val="single"/>
        </w:rPr>
        <w:t xml:space="preserve"> </w:t>
      </w:r>
      <w:r w:rsidR="006315ED" w:rsidRPr="00F2371D">
        <w:rPr>
          <w:b/>
          <w:bCs/>
          <w:u w:val="single"/>
        </w:rPr>
        <w:t>mínimo</w:t>
      </w:r>
      <w:r w:rsidR="006315ED" w:rsidRPr="00F2371D">
        <w:t>, se</w:t>
      </w:r>
      <w:r w:rsidRPr="00F2371D">
        <w:t xml:space="preserve"> ha de</w:t>
      </w:r>
      <w:r w:rsidR="006315ED" w:rsidRPr="00F2371D">
        <w:t xml:space="preserve"> proporcion</w:t>
      </w:r>
      <w:r w:rsidRPr="00F2371D">
        <w:t>ar</w:t>
      </w:r>
      <w:r w:rsidR="006315ED" w:rsidRPr="00F2371D">
        <w:t xml:space="preserve"> la</w:t>
      </w:r>
      <w:r w:rsidRPr="00F2371D">
        <w:t xml:space="preserve"> siguiente</w:t>
      </w:r>
      <w:r w:rsidR="006315ED" w:rsidRPr="00F2371D">
        <w:t xml:space="preserve"> información para facilitar el examen por la Junta de </w:t>
      </w:r>
      <w:r w:rsidRPr="00F2371D">
        <w:t>las</w:t>
      </w:r>
      <w:r w:rsidR="006315ED" w:rsidRPr="00F2371D">
        <w:t xml:space="preserve"> solicitud</w:t>
      </w:r>
      <w:r w:rsidRPr="00F2371D">
        <w:t>es</w:t>
      </w:r>
      <w:r w:rsidR="006315ED" w:rsidRPr="00F2371D">
        <w:t xml:space="preserve"> de prórroga de plazo</w:t>
      </w:r>
      <w:r w:rsidR="002B4BA1" w:rsidRPr="00F2371D">
        <w:t>s</w:t>
      </w:r>
      <w:r w:rsidR="006315ED" w:rsidRPr="00F2371D">
        <w:t xml:space="preserve"> reglamentario</w:t>
      </w:r>
      <w:r w:rsidR="002B4BA1" w:rsidRPr="00F2371D">
        <w:t>s</w:t>
      </w:r>
      <w:r w:rsidRPr="00F2371D">
        <w:t xml:space="preserve"> en las que se aleguen casos de</w:t>
      </w:r>
      <w:r w:rsidR="006315ED" w:rsidRPr="00F2371D">
        <w:rPr>
          <w:i/>
          <w:iCs/>
        </w:rPr>
        <w:t xml:space="preserve"> fuerza mayor</w:t>
      </w:r>
      <w:r w:rsidR="006315ED" w:rsidRPr="00F2371D">
        <w:t>:</w:t>
      </w:r>
    </w:p>
    <w:p w14:paraId="1F66ACC2" w14:textId="77777777" w:rsidR="0057709B" w:rsidRPr="00F2371D" w:rsidRDefault="0057709B" w:rsidP="0057709B">
      <w:pPr>
        <w:pStyle w:val="enumlev1"/>
      </w:pPr>
      <w:r w:rsidRPr="00F2371D">
        <w:t>–</w:t>
      </w:r>
      <w:r w:rsidRPr="00F2371D">
        <w:tab/>
        <w:t>una descripción resumida del satélite que se prevé lanzar, incluidas las bandas de frecuencias pertinentes;</w:t>
      </w:r>
    </w:p>
    <w:p w14:paraId="40FE61F2" w14:textId="77777777" w:rsidR="0057709B" w:rsidRPr="00F2371D" w:rsidRDefault="0057709B" w:rsidP="0057709B">
      <w:pPr>
        <w:pStyle w:val="enumlev1"/>
      </w:pPr>
      <w:r w:rsidRPr="00F2371D">
        <w:t>–</w:t>
      </w:r>
      <w:r w:rsidRPr="00F2371D">
        <w:tab/>
        <w:t>el nombre del fabricante seleccionado para fabricar el satélite y la fecha de firma del contrato;</w:t>
      </w:r>
    </w:p>
    <w:p w14:paraId="7A006816" w14:textId="77777777" w:rsidR="0057709B" w:rsidRPr="00F2371D" w:rsidRDefault="0057709B" w:rsidP="0057709B">
      <w:pPr>
        <w:pStyle w:val="enumlev1"/>
      </w:pPr>
      <w:r w:rsidRPr="00F2371D">
        <w:t>–</w:t>
      </w:r>
      <w:r w:rsidRPr="00F2371D">
        <w:tab/>
        <w:t xml:space="preserve">el estado relativo a la fabricación del satélite antes del suceso de </w:t>
      </w:r>
      <w:r w:rsidRPr="00F2371D">
        <w:rPr>
          <w:i/>
          <w:iCs/>
        </w:rPr>
        <w:t>fuerza mayor</w:t>
      </w:r>
      <w:r w:rsidRPr="00F2371D">
        <w:t>, incluida la fecha en que se inició la fabricación y la aclaración de si estaba previsto que concluyera antes de la ventana de lanzamiento inicial;</w:t>
      </w:r>
    </w:p>
    <w:p w14:paraId="7CA618C3" w14:textId="77777777" w:rsidR="0057709B" w:rsidRPr="00F2371D" w:rsidRDefault="0057709B" w:rsidP="0057709B">
      <w:pPr>
        <w:pStyle w:val="enumlev1"/>
      </w:pPr>
      <w:r w:rsidRPr="00F2371D">
        <w:t>–</w:t>
      </w:r>
      <w:r w:rsidRPr="00F2371D">
        <w:tab/>
        <w:t>el nombre del proveedor del servicio de lanzamiento y la fecha de firma del contrato;</w:t>
      </w:r>
    </w:p>
    <w:p w14:paraId="0B10EBF3" w14:textId="77777777" w:rsidR="0057709B" w:rsidRPr="00F2371D" w:rsidRDefault="0057709B" w:rsidP="0057709B">
      <w:pPr>
        <w:pStyle w:val="enumlev1"/>
      </w:pPr>
      <w:r w:rsidRPr="00F2371D">
        <w:t>–</w:t>
      </w:r>
      <w:r w:rsidRPr="00F2371D">
        <w:tab/>
        <w:t>los esfuerzos desplegados y las medidas adoptadas o previstas para evitar el incumplimiento del plazo fijado, superar las dificultades planteadas y adelantar los plazos del proyecto en consecuencia, de ser posible, con pruebas justificativas del fabricante del satélite y/o del proveedor del servicio de lanzamiento, según proceda;</w:t>
      </w:r>
    </w:p>
    <w:p w14:paraId="23388D8A" w14:textId="252ECC6A" w:rsidR="0057709B" w:rsidRPr="00F2371D" w:rsidRDefault="0057709B" w:rsidP="0057709B">
      <w:pPr>
        <w:pStyle w:val="enumlev1"/>
      </w:pPr>
      <w:r w:rsidRPr="00F2371D">
        <w:t>–</w:t>
      </w:r>
      <w:r w:rsidRPr="00F2371D">
        <w:tab/>
        <w:t xml:space="preserve">una justificación y un análisis pormenorizados sobre la base de los cuatro requisitos de </w:t>
      </w:r>
      <w:r w:rsidRPr="00F2371D">
        <w:rPr>
          <w:i/>
          <w:iCs/>
        </w:rPr>
        <w:t>fuerza mayor</w:t>
      </w:r>
      <w:r w:rsidRPr="00F2371D">
        <w:t>:</w:t>
      </w:r>
    </w:p>
    <w:p w14:paraId="4B9AACD1" w14:textId="75A206FE" w:rsidR="0057709B" w:rsidRPr="00F2371D" w:rsidRDefault="0057709B" w:rsidP="00392E71">
      <w:pPr>
        <w:pStyle w:val="enumlev2"/>
      </w:pPr>
      <w:r w:rsidRPr="00F2371D">
        <w:lastRenderedPageBreak/>
        <w:t>1)</w:t>
      </w:r>
      <w:r w:rsidRPr="00F2371D">
        <w:tab/>
        <w:t>el evento debe ser ajeno a la voluntad del obligado y no haber sido inducido por el mismo;</w:t>
      </w:r>
    </w:p>
    <w:p w14:paraId="07E4A4EC" w14:textId="0356C636" w:rsidR="0057709B" w:rsidRPr="00F2371D" w:rsidRDefault="0057709B" w:rsidP="00392E71">
      <w:pPr>
        <w:pStyle w:val="enumlev2"/>
      </w:pPr>
      <w:r w:rsidRPr="00F2371D">
        <w:t>2)</w:t>
      </w:r>
      <w:r w:rsidRPr="00F2371D">
        <w:tab/>
        <w:t xml:space="preserve">el evento que constituye la </w:t>
      </w:r>
      <w:r w:rsidRPr="00F2371D">
        <w:rPr>
          <w:i/>
          <w:iCs/>
        </w:rPr>
        <w:t>fuerza mayor</w:t>
      </w:r>
      <w:r w:rsidRPr="00F2371D">
        <w:t xml:space="preserve"> debe ser imprevisto o, de haberse previsto, debe ser inevitable o irresistible;</w:t>
      </w:r>
    </w:p>
    <w:p w14:paraId="6997A0CA" w14:textId="283BEE4B" w:rsidR="0057709B" w:rsidRPr="00F2371D" w:rsidRDefault="0057709B" w:rsidP="00392E71">
      <w:pPr>
        <w:pStyle w:val="enumlev2"/>
      </w:pPr>
      <w:r w:rsidRPr="00F2371D">
        <w:t>3)</w:t>
      </w:r>
      <w:r w:rsidRPr="00F2371D">
        <w:tab/>
        <w:t>el evento debe impedir el cumplimiento de la obligación por parte del obligado;</w:t>
      </w:r>
    </w:p>
    <w:p w14:paraId="790041EB" w14:textId="762E26AE" w:rsidR="0057709B" w:rsidRPr="00F2371D" w:rsidRDefault="0057709B" w:rsidP="00392E71">
      <w:pPr>
        <w:pStyle w:val="enumlev2"/>
      </w:pPr>
      <w:r w:rsidRPr="00F2371D">
        <w:t>4)</w:t>
      </w:r>
      <w:r w:rsidRPr="00F2371D">
        <w:tab/>
        <w:t xml:space="preserve">debe existir una relación de causalidad entre el hecho que constituye </w:t>
      </w:r>
      <w:r w:rsidRPr="00F2371D">
        <w:rPr>
          <w:i/>
          <w:iCs/>
        </w:rPr>
        <w:t>fuerza mayor</w:t>
      </w:r>
      <w:r w:rsidRPr="00F2371D">
        <w:t xml:space="preserve"> y el incumplimiento por parte del sujeto de obligación</w:t>
      </w:r>
      <w:r w:rsidR="002F47FF" w:rsidRPr="00F2371D">
        <w:t>,</w:t>
      </w:r>
    </w:p>
    <w:p w14:paraId="19EDBABA" w14:textId="3A34CA39" w:rsidR="0057709B" w:rsidRPr="00F2371D" w:rsidRDefault="0057709B" w:rsidP="0057709B">
      <w:pPr>
        <w:pStyle w:val="enumlev1"/>
      </w:pPr>
      <w:r w:rsidRPr="00F2371D">
        <w:t>–</w:t>
      </w:r>
      <w:r w:rsidRPr="00F2371D">
        <w:tab/>
      </w:r>
      <w:r w:rsidR="007C4DA9" w:rsidRPr="00F2371D">
        <w:t>las etapas iniciales y revisadas del proyecto referentes</w:t>
      </w:r>
      <w:r w:rsidRPr="00F2371D">
        <w:t xml:space="preserve"> a la producción, la ventana de lanzamiento, el lanzamiento y la elevación orbital del satélite, así como el calendario para la reubicación del satélite y la realización de pruebas en órbita si, tras su lanzamiento, el satélite no se sitúa directamente en su posición orbital nominal o en su órbita no geoestacionaria</w:t>
      </w:r>
      <w:r w:rsidR="007C4DA9" w:rsidRPr="00F2371D">
        <w:t>;</w:t>
      </w:r>
    </w:p>
    <w:p w14:paraId="502129D7" w14:textId="738AAA3C" w:rsidR="0057709B" w:rsidRPr="00F2371D" w:rsidRDefault="0057709B" w:rsidP="0057709B">
      <w:pPr>
        <w:pStyle w:val="enumlev1"/>
      </w:pPr>
      <w:r w:rsidRPr="00F2371D">
        <w:t>–</w:t>
      </w:r>
      <w:r w:rsidRPr="00F2371D">
        <w:tab/>
      </w:r>
      <w:r w:rsidR="007C4DA9" w:rsidRPr="00F2371D">
        <w:t>una j</w:t>
      </w:r>
      <w:r w:rsidRPr="00F2371D">
        <w:t>ustificación pormenorizada de la duración de la prórroga solicitada, incluido un desglose de las características y del alcance del retraso producido, el retraso suplementario previsto por el fabricante y el proveedor del servicio de lanzamiento, y cualquier otra contingencia programada</w:t>
      </w:r>
      <w:r w:rsidR="007C4DA9" w:rsidRPr="00F2371D">
        <w:t>; y</w:t>
      </w:r>
    </w:p>
    <w:p w14:paraId="69D01745" w14:textId="615934FD" w:rsidR="006315ED" w:rsidRPr="00F2371D" w:rsidRDefault="0057709B" w:rsidP="006315ED">
      <w:pPr>
        <w:pStyle w:val="enumlev1"/>
      </w:pPr>
      <w:r w:rsidRPr="00F2371D">
        <w:t>–</w:t>
      </w:r>
      <w:r w:rsidRPr="00F2371D">
        <w:tab/>
      </w:r>
      <w:r w:rsidR="007C4DA9" w:rsidRPr="00F2371D">
        <w:t>c</w:t>
      </w:r>
      <w:r w:rsidRPr="00F2371D">
        <w:t>ualquier otra información y documentación pertinente.</w:t>
      </w:r>
    </w:p>
    <w:p w14:paraId="6F19902C" w14:textId="77777777" w:rsidR="006315ED" w:rsidRPr="00F2371D" w:rsidRDefault="006315ED" w:rsidP="006315ED">
      <w:pPr>
        <w:pStyle w:val="Heading3"/>
      </w:pPr>
      <w:r w:rsidRPr="00F2371D">
        <w:t>2.2.2</w:t>
      </w:r>
      <w:r w:rsidRPr="00F2371D">
        <w:tab/>
        <w:t>Comentarios</w:t>
      </w:r>
    </w:p>
    <w:p w14:paraId="42BCED95" w14:textId="707710C2" w:rsidR="006315ED" w:rsidRPr="00F2371D" w:rsidRDefault="006315ED" w:rsidP="006315ED">
      <w:r w:rsidRPr="00F2371D">
        <w:t xml:space="preserve">Canadá opina que la CMR-23 debería confirmar </w:t>
      </w:r>
      <w:r w:rsidR="00CC1BBD" w:rsidRPr="00F2371D">
        <w:t xml:space="preserve">que, como mínimo, se ha de proporcionar la información enumerada </w:t>
      </w:r>
      <w:r w:rsidR="00CC1BBD" w:rsidRPr="00F2371D">
        <w:rPr>
          <w:i/>
          <w:iCs/>
        </w:rPr>
        <w:t xml:space="preserve">supra </w:t>
      </w:r>
      <w:r w:rsidRPr="00F2371D">
        <w:t>a la Junta cuando se presente una solicitud de prórroga de</w:t>
      </w:r>
      <w:r w:rsidR="00F55115" w:rsidRPr="00F2371D">
        <w:t xml:space="preserve"> un</w:t>
      </w:r>
      <w:r w:rsidRPr="00F2371D">
        <w:t xml:space="preserve"> plazo reglamentario por</w:t>
      </w:r>
      <w:r w:rsidR="00CC1BBD" w:rsidRPr="00F2371D">
        <w:t xml:space="preserve"> motivos de</w:t>
      </w:r>
      <w:r w:rsidRPr="00F2371D">
        <w:rPr>
          <w:i/>
          <w:iCs/>
        </w:rPr>
        <w:t xml:space="preserve"> fuerza mayor</w:t>
      </w:r>
      <w:r w:rsidRPr="00F2371D">
        <w:t>. Canadá señala</w:t>
      </w:r>
      <w:r w:rsidR="00CC1BBD" w:rsidRPr="00F2371D">
        <w:t xml:space="preserve"> asimismo</w:t>
      </w:r>
      <w:r w:rsidRPr="00F2371D">
        <w:t xml:space="preserve"> que</w:t>
      </w:r>
      <w:r w:rsidR="00CC1BBD" w:rsidRPr="00F2371D">
        <w:t xml:space="preserve"> la presentación de dicha</w:t>
      </w:r>
      <w:r w:rsidRPr="00F2371D">
        <w:t xml:space="preserve"> información no garantizar</w:t>
      </w:r>
      <w:r w:rsidR="00CC1BBD" w:rsidRPr="00F2371D">
        <w:t>ía</w:t>
      </w:r>
      <w:r w:rsidRPr="00F2371D">
        <w:t xml:space="preserve"> la aprobación de la solicitud</w:t>
      </w:r>
      <w:r w:rsidR="00CC1BBD" w:rsidRPr="00F2371D">
        <w:t xml:space="preserve"> </w:t>
      </w:r>
      <w:r w:rsidR="009E4B4A" w:rsidRPr="00F2371D">
        <w:t>en cuestión</w:t>
      </w:r>
      <w:r w:rsidRPr="00F2371D">
        <w:t xml:space="preserve"> y que esa decisión s</w:t>
      </w:r>
      <w:r w:rsidR="00CC1BBD" w:rsidRPr="00F2371D">
        <w:t>eguiría</w:t>
      </w:r>
      <w:r w:rsidRPr="00F2371D">
        <w:t xml:space="preserve"> siendo competencia de la Junta.</w:t>
      </w:r>
    </w:p>
    <w:p w14:paraId="085FD733" w14:textId="22CACE73" w:rsidR="00A75DF0" w:rsidRPr="00F2371D" w:rsidRDefault="006315ED" w:rsidP="00673AC8">
      <w:r w:rsidRPr="00F2371D">
        <w:t xml:space="preserve">Además, Canadá señala que, al especificar la duración de la prórroga solicitada, la Junta no tiene en cuenta ningún período de contingencia para posibles retrasos posteriores del lanzamiento, </w:t>
      </w:r>
      <w:r w:rsidR="00505CE3" w:rsidRPr="00F2371D">
        <w:t xml:space="preserve">pues </w:t>
      </w:r>
      <w:r w:rsidRPr="00F2371D">
        <w:t xml:space="preserve">reconoce que </w:t>
      </w:r>
      <w:r w:rsidR="00505CE3" w:rsidRPr="00F2371D">
        <w:t>dichos</w:t>
      </w:r>
      <w:r w:rsidRPr="00F2371D">
        <w:t xml:space="preserve"> retrasos suelen calificarse también de </w:t>
      </w:r>
      <w:r w:rsidRPr="00F2371D">
        <w:rPr>
          <w:i/>
          <w:iCs/>
        </w:rPr>
        <w:t xml:space="preserve">fuerza mayor </w:t>
      </w:r>
      <w:r w:rsidRPr="00F2371D">
        <w:t xml:space="preserve">y, como tales, las administraciones </w:t>
      </w:r>
      <w:r w:rsidR="009F7FE5" w:rsidRPr="00F2371D">
        <w:t>que así lo requiera</w:t>
      </w:r>
      <w:r w:rsidR="009E4B4A" w:rsidRPr="00F2371D">
        <w:t>n</w:t>
      </w:r>
      <w:r w:rsidR="009F7FE5" w:rsidRPr="00F2371D">
        <w:t xml:space="preserve"> pueden</w:t>
      </w:r>
      <w:r w:rsidRPr="00F2371D">
        <w:t xml:space="preserve"> solicitar otra prórroga. Canadá apoya e</w:t>
      </w:r>
      <w:r w:rsidR="009F7FE5" w:rsidRPr="00F2371D">
        <w:t>l</w:t>
      </w:r>
      <w:r w:rsidRPr="00F2371D">
        <w:t xml:space="preserve"> enfoque adoptado por la Junta.</w:t>
      </w:r>
    </w:p>
    <w:p w14:paraId="5FCF7207" w14:textId="77777777" w:rsidR="00A75DF0" w:rsidRPr="00F2371D" w:rsidRDefault="00853CC3">
      <w:pPr>
        <w:pStyle w:val="Proposal"/>
      </w:pPr>
      <w:r w:rsidRPr="00F2371D">
        <w:tab/>
        <w:t>CAN/86A26/2</w:t>
      </w:r>
    </w:p>
    <w:p w14:paraId="36620BAE" w14:textId="77777777" w:rsidR="00673AC8" w:rsidRPr="00F2371D" w:rsidRDefault="00673AC8" w:rsidP="00673AC8">
      <w:r w:rsidRPr="00F2371D">
        <w:t>Canadá propone que la Conferencia:</w:t>
      </w:r>
    </w:p>
    <w:p w14:paraId="6A66F471" w14:textId="77A1E60A" w:rsidR="00673AC8" w:rsidRPr="00F2371D" w:rsidRDefault="00225F71" w:rsidP="00F55115">
      <w:pPr>
        <w:pStyle w:val="enumlev1"/>
      </w:pPr>
      <w:r w:rsidRPr="00F2371D">
        <w:t>–</w:t>
      </w:r>
      <w:r w:rsidRPr="00F2371D">
        <w:tab/>
      </w:r>
      <w:r w:rsidR="00673AC8" w:rsidRPr="00F2371D">
        <w:t>confirm</w:t>
      </w:r>
      <w:r w:rsidR="00F55115" w:rsidRPr="00F2371D">
        <w:t>e</w:t>
      </w:r>
      <w:r w:rsidR="00673AC8" w:rsidRPr="00F2371D">
        <w:t xml:space="preserve"> </w:t>
      </w:r>
      <w:r w:rsidR="00F55115" w:rsidRPr="00F2371D">
        <w:t xml:space="preserve">que, como mínimo, se ha de proporcionar la información enumerada </w:t>
      </w:r>
      <w:r w:rsidR="00F55115" w:rsidRPr="00F2371D">
        <w:rPr>
          <w:i/>
          <w:iCs/>
        </w:rPr>
        <w:t xml:space="preserve">supra </w:t>
      </w:r>
      <w:r w:rsidR="00F55115" w:rsidRPr="00F2371D">
        <w:t>a la Junta cuando se presente una solicitud de prórroga de un plazo reglamentario por motivos de</w:t>
      </w:r>
      <w:r w:rsidR="00F55115" w:rsidRPr="00F2371D">
        <w:rPr>
          <w:i/>
          <w:iCs/>
        </w:rPr>
        <w:t xml:space="preserve"> fuerza mayor</w:t>
      </w:r>
      <w:r w:rsidR="00673AC8" w:rsidRPr="00F2371D">
        <w:t>;</w:t>
      </w:r>
    </w:p>
    <w:p w14:paraId="0ABC71EA" w14:textId="272E3F90" w:rsidR="00673AC8" w:rsidRPr="00F2371D" w:rsidRDefault="00225F71" w:rsidP="00673AC8">
      <w:pPr>
        <w:pStyle w:val="enumlev1"/>
      </w:pPr>
      <w:r w:rsidRPr="00F2371D">
        <w:t>–</w:t>
      </w:r>
      <w:r w:rsidRPr="00F2371D">
        <w:tab/>
      </w:r>
      <w:r w:rsidR="00F55115" w:rsidRPr="00F2371D">
        <w:t>encargue</w:t>
      </w:r>
      <w:r w:rsidR="00673AC8" w:rsidRPr="00F2371D">
        <w:t xml:space="preserve"> a la Junta que</w:t>
      </w:r>
      <w:r w:rsidR="00F55115" w:rsidRPr="00F2371D">
        <w:t xml:space="preserve"> incluya </w:t>
      </w:r>
      <w:r w:rsidR="00673AC8" w:rsidRPr="00F2371D">
        <w:t>la confirmación anterior y la información mínima requerida para</w:t>
      </w:r>
      <w:r w:rsidR="00F55115" w:rsidRPr="00F2371D">
        <w:t xml:space="preserve"> solicitar un</w:t>
      </w:r>
      <w:r w:rsidR="00673AC8" w:rsidRPr="00F2371D">
        <w:t>a prórroga de un plazo reglamentario por</w:t>
      </w:r>
      <w:r w:rsidR="00F55115" w:rsidRPr="00F2371D">
        <w:t xml:space="preserve"> motivos de</w:t>
      </w:r>
      <w:r w:rsidR="00673AC8" w:rsidRPr="00F2371D">
        <w:rPr>
          <w:i/>
          <w:iCs/>
        </w:rPr>
        <w:t xml:space="preserve"> fuerza mayor </w:t>
      </w:r>
      <w:r w:rsidR="00673AC8" w:rsidRPr="00F2371D">
        <w:t xml:space="preserve">en </w:t>
      </w:r>
      <w:r w:rsidR="00F55115" w:rsidRPr="00F2371D">
        <w:t>un</w:t>
      </w:r>
      <w:r w:rsidR="00673AC8" w:rsidRPr="00F2371D">
        <w:t>a nueva sección de la</w:t>
      </w:r>
      <w:r w:rsidR="00F55115" w:rsidRPr="00F2371D">
        <w:t xml:space="preserve"> RdP</w:t>
      </w:r>
      <w:r w:rsidR="00673AC8" w:rsidRPr="00F2371D">
        <w:t xml:space="preserve"> dedicada a las decisiones de la CMR</w:t>
      </w:r>
      <w:r w:rsidR="00F55115" w:rsidRPr="00F2371D">
        <w:t>;</w:t>
      </w:r>
      <w:r w:rsidR="00673AC8" w:rsidRPr="00F2371D">
        <w:t xml:space="preserve"> y</w:t>
      </w:r>
    </w:p>
    <w:p w14:paraId="7A6ACFD5" w14:textId="752BB942" w:rsidR="00673AC8" w:rsidRPr="00F2371D" w:rsidRDefault="00225F71" w:rsidP="00673AC8">
      <w:pPr>
        <w:pStyle w:val="enumlev1"/>
      </w:pPr>
      <w:r w:rsidRPr="00F2371D">
        <w:t>–</w:t>
      </w:r>
      <w:r w:rsidRPr="00F2371D">
        <w:tab/>
      </w:r>
      <w:r w:rsidR="00673AC8" w:rsidRPr="00F2371D">
        <w:t>respald</w:t>
      </w:r>
      <w:r w:rsidR="00F55115" w:rsidRPr="00F2371D">
        <w:t>e</w:t>
      </w:r>
      <w:r w:rsidR="00673AC8" w:rsidRPr="00F2371D">
        <w:t xml:space="preserve"> la práctica</w:t>
      </w:r>
      <w:r w:rsidR="00F55115" w:rsidRPr="00F2371D">
        <w:t xml:space="preserve"> adoptada por</w:t>
      </w:r>
      <w:r w:rsidR="00673AC8" w:rsidRPr="00F2371D">
        <w:t xml:space="preserve"> la Junta</w:t>
      </w:r>
      <w:r w:rsidR="00F55115" w:rsidRPr="00F2371D">
        <w:t xml:space="preserve"> en cuanto </w:t>
      </w:r>
      <w:r w:rsidR="00673AC8" w:rsidRPr="00F2371D">
        <w:t xml:space="preserve">al período de contingencia para posibles retrasos posteriores </w:t>
      </w:r>
      <w:r w:rsidR="00DD4995" w:rsidRPr="00F2371D">
        <w:t>a</w:t>
      </w:r>
      <w:r w:rsidR="00673AC8" w:rsidRPr="00F2371D">
        <w:t xml:space="preserve">l lanzamiento </w:t>
      </w:r>
      <w:r w:rsidR="00DD4995" w:rsidRPr="00F2371D">
        <w:t>en el momento de la concesión de</w:t>
      </w:r>
      <w:r w:rsidR="00673AC8" w:rsidRPr="00F2371D">
        <w:t xml:space="preserve"> una prórroga del plazo reglamentario para </w:t>
      </w:r>
      <w:r w:rsidR="00DD4995" w:rsidRPr="00F2371D">
        <w:t>la puesta en servicio o la reanudación del servicio.</w:t>
      </w:r>
    </w:p>
    <w:p w14:paraId="6EB41690" w14:textId="67C4735F" w:rsidR="00673AC8" w:rsidRPr="00F2371D" w:rsidRDefault="00673AC8" w:rsidP="00673AC8">
      <w:pPr>
        <w:pStyle w:val="Reasons"/>
      </w:pPr>
      <w:r w:rsidRPr="00F2371D">
        <w:rPr>
          <w:b/>
        </w:rPr>
        <w:t>Motivos:</w:t>
      </w:r>
      <w:r w:rsidRPr="00F2371D">
        <w:rPr>
          <w:b/>
        </w:rPr>
        <w:tab/>
      </w:r>
      <w:r w:rsidRPr="00F2371D">
        <w:t xml:space="preserve">Aclarar qué información deben facilitar, como mínimo, las administraciones al solicitar una prórroga de </w:t>
      </w:r>
      <w:r w:rsidR="00DD4995" w:rsidRPr="00F2371D">
        <w:t xml:space="preserve">un plazo </w:t>
      </w:r>
      <w:r w:rsidRPr="00F2371D">
        <w:t>reglamentario por</w:t>
      </w:r>
      <w:r w:rsidR="00DD4995" w:rsidRPr="00F2371D">
        <w:t xml:space="preserve"> motivos de</w:t>
      </w:r>
      <w:r w:rsidRPr="00F2371D">
        <w:rPr>
          <w:i/>
          <w:iCs/>
        </w:rPr>
        <w:t xml:space="preserve"> fuerza mayor</w:t>
      </w:r>
      <w:r w:rsidRPr="00F2371D">
        <w:t>.</w:t>
      </w:r>
    </w:p>
    <w:p w14:paraId="0DD279A4" w14:textId="77777777" w:rsidR="00673AC8" w:rsidRPr="00F2371D" w:rsidRDefault="00673AC8" w:rsidP="00673AC8">
      <w:pPr>
        <w:tabs>
          <w:tab w:val="clear" w:pos="1134"/>
          <w:tab w:val="clear" w:pos="1871"/>
          <w:tab w:val="clear" w:pos="2268"/>
        </w:tabs>
        <w:overflowPunct/>
        <w:autoSpaceDE/>
        <w:autoSpaceDN/>
        <w:adjustRightInd/>
        <w:spacing w:before="0"/>
        <w:textAlignment w:val="auto"/>
        <w:rPr>
          <w:b/>
        </w:rPr>
      </w:pPr>
      <w:r w:rsidRPr="00F2371D">
        <w:br w:type="page"/>
      </w:r>
    </w:p>
    <w:p w14:paraId="5E914EA2" w14:textId="2844E555" w:rsidR="00673AC8" w:rsidRPr="00F2371D" w:rsidRDefault="00673AC8" w:rsidP="00673AC8">
      <w:pPr>
        <w:pStyle w:val="Heading2"/>
      </w:pPr>
      <w:r w:rsidRPr="00F2371D">
        <w:lastRenderedPageBreak/>
        <w:t>2.3</w:t>
      </w:r>
      <w:r w:rsidR="00DD4995" w:rsidRPr="00F2371D">
        <w:tab/>
        <w:t xml:space="preserve">Casos </w:t>
      </w:r>
      <w:r w:rsidRPr="00F2371D">
        <w:t xml:space="preserve">de retraso </w:t>
      </w:r>
      <w:r w:rsidR="00DD4995" w:rsidRPr="00F2371D">
        <w:t>por lanzamiento colectivo</w:t>
      </w:r>
    </w:p>
    <w:p w14:paraId="078296B0" w14:textId="34968CB4" w:rsidR="00673AC8" w:rsidRPr="00F2371D" w:rsidRDefault="00673AC8" w:rsidP="00673AC8">
      <w:pPr>
        <w:pStyle w:val="Heading3"/>
      </w:pPr>
      <w:r w:rsidRPr="00F2371D">
        <w:t>2.3.1</w:t>
      </w:r>
      <w:r w:rsidR="00DD4995" w:rsidRPr="00F2371D">
        <w:tab/>
      </w:r>
      <w:r w:rsidRPr="00F2371D">
        <w:t>Antecedentes</w:t>
      </w:r>
      <w:r w:rsidR="00DD4995" w:rsidRPr="00F2371D">
        <w:t xml:space="preserve"> </w:t>
      </w:r>
      <w:r w:rsidRPr="00F2371D">
        <w:t>y debate</w:t>
      </w:r>
    </w:p>
    <w:p w14:paraId="37DB9EC0" w14:textId="595EE1E0" w:rsidR="00673AC8" w:rsidRPr="00F2371D" w:rsidRDefault="00A277F6" w:rsidP="00673AC8">
      <w:r w:rsidRPr="00F2371D">
        <w:t>Atendiendo a</w:t>
      </w:r>
      <w:r w:rsidR="00673AC8" w:rsidRPr="00F2371D">
        <w:t xml:space="preserve"> una recomendación de la </w:t>
      </w:r>
      <w:r w:rsidRPr="00F2371D">
        <w:t>Junta</w:t>
      </w:r>
      <w:r w:rsidR="00673AC8" w:rsidRPr="00F2371D">
        <w:t xml:space="preserve">, la CMR-19 decidió establecer </w:t>
      </w:r>
      <w:r w:rsidRPr="00F2371D">
        <w:t>una serie de</w:t>
      </w:r>
      <w:r w:rsidR="00673AC8" w:rsidRPr="00F2371D">
        <w:t xml:space="preserve"> requisitos mínimos </w:t>
      </w:r>
      <w:r w:rsidRPr="00F2371D">
        <w:t xml:space="preserve">en cuanto a la </w:t>
      </w:r>
      <w:r w:rsidR="00673AC8" w:rsidRPr="00F2371D">
        <w:t>información que deb</w:t>
      </w:r>
      <w:r w:rsidRPr="00F2371D">
        <w:t>ía</w:t>
      </w:r>
      <w:r w:rsidR="00673AC8" w:rsidRPr="00F2371D">
        <w:t xml:space="preserve"> facilitarse </w:t>
      </w:r>
      <w:r w:rsidRPr="00F2371D">
        <w:t>para solicitar una</w:t>
      </w:r>
      <w:r w:rsidR="00673AC8" w:rsidRPr="00F2371D">
        <w:t xml:space="preserve"> prórroga de </w:t>
      </w:r>
      <w:r w:rsidRPr="00F2371D">
        <w:t>un</w:t>
      </w:r>
      <w:r w:rsidR="00673AC8" w:rsidRPr="00F2371D">
        <w:t xml:space="preserve"> plazo reglamentario debido a</w:t>
      </w:r>
      <w:r w:rsidRPr="00F2371D">
        <w:t xml:space="preserve"> un</w:t>
      </w:r>
      <w:r w:rsidR="00673AC8" w:rsidRPr="00F2371D">
        <w:t xml:space="preserve"> retraso </w:t>
      </w:r>
      <w:r w:rsidRPr="00F2371D">
        <w:t>por lanzamiento colectivo</w:t>
      </w:r>
      <w:r w:rsidR="00673AC8" w:rsidRPr="00F2371D">
        <w:t>.</w:t>
      </w:r>
    </w:p>
    <w:p w14:paraId="7F660A28" w14:textId="6B7EC936" w:rsidR="00673AC8" w:rsidRPr="00F2371D" w:rsidRDefault="00673AC8" w:rsidP="00673AC8">
      <w:r w:rsidRPr="00F2371D">
        <w:t xml:space="preserve">Desde la última Conferencia, la Junta </w:t>
      </w:r>
      <w:r w:rsidR="00A277F6" w:rsidRPr="00F2371D">
        <w:t xml:space="preserve">ha examinado varias </w:t>
      </w:r>
      <w:r w:rsidRPr="00F2371D">
        <w:t xml:space="preserve">solicitudes de prórroga del plazo </w:t>
      </w:r>
      <w:r w:rsidR="00A277F6" w:rsidRPr="00F2371D">
        <w:t>reglamentario para la puesta en servicio o la reanudación del servicio</w:t>
      </w:r>
      <w:r w:rsidR="009E4B4A" w:rsidRPr="00F2371D">
        <w:t xml:space="preserve"> de una asignación</w:t>
      </w:r>
      <w:r w:rsidR="00A277F6" w:rsidRPr="00F2371D">
        <w:t xml:space="preserve"> por motivos de</w:t>
      </w:r>
      <w:r w:rsidRPr="00F2371D">
        <w:t xml:space="preserve"> </w:t>
      </w:r>
      <w:r w:rsidRPr="00F2371D">
        <w:rPr>
          <w:i/>
          <w:iCs/>
        </w:rPr>
        <w:t xml:space="preserve">fuerza mayor </w:t>
      </w:r>
      <w:r w:rsidRPr="00F2371D">
        <w:t xml:space="preserve">que, en realidad, </w:t>
      </w:r>
      <w:r w:rsidR="00A277F6" w:rsidRPr="00F2371D">
        <w:t xml:space="preserve">podían calificarse de casos </w:t>
      </w:r>
      <w:r w:rsidRPr="00F2371D">
        <w:t xml:space="preserve">de retraso </w:t>
      </w:r>
      <w:r w:rsidR="00A277F6" w:rsidRPr="00F2371D">
        <w:t>por lanzamiento colectivo</w:t>
      </w:r>
      <w:r w:rsidRPr="00F2371D">
        <w:t xml:space="preserve">. En </w:t>
      </w:r>
      <w:r w:rsidR="00A277F6" w:rsidRPr="00F2371D">
        <w:t>su momento</w:t>
      </w:r>
      <w:r w:rsidRPr="00F2371D">
        <w:t xml:space="preserve">, la Junta observó que </w:t>
      </w:r>
      <w:r w:rsidR="00B6535C" w:rsidRPr="00F2371D">
        <w:t>esa forma de proceder</w:t>
      </w:r>
      <w:r w:rsidRPr="00F2371D">
        <w:t xml:space="preserve"> (es decir, optar por solicitar una prórroga del plazo reglamentario por</w:t>
      </w:r>
      <w:r w:rsidR="00B6535C" w:rsidRPr="00F2371D">
        <w:t xml:space="preserve"> motivos de</w:t>
      </w:r>
      <w:r w:rsidRPr="00F2371D">
        <w:t xml:space="preserve"> </w:t>
      </w:r>
      <w:r w:rsidRPr="00F2371D">
        <w:rPr>
          <w:i/>
          <w:iCs/>
        </w:rPr>
        <w:t xml:space="preserve">fuerza mayor </w:t>
      </w:r>
      <w:r w:rsidRPr="00F2371D">
        <w:t>en lugar de por</w:t>
      </w:r>
      <w:r w:rsidR="00B6535C" w:rsidRPr="00F2371D">
        <w:t xml:space="preserve"> un</w:t>
      </w:r>
      <w:r w:rsidRPr="00F2371D">
        <w:t xml:space="preserve"> retraso </w:t>
      </w:r>
      <w:r w:rsidR="00A277F6" w:rsidRPr="00F2371D">
        <w:t>por lanzamiento colectivo</w:t>
      </w:r>
      <w:r w:rsidRPr="00F2371D">
        <w:t xml:space="preserve">), unido a la omisión de información importante para evaluar el cumplimiento de las cuatro condiciones </w:t>
      </w:r>
      <w:r w:rsidR="00B6535C" w:rsidRPr="00F2371D">
        <w:t xml:space="preserve">que ha de reunir una situación para considerarse un </w:t>
      </w:r>
      <w:r w:rsidRPr="00F2371D">
        <w:t xml:space="preserve">caso de </w:t>
      </w:r>
      <w:r w:rsidRPr="00F2371D">
        <w:rPr>
          <w:i/>
          <w:iCs/>
        </w:rPr>
        <w:t xml:space="preserve">fuerza mayor, </w:t>
      </w:r>
      <w:r w:rsidR="00B6535C" w:rsidRPr="00F2371D">
        <w:t xml:space="preserve">que sin embargo no se exige </w:t>
      </w:r>
      <w:r w:rsidRPr="00F2371D">
        <w:t xml:space="preserve">para un caso de retraso </w:t>
      </w:r>
      <w:r w:rsidR="00A277F6" w:rsidRPr="00F2371D">
        <w:t>por lanzamiento colectivo</w:t>
      </w:r>
      <w:r w:rsidRPr="00F2371D">
        <w:rPr>
          <w:i/>
          <w:iCs/>
        </w:rPr>
        <w:t xml:space="preserve">, </w:t>
      </w:r>
      <w:r w:rsidRPr="00F2371D">
        <w:t xml:space="preserve">provocaba retrasos innecesarios en la tramitación de las solicitudes. </w:t>
      </w:r>
    </w:p>
    <w:p w14:paraId="08A09BA4" w14:textId="33562732" w:rsidR="00673AC8" w:rsidRPr="00F2371D" w:rsidRDefault="00673AC8" w:rsidP="00673AC8">
      <w:r w:rsidRPr="00F2371D">
        <w:t xml:space="preserve">Sin embargo, al igual que </w:t>
      </w:r>
      <w:r w:rsidR="00B6535C" w:rsidRPr="00F2371D">
        <w:t>los</w:t>
      </w:r>
      <w:r w:rsidRPr="00F2371D">
        <w:t xml:space="preserve"> caso</w:t>
      </w:r>
      <w:r w:rsidR="00B6535C" w:rsidRPr="00F2371D">
        <w:t>s</w:t>
      </w:r>
      <w:r w:rsidRPr="00F2371D">
        <w:t xml:space="preserve"> de </w:t>
      </w:r>
      <w:r w:rsidRPr="00F2371D">
        <w:rPr>
          <w:i/>
          <w:iCs/>
        </w:rPr>
        <w:t>fuerza mayor</w:t>
      </w:r>
      <w:r w:rsidR="00B6535C" w:rsidRPr="00F2371D">
        <w:t>, los casos de</w:t>
      </w:r>
      <w:r w:rsidRPr="00F2371D">
        <w:rPr>
          <w:i/>
          <w:iCs/>
        </w:rPr>
        <w:t xml:space="preserve"> </w:t>
      </w:r>
      <w:r w:rsidRPr="00F2371D">
        <w:t xml:space="preserve">retraso </w:t>
      </w:r>
      <w:r w:rsidR="00A277F6" w:rsidRPr="00F2371D">
        <w:t>por lanzamiento colectivo</w:t>
      </w:r>
      <w:r w:rsidRPr="00F2371D">
        <w:t xml:space="preserve"> requería</w:t>
      </w:r>
      <w:r w:rsidR="00B6535C" w:rsidRPr="00F2371D">
        <w:t>n</w:t>
      </w:r>
      <w:r w:rsidRPr="00F2371D">
        <w:t xml:space="preserve"> una justificación sólida</w:t>
      </w:r>
      <w:r w:rsidR="00B6535C" w:rsidRPr="00F2371D">
        <w:t>, a fin de</w:t>
      </w:r>
      <w:r w:rsidRPr="00F2371D">
        <w:t xml:space="preserve"> garantizar la coherencia y la continuidad en</w:t>
      </w:r>
      <w:r w:rsidR="00B6535C" w:rsidRPr="00F2371D">
        <w:t xml:space="preserve"> la tramitación de este</w:t>
      </w:r>
      <w:r w:rsidRPr="00F2371D">
        <w:t xml:space="preserve"> tipo de solicitudes. A ese respecto, la Junta </w:t>
      </w:r>
      <w:r w:rsidR="00B6535C" w:rsidRPr="00F2371D">
        <w:t>experimentó</w:t>
      </w:r>
      <w:r w:rsidRPr="00F2371D">
        <w:t xml:space="preserve"> dificultades </w:t>
      </w:r>
      <w:r w:rsidR="00B6535C" w:rsidRPr="00F2371D">
        <w:t xml:space="preserve">con aquellas comunicaciones en las que </w:t>
      </w:r>
      <w:r w:rsidRPr="00F2371D">
        <w:t xml:space="preserve">no se establecía claramente que el plazo original se </w:t>
      </w:r>
      <w:r w:rsidR="00B6535C" w:rsidRPr="00F2371D">
        <w:t>habría</w:t>
      </w:r>
      <w:r w:rsidRPr="00F2371D">
        <w:t xml:space="preserve"> cumplido </w:t>
      </w:r>
      <w:r w:rsidR="00B6535C" w:rsidRPr="00F2371D">
        <w:t xml:space="preserve">si no se hubiera producido </w:t>
      </w:r>
      <w:r w:rsidRPr="00F2371D">
        <w:t xml:space="preserve">el retraso </w:t>
      </w:r>
      <w:r w:rsidR="00B6535C" w:rsidRPr="00F2371D">
        <w:t xml:space="preserve">en </w:t>
      </w:r>
      <w:r w:rsidRPr="00F2371D">
        <w:t>el lanzamiento y, en particular,</w:t>
      </w:r>
      <w:r w:rsidR="00B6535C" w:rsidRPr="00F2371D">
        <w:t xml:space="preserve"> en las que n</w:t>
      </w:r>
      <w:r w:rsidRPr="00F2371D">
        <w:t xml:space="preserve">o se facilitaba información </w:t>
      </w:r>
      <w:r w:rsidR="00B6535C" w:rsidRPr="00F2371D">
        <w:t>sobre la duración de la elevación y traslación orbitales necesarias para situar al satélite en su posición orbital.</w:t>
      </w:r>
    </w:p>
    <w:p w14:paraId="147FA6D7" w14:textId="19031568" w:rsidR="00673AC8" w:rsidRPr="00F2371D" w:rsidRDefault="00673AC8" w:rsidP="00673AC8">
      <w:pPr>
        <w:pStyle w:val="Heading3"/>
      </w:pPr>
      <w:r w:rsidRPr="00F2371D">
        <w:t>2.3.2</w:t>
      </w:r>
      <w:r w:rsidRPr="00F2371D">
        <w:tab/>
        <w:t>Comentarios</w:t>
      </w:r>
    </w:p>
    <w:p w14:paraId="09470228" w14:textId="03DD34D1" w:rsidR="00211014" w:rsidRPr="00F2371D" w:rsidRDefault="00673AC8" w:rsidP="00211014">
      <w:r w:rsidRPr="00F2371D">
        <w:t xml:space="preserve">Canadá </w:t>
      </w:r>
      <w:r w:rsidR="00211014" w:rsidRPr="00F2371D">
        <w:t>coincide con</w:t>
      </w:r>
      <w:r w:rsidRPr="00F2371D">
        <w:t xml:space="preserve"> la Junta e</w:t>
      </w:r>
      <w:r w:rsidR="00211014" w:rsidRPr="00F2371D">
        <w:t>n</w:t>
      </w:r>
      <w:r w:rsidRPr="00F2371D">
        <w:t xml:space="preserve"> que</w:t>
      </w:r>
      <w:r w:rsidR="00211014" w:rsidRPr="00F2371D">
        <w:t xml:space="preserve"> el hecho de invocar la </w:t>
      </w:r>
      <w:r w:rsidR="00211014" w:rsidRPr="00F2371D">
        <w:rPr>
          <w:i/>
          <w:iCs/>
        </w:rPr>
        <w:t xml:space="preserve">fuerza mayor </w:t>
      </w:r>
      <w:r w:rsidR="00211014" w:rsidRPr="00F2371D">
        <w:t xml:space="preserve">para un caso de retraso por lanzamiento colectivo no conlleva ventaja alguna, </w:t>
      </w:r>
      <w:r w:rsidRPr="00F2371D">
        <w:t>ya que, de hecho, los requisitos</w:t>
      </w:r>
      <w:r w:rsidR="00211014" w:rsidRPr="00F2371D">
        <w:t xml:space="preserve"> en materia</w:t>
      </w:r>
      <w:r w:rsidRPr="00F2371D">
        <w:t xml:space="preserve"> de información </w:t>
      </w:r>
      <w:r w:rsidR="00211014" w:rsidRPr="00F2371D">
        <w:t xml:space="preserve">aplicables </w:t>
      </w:r>
      <w:r w:rsidRPr="00F2371D">
        <w:t>a una solicitud de prórroga de un plazo reglamentario</w:t>
      </w:r>
      <w:r w:rsidR="00211014" w:rsidRPr="00F2371D">
        <w:t xml:space="preserve"> por motivos de</w:t>
      </w:r>
      <w:r w:rsidRPr="00F2371D">
        <w:rPr>
          <w:i/>
          <w:iCs/>
        </w:rPr>
        <w:t xml:space="preserve"> fuerza mayor </w:t>
      </w:r>
      <w:r w:rsidRPr="00F2371D">
        <w:t>son más sustanciales. Por otra parte, al observar algunas de las dificultades</w:t>
      </w:r>
      <w:r w:rsidR="00211014" w:rsidRPr="00F2371D">
        <w:t xml:space="preserve"> inherentes </w:t>
      </w:r>
      <w:r w:rsidRPr="00F2371D">
        <w:t xml:space="preserve">a la tramitación de </w:t>
      </w:r>
      <w:r w:rsidR="009E4B4A" w:rsidRPr="00F2371D">
        <w:t>las</w:t>
      </w:r>
      <w:r w:rsidRPr="00F2371D">
        <w:t xml:space="preserve"> solicitud</w:t>
      </w:r>
      <w:r w:rsidR="009E4B4A" w:rsidRPr="00F2371D">
        <w:t>es</w:t>
      </w:r>
      <w:r w:rsidRPr="00F2371D">
        <w:t xml:space="preserve"> de prórroga de plazo</w:t>
      </w:r>
      <w:r w:rsidR="009E4B4A" w:rsidRPr="00F2371D">
        <w:t>s</w:t>
      </w:r>
      <w:r w:rsidRPr="00F2371D">
        <w:t xml:space="preserve"> reglamentario</w:t>
      </w:r>
      <w:r w:rsidR="009E4B4A" w:rsidRPr="00F2371D">
        <w:t>s</w:t>
      </w:r>
      <w:r w:rsidRPr="00F2371D">
        <w:t xml:space="preserve"> </w:t>
      </w:r>
      <w:r w:rsidR="009E4B4A" w:rsidRPr="00F2371D">
        <w:t>basadas en</w:t>
      </w:r>
      <w:r w:rsidRPr="00F2371D">
        <w:t xml:space="preserve"> retraso</w:t>
      </w:r>
      <w:r w:rsidR="009E4B4A" w:rsidRPr="00F2371D">
        <w:t>s</w:t>
      </w:r>
      <w:r w:rsidR="00211014" w:rsidRPr="00F2371D">
        <w:t xml:space="preserve"> por lanzamiento colectivo,</w:t>
      </w:r>
      <w:r w:rsidRPr="00F2371D">
        <w:t xml:space="preserve"> Canadá también apoya el perfeccionamiento de los requisitos</w:t>
      </w:r>
      <w:r w:rsidR="00211014" w:rsidRPr="00F2371D">
        <w:t xml:space="preserve"> mínimos en materia</w:t>
      </w:r>
      <w:r w:rsidRPr="00F2371D">
        <w:t xml:space="preserve"> de información </w:t>
      </w:r>
      <w:r w:rsidR="00211014" w:rsidRPr="00F2371D">
        <w:t>a</w:t>
      </w:r>
      <w:r w:rsidRPr="00F2371D">
        <w:t>doptados por la CMR-19.</w:t>
      </w:r>
    </w:p>
    <w:p w14:paraId="72062FFB" w14:textId="77777777" w:rsidR="00A75DF0" w:rsidRPr="00F2371D" w:rsidRDefault="00853CC3">
      <w:pPr>
        <w:pStyle w:val="Proposal"/>
      </w:pPr>
      <w:r w:rsidRPr="00F2371D">
        <w:tab/>
        <w:t>CAN/86A26/3</w:t>
      </w:r>
    </w:p>
    <w:p w14:paraId="1313B5B5" w14:textId="77777777" w:rsidR="00211014" w:rsidRPr="00F2371D" w:rsidRDefault="00211014" w:rsidP="00211014">
      <w:r w:rsidRPr="00F2371D">
        <w:t>Canadá propone que la Conferencia:</w:t>
      </w:r>
    </w:p>
    <w:p w14:paraId="762E8BD6" w14:textId="29A667E7" w:rsidR="00211014" w:rsidRPr="00F2371D" w:rsidRDefault="00630320" w:rsidP="00630320">
      <w:pPr>
        <w:pStyle w:val="enumlev1"/>
      </w:pPr>
      <w:r w:rsidRPr="00F2371D">
        <w:t>–</w:t>
      </w:r>
      <w:r w:rsidRPr="00F2371D">
        <w:tab/>
      </w:r>
      <w:r w:rsidR="00211014" w:rsidRPr="00F2371D">
        <w:t>c</w:t>
      </w:r>
      <w:r w:rsidRPr="00F2371D">
        <w:t>o</w:t>
      </w:r>
      <w:r w:rsidR="00850FA3" w:rsidRPr="00F2371D">
        <w:t xml:space="preserve">nfirme que </w:t>
      </w:r>
      <w:r w:rsidRPr="00F2371D">
        <w:t xml:space="preserve">los siguientes datos adicionales </w:t>
      </w:r>
      <w:r w:rsidR="00850FA3" w:rsidRPr="00F2371D">
        <w:t>se añada</w:t>
      </w:r>
      <w:r w:rsidRPr="00F2371D">
        <w:t>n</w:t>
      </w:r>
      <w:r w:rsidR="00850FA3" w:rsidRPr="00F2371D">
        <w:t xml:space="preserve"> a los requisitos mínimos </w:t>
      </w:r>
      <w:r w:rsidRPr="00F2371D">
        <w:t xml:space="preserve">en materia </w:t>
      </w:r>
      <w:r w:rsidR="00850FA3" w:rsidRPr="00F2371D">
        <w:t xml:space="preserve">de información </w:t>
      </w:r>
      <w:r w:rsidRPr="00F2371D">
        <w:t xml:space="preserve">que </w:t>
      </w:r>
      <w:r w:rsidR="00850FA3" w:rsidRPr="00F2371D">
        <w:t xml:space="preserve">la CMR-19 </w:t>
      </w:r>
      <w:r w:rsidRPr="00F2371D">
        <w:t xml:space="preserve">adoptó </w:t>
      </w:r>
      <w:r w:rsidR="00850FA3" w:rsidRPr="00F2371D">
        <w:t>para la presentación de solicitudes de prórroga</w:t>
      </w:r>
      <w:r w:rsidR="009E4B4A" w:rsidRPr="00F2371D">
        <w:t xml:space="preserve"> de plazos reglamentarios basadas en retrasos por lanzamiento colectivo</w:t>
      </w:r>
      <w:r w:rsidR="00211014" w:rsidRPr="00F2371D">
        <w:t>:</w:t>
      </w:r>
    </w:p>
    <w:p w14:paraId="72B77B96" w14:textId="369127C2" w:rsidR="00211014" w:rsidRPr="00F2371D" w:rsidRDefault="00630320" w:rsidP="00630320">
      <w:pPr>
        <w:pStyle w:val="enumlev2"/>
      </w:pPr>
      <w:r w:rsidRPr="00F2371D">
        <w:t>•</w:t>
      </w:r>
      <w:r w:rsidRPr="00F2371D">
        <w:tab/>
        <w:t>las etapas iniciales y revisadas del proyecto referentes a la construcción, la ventana de lanzamiento, el lanzamiento y la elevación orbital del satélite, así como el calendario para la reubicación del satélite y la realización de pruebas en órbita si, tras su lanzamiento, el satélite no se sitúa directamente en su posición orbital nominal o en su órbita no geoestacionaria;</w:t>
      </w:r>
      <w:r w:rsidR="00211014" w:rsidRPr="00F2371D">
        <w:t xml:space="preserve"> y</w:t>
      </w:r>
    </w:p>
    <w:p w14:paraId="040D2A99" w14:textId="339096EA" w:rsidR="00211014" w:rsidRPr="00F2371D" w:rsidRDefault="00630320" w:rsidP="00211014">
      <w:pPr>
        <w:pStyle w:val="enumlev2"/>
      </w:pPr>
      <w:r w:rsidRPr="00F2371D">
        <w:t>•</w:t>
      </w:r>
      <w:r w:rsidRPr="00F2371D">
        <w:tab/>
        <w:t xml:space="preserve">una justificación pormenorizada de la duración de la prórroga solicitada, incluido un desglose de las características y del alcance del retraso experimentado hasta la fecha, </w:t>
      </w:r>
      <w:r w:rsidR="00211014" w:rsidRPr="00F2371D">
        <w:t>el retraso adicional previsto por el proveedor de servicios de lanzamiento y cualquier contingencia prevista</w:t>
      </w:r>
      <w:r w:rsidR="00225F71" w:rsidRPr="00F2371D">
        <w:t>,</w:t>
      </w:r>
    </w:p>
    <w:p w14:paraId="7D108A30" w14:textId="275355C4" w:rsidR="00211014" w:rsidRPr="00F2371D" w:rsidRDefault="00630320" w:rsidP="00630320">
      <w:pPr>
        <w:pStyle w:val="enumlev1"/>
      </w:pPr>
      <w:r w:rsidRPr="00F2371D">
        <w:lastRenderedPageBreak/>
        <w:t>–</w:t>
      </w:r>
      <w:r w:rsidRPr="00F2371D">
        <w:tab/>
        <w:t>encargue a la Junta que incluya la información mínima requerida para solicitar una prórroga de un plazo reglamentario debido a un retraso por lanzamiento colectivo</w:t>
      </w:r>
      <w:r w:rsidRPr="00F2371D">
        <w:rPr>
          <w:i/>
          <w:iCs/>
        </w:rPr>
        <w:t xml:space="preserve"> </w:t>
      </w:r>
      <w:r w:rsidRPr="00F2371D">
        <w:t>en una nueva sección de la RdP dedicada a las decisiones de la CMR.</w:t>
      </w:r>
    </w:p>
    <w:p w14:paraId="7E924866" w14:textId="344BC0CC" w:rsidR="00211014" w:rsidRPr="00F2371D" w:rsidRDefault="00211014" w:rsidP="00211014">
      <w:pPr>
        <w:pStyle w:val="Heading1"/>
      </w:pPr>
      <w:r w:rsidRPr="00F2371D">
        <w:t>3</w:t>
      </w:r>
      <w:r w:rsidRPr="00F2371D">
        <w:tab/>
        <w:t xml:space="preserve">Conversión de </w:t>
      </w:r>
      <w:r w:rsidR="00630320" w:rsidRPr="00F2371D">
        <w:t>adjudicaciones</w:t>
      </w:r>
      <w:r w:rsidRPr="00F2371D">
        <w:t xml:space="preserve"> nacionales en </w:t>
      </w:r>
      <w:r w:rsidR="00630320" w:rsidRPr="00F2371D">
        <w:t xml:space="preserve">el </w:t>
      </w:r>
      <w:r w:rsidRPr="00F2371D">
        <w:t>Apéndice 30B</w:t>
      </w:r>
      <w:r w:rsidR="00630320" w:rsidRPr="00F2371D">
        <w:t xml:space="preserve"> del RR</w:t>
      </w:r>
    </w:p>
    <w:p w14:paraId="4CF05FB9" w14:textId="77777777" w:rsidR="00211014" w:rsidRPr="00F2371D" w:rsidRDefault="00211014" w:rsidP="00211014">
      <w:pPr>
        <w:pStyle w:val="Heading2"/>
      </w:pPr>
      <w:r w:rsidRPr="00F2371D">
        <w:t>3.1</w:t>
      </w:r>
      <w:r w:rsidRPr="00F2371D">
        <w:tab/>
        <w:t>Antecedentes y debate</w:t>
      </w:r>
    </w:p>
    <w:p w14:paraId="3C9520FC" w14:textId="6D904079" w:rsidR="00211014" w:rsidRPr="00F2371D" w:rsidRDefault="0008435B" w:rsidP="00211014">
      <w:bookmarkStart w:id="6" w:name="lt_pId454"/>
      <w:r w:rsidRPr="00F2371D">
        <w:t>La Junta examinó una solicitud de prórroga del plazo reglamentario para la puesta en servicio de las asignaciones de frecuencias a una red de satélites que implic</w:t>
      </w:r>
      <w:r w:rsidR="009E4B4A" w:rsidRPr="00F2371D">
        <w:t>ab</w:t>
      </w:r>
      <w:r w:rsidRPr="00F2371D">
        <w:t>a la conversión de una adjudicación nacional del Apéndice </w:t>
      </w:r>
      <w:r w:rsidRPr="00F2371D">
        <w:rPr>
          <w:b/>
          <w:bCs/>
        </w:rPr>
        <w:t>30B</w:t>
      </w:r>
      <w:r w:rsidRPr="00F2371D">
        <w:t xml:space="preserve"> del RR en una asignación de frecuencias dentro de las características globales de la adjudicación inicial.</w:t>
      </w:r>
      <w:bookmarkEnd w:id="6"/>
      <w:r w:rsidRPr="00F2371D">
        <w:t xml:space="preserve"> A ese respecto concluyó</w:t>
      </w:r>
      <w:r w:rsidR="00211014" w:rsidRPr="00F2371D">
        <w:t xml:space="preserve"> que la aplicación de un plazo reglamentario para la puesta en servicio de dichas asignaciones de frecuencia</w:t>
      </w:r>
      <w:r w:rsidRPr="00F2371D">
        <w:t>s</w:t>
      </w:r>
      <w:r w:rsidR="00211014" w:rsidRPr="00F2371D">
        <w:t xml:space="preserve"> era incompatible con la finalidad del Apéndice </w:t>
      </w:r>
      <w:r w:rsidR="00211014" w:rsidRPr="00F2371D">
        <w:rPr>
          <w:b/>
          <w:bCs/>
        </w:rPr>
        <w:t xml:space="preserve">30B </w:t>
      </w:r>
      <w:r w:rsidR="00211014" w:rsidRPr="00F2371D">
        <w:t>del RR.</w:t>
      </w:r>
    </w:p>
    <w:p w14:paraId="401F4926" w14:textId="3012932F" w:rsidR="00211014" w:rsidRPr="00F2371D" w:rsidRDefault="00211014" w:rsidP="00DC47B8">
      <w:pPr>
        <w:keepNext/>
        <w:keepLines/>
      </w:pPr>
      <w:r w:rsidRPr="00F2371D">
        <w:t>La Junta observó que</w:t>
      </w:r>
      <w:r w:rsidR="0008435B" w:rsidRPr="00F2371D">
        <w:t>, en el § 1.2 del Artículo 1 del Apéndice </w:t>
      </w:r>
      <w:r w:rsidR="0008435B" w:rsidRPr="00F2371D">
        <w:rPr>
          <w:b/>
          <w:bCs/>
        </w:rPr>
        <w:t>30B</w:t>
      </w:r>
      <w:r w:rsidR="0008435B" w:rsidRPr="00F2371D">
        <w:t>, se señala que los procedimientos del Apéndice </w:t>
      </w:r>
      <w:r w:rsidR="0008435B" w:rsidRPr="00F2371D">
        <w:rPr>
          <w:b/>
          <w:bCs/>
        </w:rPr>
        <w:t>30B</w:t>
      </w:r>
      <w:r w:rsidR="0008435B" w:rsidRPr="00F2371D">
        <w:t xml:space="preserve"> «no impedirán en modo alguno la aplicación de asignaciones, de conformidad con las adjudicaciones nacionales del Plan». </w:t>
      </w:r>
      <w:r w:rsidR="00DC47B8" w:rsidRPr="00F2371D">
        <w:t>Además, si</w:t>
      </w:r>
      <w:r w:rsidR="0008435B" w:rsidRPr="00F2371D">
        <w:t xml:space="preserve"> las asignaciones de frecuencias conformes a la adjudicación del Plan no se </w:t>
      </w:r>
      <w:r w:rsidR="00DC47B8" w:rsidRPr="00F2371D">
        <w:t>ponían</w:t>
      </w:r>
      <w:r w:rsidR="0008435B" w:rsidRPr="00F2371D">
        <w:t xml:space="preserve"> en servicio antes de</w:t>
      </w:r>
      <w:r w:rsidR="00DC47B8" w:rsidRPr="00F2371D">
        <w:t xml:space="preserve"> que expirase e</w:t>
      </w:r>
      <w:r w:rsidR="0008435B" w:rsidRPr="00F2371D">
        <w:t>l plazo reglamentario especificado en los Artículos 6 y 8 del Apéndice </w:t>
      </w:r>
      <w:r w:rsidR="0008435B" w:rsidRPr="00F2371D">
        <w:rPr>
          <w:b/>
          <w:bCs/>
        </w:rPr>
        <w:t>30B</w:t>
      </w:r>
      <w:r w:rsidR="00DC47B8" w:rsidRPr="00F2371D">
        <w:t xml:space="preserve"> del RR</w:t>
      </w:r>
      <w:r w:rsidR="0008435B" w:rsidRPr="00F2371D">
        <w:t>, había que restablecer la adjudicación</w:t>
      </w:r>
      <w:r w:rsidR="00DC47B8" w:rsidRPr="00F2371D">
        <w:t>. Dicha medida</w:t>
      </w:r>
      <w:r w:rsidR="0008435B" w:rsidRPr="00F2371D">
        <w:t xml:space="preserve"> no tendría ninguna repercusión en otras administraciones, </w:t>
      </w:r>
      <w:r w:rsidR="00DC47B8" w:rsidRPr="00F2371D">
        <w:t xml:space="preserve">ya que la conversión de una adjudicación nacional en una asignación de frecuencias conforme al Plan no requería de coordinación con otras administraciones, </w:t>
      </w:r>
      <w:r w:rsidR="00D254DE" w:rsidRPr="00F2371D">
        <w:t>no obstante,</w:t>
      </w:r>
      <w:r w:rsidR="0008435B" w:rsidRPr="00F2371D">
        <w:t xml:space="preserve"> supon</w:t>
      </w:r>
      <w:r w:rsidR="00DC47B8" w:rsidRPr="00F2371D">
        <w:t>dr</w:t>
      </w:r>
      <w:r w:rsidR="0008435B" w:rsidRPr="00F2371D">
        <w:t>ía una carga administrativa adicional para la administración notificante y para la Oficina.</w:t>
      </w:r>
    </w:p>
    <w:p w14:paraId="0B461C56" w14:textId="158D68AC" w:rsidR="00211014" w:rsidRPr="00F2371D" w:rsidRDefault="00211014" w:rsidP="00211014">
      <w:r w:rsidRPr="00F2371D">
        <w:rPr>
          <w:lang w:eastAsia="zh-CN"/>
        </w:rPr>
        <w:t>Los miembros de</w:t>
      </w:r>
      <w:r w:rsidR="00DC47B8" w:rsidRPr="00F2371D">
        <w:rPr>
          <w:lang w:eastAsia="zh-CN"/>
        </w:rPr>
        <w:t xml:space="preserve"> </w:t>
      </w:r>
      <w:r w:rsidRPr="00F2371D">
        <w:rPr>
          <w:lang w:eastAsia="zh-CN"/>
        </w:rPr>
        <w:t>l</w:t>
      </w:r>
      <w:r w:rsidR="00DC47B8" w:rsidRPr="00F2371D">
        <w:rPr>
          <w:lang w:eastAsia="zh-CN"/>
        </w:rPr>
        <w:t>a</w:t>
      </w:r>
      <w:r w:rsidRPr="00F2371D">
        <w:rPr>
          <w:lang w:eastAsia="zh-CN"/>
        </w:rPr>
        <w:t xml:space="preserve"> </w:t>
      </w:r>
      <w:r w:rsidR="00DC47B8" w:rsidRPr="00F2371D">
        <w:rPr>
          <w:lang w:eastAsia="zh-CN"/>
        </w:rPr>
        <w:t>Junta</w:t>
      </w:r>
      <w:r w:rsidRPr="00F2371D">
        <w:rPr>
          <w:lang w:eastAsia="zh-CN"/>
        </w:rPr>
        <w:t xml:space="preserve"> </w:t>
      </w:r>
      <w:r w:rsidR="00DC47B8" w:rsidRPr="00F2371D">
        <w:rPr>
          <w:lang w:eastAsia="zh-CN"/>
        </w:rPr>
        <w:t>determinaron</w:t>
      </w:r>
      <w:r w:rsidRPr="00F2371D">
        <w:rPr>
          <w:lang w:eastAsia="zh-CN"/>
        </w:rPr>
        <w:t xml:space="preserve"> posibles modificaciones de los </w:t>
      </w:r>
      <w:r w:rsidR="00DC47B8" w:rsidRPr="00F2371D">
        <w:rPr>
          <w:lang w:eastAsia="zh-CN"/>
        </w:rPr>
        <w:t xml:space="preserve">Artículos </w:t>
      </w:r>
      <w:r w:rsidRPr="00F2371D">
        <w:rPr>
          <w:lang w:eastAsia="zh-CN"/>
        </w:rPr>
        <w:t xml:space="preserve">6 y 8 del Apéndice </w:t>
      </w:r>
      <w:r w:rsidRPr="00F2371D">
        <w:rPr>
          <w:b/>
          <w:bCs/>
          <w:lang w:eastAsia="zh-CN"/>
        </w:rPr>
        <w:t xml:space="preserve">30B </w:t>
      </w:r>
      <w:r w:rsidRPr="00F2371D">
        <w:rPr>
          <w:lang w:eastAsia="zh-CN"/>
        </w:rPr>
        <w:t>del RR para abordar est</w:t>
      </w:r>
      <w:r w:rsidR="00DC47B8" w:rsidRPr="00F2371D">
        <w:rPr>
          <w:lang w:eastAsia="zh-CN"/>
        </w:rPr>
        <w:t>a cuestión</w:t>
      </w:r>
      <w:r w:rsidRPr="00F2371D">
        <w:rPr>
          <w:lang w:eastAsia="zh-CN"/>
        </w:rPr>
        <w:t xml:space="preserve">. En ese contexto, </w:t>
      </w:r>
      <w:r w:rsidR="00DC47B8" w:rsidRPr="00F2371D">
        <w:rPr>
          <w:lang w:eastAsia="zh-CN"/>
        </w:rPr>
        <w:t>el plazo reglamentario para la puesta en servicio de</w:t>
      </w:r>
      <w:r w:rsidRPr="00F2371D">
        <w:rPr>
          <w:lang w:eastAsia="zh-CN"/>
        </w:rPr>
        <w:t xml:space="preserve"> las asignaciones de frecuencia</w:t>
      </w:r>
      <w:r w:rsidR="00DC47B8" w:rsidRPr="00F2371D">
        <w:rPr>
          <w:lang w:eastAsia="zh-CN"/>
        </w:rPr>
        <w:t>s</w:t>
      </w:r>
      <w:r w:rsidRPr="00F2371D">
        <w:rPr>
          <w:lang w:eastAsia="zh-CN"/>
        </w:rPr>
        <w:t xml:space="preserve"> resultantes de la conversión de una adjudicación</w:t>
      </w:r>
      <w:r w:rsidR="00DC47B8" w:rsidRPr="00F2371D">
        <w:rPr>
          <w:lang w:eastAsia="zh-CN"/>
        </w:rPr>
        <w:t>,</w:t>
      </w:r>
      <w:r w:rsidRPr="00F2371D">
        <w:rPr>
          <w:lang w:eastAsia="zh-CN"/>
        </w:rPr>
        <w:t xml:space="preserve"> dentro de la</w:t>
      </w:r>
      <w:r w:rsidR="00DC47B8" w:rsidRPr="00F2371D">
        <w:rPr>
          <w:lang w:eastAsia="zh-CN"/>
        </w:rPr>
        <w:t>s</w:t>
      </w:r>
      <w:r w:rsidRPr="00F2371D">
        <w:rPr>
          <w:lang w:eastAsia="zh-CN"/>
        </w:rPr>
        <w:t xml:space="preserve"> características</w:t>
      </w:r>
      <w:r w:rsidR="00DC47B8" w:rsidRPr="00F2371D">
        <w:rPr>
          <w:lang w:eastAsia="zh-CN"/>
        </w:rPr>
        <w:t xml:space="preserve"> globales de l</w:t>
      </w:r>
      <w:r w:rsidRPr="00F2371D">
        <w:rPr>
          <w:lang w:eastAsia="zh-CN"/>
        </w:rPr>
        <w:t>a adjudicación</w:t>
      </w:r>
      <w:r w:rsidR="00D254DE" w:rsidRPr="00F2371D">
        <w:rPr>
          <w:lang w:eastAsia="zh-CN"/>
        </w:rPr>
        <w:t xml:space="preserve"> correspondiente</w:t>
      </w:r>
      <w:r w:rsidRPr="00F2371D">
        <w:rPr>
          <w:lang w:eastAsia="zh-CN"/>
        </w:rPr>
        <w:t>, s</w:t>
      </w:r>
      <w:r w:rsidR="00DC47B8" w:rsidRPr="00F2371D">
        <w:rPr>
          <w:lang w:eastAsia="zh-CN"/>
        </w:rPr>
        <w:t>o</w:t>
      </w:r>
      <w:r w:rsidRPr="00F2371D">
        <w:rPr>
          <w:lang w:eastAsia="zh-CN"/>
        </w:rPr>
        <w:t xml:space="preserve">lo </w:t>
      </w:r>
      <w:r w:rsidR="00DC47B8" w:rsidRPr="00F2371D">
        <w:rPr>
          <w:lang w:eastAsia="zh-CN"/>
        </w:rPr>
        <w:t>debería especificarse</w:t>
      </w:r>
      <w:r w:rsidRPr="00F2371D">
        <w:rPr>
          <w:lang w:eastAsia="zh-CN"/>
        </w:rPr>
        <w:t xml:space="preserve"> en el momento de la notificación. Cabe señalar que, con arreglo a las propuestas de modificación </w:t>
      </w:r>
      <w:r w:rsidR="00DC47B8" w:rsidRPr="00F2371D">
        <w:rPr>
          <w:lang w:eastAsia="zh-CN"/>
        </w:rPr>
        <w:t>incluidas</w:t>
      </w:r>
      <w:r w:rsidRPr="00F2371D">
        <w:rPr>
          <w:lang w:eastAsia="zh-CN"/>
        </w:rPr>
        <w:t xml:space="preserve"> en el Informe de la Junta, la</w:t>
      </w:r>
      <w:r w:rsidR="00113959" w:rsidRPr="00F2371D">
        <w:rPr>
          <w:lang w:eastAsia="zh-CN"/>
        </w:rPr>
        <w:t xml:space="preserve"> comunicación </w:t>
      </w:r>
      <w:r w:rsidRPr="00F2371D">
        <w:rPr>
          <w:lang w:eastAsia="zh-CN"/>
        </w:rPr>
        <w:t xml:space="preserve">de la información de notificación con arreglo al </w:t>
      </w:r>
      <w:r w:rsidR="00113959" w:rsidRPr="00F2371D">
        <w:rPr>
          <w:lang w:eastAsia="zh-CN"/>
        </w:rPr>
        <w:t xml:space="preserve">Artículo </w:t>
      </w:r>
      <w:r w:rsidRPr="00F2371D">
        <w:rPr>
          <w:lang w:eastAsia="zh-CN"/>
        </w:rPr>
        <w:t xml:space="preserve">8 del Apéndice </w:t>
      </w:r>
      <w:r w:rsidRPr="00F2371D">
        <w:rPr>
          <w:b/>
          <w:bCs/>
          <w:lang w:eastAsia="zh-CN"/>
        </w:rPr>
        <w:t xml:space="preserve">30B </w:t>
      </w:r>
      <w:r w:rsidRPr="00F2371D">
        <w:rPr>
          <w:lang w:eastAsia="zh-CN"/>
        </w:rPr>
        <w:t>del RR</w:t>
      </w:r>
      <w:r w:rsidR="00113959" w:rsidRPr="00F2371D">
        <w:rPr>
          <w:lang w:eastAsia="zh-CN"/>
        </w:rPr>
        <w:t xml:space="preserve"> no está sujeta a ningún plazo</w:t>
      </w:r>
      <w:r w:rsidRPr="00F2371D">
        <w:rPr>
          <w:lang w:eastAsia="zh-CN"/>
        </w:rPr>
        <w:t xml:space="preserve">. </w:t>
      </w:r>
      <w:r w:rsidRPr="00F2371D">
        <w:t>La</w:t>
      </w:r>
      <w:r w:rsidR="00113959" w:rsidRPr="00F2371D">
        <w:t>s</w:t>
      </w:r>
      <w:r w:rsidRPr="00F2371D">
        <w:t xml:space="preserve"> administraci</w:t>
      </w:r>
      <w:r w:rsidR="00113959" w:rsidRPr="00F2371D">
        <w:t>ones</w:t>
      </w:r>
      <w:r w:rsidRPr="00F2371D">
        <w:t xml:space="preserve"> también podría</w:t>
      </w:r>
      <w:r w:rsidR="00113959" w:rsidRPr="00F2371D">
        <w:t>n</w:t>
      </w:r>
      <w:r w:rsidRPr="00F2371D">
        <w:t xml:space="preserve"> ampliar el plazo reglamentario para</w:t>
      </w:r>
      <w:r w:rsidR="00113959" w:rsidRPr="00F2371D">
        <w:t xml:space="preserve"> la puesta en servicio de</w:t>
      </w:r>
      <w:r w:rsidRPr="00F2371D">
        <w:t xml:space="preserve"> dichas asignaciones un máximo de tres años previa solicitud.</w:t>
      </w:r>
    </w:p>
    <w:p w14:paraId="1BB9C771" w14:textId="77777777" w:rsidR="00211014" w:rsidRPr="00F2371D" w:rsidRDefault="00211014" w:rsidP="00211014">
      <w:pPr>
        <w:pStyle w:val="Heading2"/>
      </w:pPr>
      <w:r w:rsidRPr="00F2371D">
        <w:t>3.2</w:t>
      </w:r>
      <w:r w:rsidRPr="00F2371D">
        <w:tab/>
        <w:t>Comentarios</w:t>
      </w:r>
    </w:p>
    <w:p w14:paraId="275DA318" w14:textId="295E0508" w:rsidR="00A75DF0" w:rsidRDefault="00211014" w:rsidP="00211014">
      <w:pPr>
        <w:rPr>
          <w:lang w:eastAsia="zh-CN"/>
        </w:rPr>
      </w:pPr>
      <w:r w:rsidRPr="00F2371D">
        <w:rPr>
          <w:lang w:eastAsia="zh-CN"/>
        </w:rPr>
        <w:t xml:space="preserve">Canadá está de acuerdo en que la aplicación actual del </w:t>
      </w:r>
      <w:r w:rsidRPr="00F2371D">
        <w:t xml:space="preserve">§ 6.31 del Artículo 6 del Apéndice </w:t>
      </w:r>
      <w:r w:rsidRPr="00F2371D">
        <w:rPr>
          <w:b/>
          <w:bCs/>
        </w:rPr>
        <w:t xml:space="preserve">30B </w:t>
      </w:r>
      <w:r w:rsidRPr="00F2371D">
        <w:t xml:space="preserve">del RR </w:t>
      </w:r>
      <w:r w:rsidR="00113959" w:rsidRPr="00F2371D">
        <w:t>a las</w:t>
      </w:r>
      <w:r w:rsidRPr="00F2371D">
        <w:t xml:space="preserve"> </w:t>
      </w:r>
      <w:r w:rsidRPr="00F2371D">
        <w:rPr>
          <w:lang w:eastAsia="zh-CN"/>
        </w:rPr>
        <w:t xml:space="preserve">asignaciones de </w:t>
      </w:r>
      <w:r w:rsidR="00113959" w:rsidRPr="00F2371D">
        <w:rPr>
          <w:lang w:eastAsia="zh-CN"/>
        </w:rPr>
        <w:t xml:space="preserve">frecuencias resultantes de la conversión de una adjudicación sin modificaciones, o con modificaciones dentro de las características globales </w:t>
      </w:r>
      <w:r w:rsidRPr="00F2371D">
        <w:rPr>
          <w:lang w:eastAsia="zh-CN"/>
        </w:rPr>
        <w:t xml:space="preserve">de una adjudicación </w:t>
      </w:r>
      <w:r w:rsidR="00113959" w:rsidRPr="00F2371D">
        <w:rPr>
          <w:lang w:eastAsia="zh-CN"/>
        </w:rPr>
        <w:t>d</w:t>
      </w:r>
      <w:r w:rsidRPr="00F2371D">
        <w:rPr>
          <w:lang w:eastAsia="zh-CN"/>
        </w:rPr>
        <w:t>el Plan</w:t>
      </w:r>
      <w:r w:rsidR="00113959" w:rsidRPr="00F2371D">
        <w:rPr>
          <w:lang w:eastAsia="zh-CN"/>
        </w:rPr>
        <w:t>,</w:t>
      </w:r>
      <w:r w:rsidRPr="00F2371D">
        <w:rPr>
          <w:lang w:eastAsia="zh-CN"/>
        </w:rPr>
        <w:t xml:space="preserve"> es </w:t>
      </w:r>
      <w:r w:rsidR="00D254DE" w:rsidRPr="00F2371D">
        <w:rPr>
          <w:lang w:eastAsia="zh-CN"/>
        </w:rPr>
        <w:t>contraria al</w:t>
      </w:r>
      <w:r w:rsidRPr="00F2371D">
        <w:rPr>
          <w:lang w:eastAsia="zh-CN"/>
        </w:rPr>
        <w:t xml:space="preserve"> objetivo de</w:t>
      </w:r>
      <w:r w:rsidR="00113959" w:rsidRPr="00F2371D">
        <w:rPr>
          <w:lang w:eastAsia="zh-CN"/>
        </w:rPr>
        <w:t xml:space="preserve"> garantizar un</w:t>
      </w:r>
      <w:r w:rsidRPr="00F2371D">
        <w:rPr>
          <w:lang w:eastAsia="zh-CN"/>
        </w:rPr>
        <w:t xml:space="preserve"> acceso equitativo a los recursos espectrales y orbitales al utilizar</w:t>
      </w:r>
      <w:r w:rsidR="00113959" w:rsidRPr="00F2371D">
        <w:rPr>
          <w:lang w:eastAsia="zh-CN"/>
        </w:rPr>
        <w:t xml:space="preserve"> las</w:t>
      </w:r>
      <w:r w:rsidRPr="00F2371D">
        <w:rPr>
          <w:lang w:eastAsia="zh-CN"/>
        </w:rPr>
        <w:t xml:space="preserve"> asignaciones resultantes de la conversión de adjudicaciones nacionales sin </w:t>
      </w:r>
      <w:r w:rsidR="00113959" w:rsidRPr="00F2371D">
        <w:rPr>
          <w:lang w:eastAsia="zh-CN"/>
        </w:rPr>
        <w:t xml:space="preserve">imponer una </w:t>
      </w:r>
      <w:r w:rsidRPr="00F2371D">
        <w:rPr>
          <w:lang w:eastAsia="zh-CN"/>
        </w:rPr>
        <w:t xml:space="preserve">fecha </w:t>
      </w:r>
      <w:r w:rsidR="00113959" w:rsidRPr="00F2371D">
        <w:rPr>
          <w:lang w:eastAsia="zh-CN"/>
        </w:rPr>
        <w:t>límite</w:t>
      </w:r>
      <w:r w:rsidRPr="00F2371D">
        <w:rPr>
          <w:lang w:eastAsia="zh-CN"/>
        </w:rPr>
        <w:t xml:space="preserve"> y crea una carga administrativa innecesaria tanto para las administraciones notificantes como para </w:t>
      </w:r>
      <w:r w:rsidR="00113959" w:rsidRPr="00F2371D">
        <w:rPr>
          <w:lang w:eastAsia="zh-CN"/>
        </w:rPr>
        <w:t>l</w:t>
      </w:r>
      <w:r w:rsidRPr="00F2371D">
        <w:rPr>
          <w:lang w:eastAsia="zh-CN"/>
        </w:rPr>
        <w:t>a Oficina.</w:t>
      </w:r>
    </w:p>
    <w:p w14:paraId="16F3DC66" w14:textId="77777777" w:rsidR="00D01192" w:rsidRPr="00F2371D" w:rsidRDefault="00D01192" w:rsidP="00D01192">
      <w:pPr>
        <w:pStyle w:val="Reasons"/>
      </w:pPr>
    </w:p>
    <w:p w14:paraId="4E469B2C" w14:textId="77777777" w:rsidR="00A75DF0" w:rsidRPr="00F2371D" w:rsidRDefault="00853CC3">
      <w:pPr>
        <w:pStyle w:val="Proposal"/>
      </w:pPr>
      <w:r w:rsidRPr="00F2371D">
        <w:tab/>
        <w:t>CAN/86A26/4</w:t>
      </w:r>
    </w:p>
    <w:p w14:paraId="1F2E6B1C" w14:textId="4CD293D7" w:rsidR="00C6151D" w:rsidRPr="00F2371D" w:rsidRDefault="00C6151D" w:rsidP="00C6151D">
      <w:pPr>
        <w:rPr>
          <w:lang w:eastAsia="zh-CN"/>
        </w:rPr>
      </w:pPr>
      <w:r w:rsidRPr="00F2371D">
        <w:rPr>
          <w:lang w:eastAsia="zh-CN"/>
        </w:rPr>
        <w:t xml:space="preserve">Canadá propone que la </w:t>
      </w:r>
      <w:r w:rsidRPr="00F2371D">
        <w:t xml:space="preserve">Conferencia invite al </w:t>
      </w:r>
      <w:r w:rsidRPr="00F2371D">
        <w:rPr>
          <w:lang w:eastAsia="zh-CN"/>
        </w:rPr>
        <w:t xml:space="preserve">UIT-R </w:t>
      </w:r>
      <w:r w:rsidRPr="00F2371D">
        <w:t xml:space="preserve">a estudiar la cuestión, a fin de introducir las modificaciones necesarias en el Apéndice </w:t>
      </w:r>
      <w:r w:rsidRPr="00F2371D">
        <w:rPr>
          <w:b/>
          <w:bCs/>
        </w:rPr>
        <w:t xml:space="preserve">30B </w:t>
      </w:r>
      <w:r w:rsidRPr="00F2371D">
        <w:t xml:space="preserve">del RR, de </w:t>
      </w:r>
      <w:r w:rsidR="002D39FE" w:rsidRPr="00F2371D">
        <w:t>tal manera que la imposibilidad de poner</w:t>
      </w:r>
      <w:r w:rsidRPr="00F2371D">
        <w:t xml:space="preserve"> en servici</w:t>
      </w:r>
      <w:r w:rsidR="002D39FE" w:rsidRPr="00F2371D">
        <w:t>o</w:t>
      </w:r>
      <w:r w:rsidRPr="00F2371D">
        <w:t xml:space="preserve"> una </w:t>
      </w:r>
      <w:r w:rsidRPr="00F2371D">
        <w:rPr>
          <w:lang w:eastAsia="zh-CN"/>
        </w:rPr>
        <w:t>asignación de frecuencia</w:t>
      </w:r>
      <w:r w:rsidR="002D39FE" w:rsidRPr="00F2371D">
        <w:rPr>
          <w:lang w:eastAsia="zh-CN"/>
        </w:rPr>
        <w:t xml:space="preserve">s resultante de la conversión de una adjudicación sin modificaciones, o con modificaciones dentro de las características globales de una adjudicación del Plan, </w:t>
      </w:r>
      <w:r w:rsidRPr="00F2371D">
        <w:rPr>
          <w:lang w:eastAsia="zh-CN"/>
        </w:rPr>
        <w:t xml:space="preserve">no suponga una carga innecesaria </w:t>
      </w:r>
      <w:r w:rsidR="002D39FE" w:rsidRPr="00F2371D">
        <w:rPr>
          <w:lang w:eastAsia="zh-CN"/>
        </w:rPr>
        <w:t xml:space="preserve">ni </w:t>
      </w:r>
      <w:r w:rsidRPr="00F2371D">
        <w:rPr>
          <w:lang w:eastAsia="zh-CN"/>
        </w:rPr>
        <w:t>para la administración notificante</w:t>
      </w:r>
      <w:r w:rsidR="002D39FE" w:rsidRPr="00F2371D">
        <w:rPr>
          <w:lang w:eastAsia="zh-CN"/>
        </w:rPr>
        <w:t>, ni</w:t>
      </w:r>
      <w:r w:rsidRPr="00F2371D">
        <w:rPr>
          <w:lang w:eastAsia="zh-CN"/>
        </w:rPr>
        <w:t xml:space="preserve"> para </w:t>
      </w:r>
      <w:r w:rsidR="002D39FE" w:rsidRPr="00F2371D">
        <w:rPr>
          <w:lang w:eastAsia="zh-CN"/>
        </w:rPr>
        <w:t>l</w:t>
      </w:r>
      <w:r w:rsidRPr="00F2371D">
        <w:rPr>
          <w:lang w:eastAsia="zh-CN"/>
        </w:rPr>
        <w:t>a Oficina.</w:t>
      </w:r>
    </w:p>
    <w:p w14:paraId="52CFC1A6" w14:textId="58C0CC81" w:rsidR="00C6151D" w:rsidRPr="00F2371D" w:rsidRDefault="00C6151D" w:rsidP="00C6151D">
      <w:pPr>
        <w:pStyle w:val="Reasons"/>
      </w:pPr>
      <w:r w:rsidRPr="00F2371D">
        <w:rPr>
          <w:b/>
        </w:rPr>
        <w:lastRenderedPageBreak/>
        <w:t xml:space="preserve">Motivos: </w:t>
      </w:r>
      <w:r w:rsidRPr="00F2371D">
        <w:rPr>
          <w:b/>
        </w:rPr>
        <w:tab/>
      </w:r>
      <w:r w:rsidRPr="00F2371D">
        <w:rPr>
          <w:bCs/>
        </w:rPr>
        <w:t xml:space="preserve">Estudiar </w:t>
      </w:r>
      <w:r w:rsidR="002D39FE" w:rsidRPr="00F2371D">
        <w:rPr>
          <w:bCs/>
        </w:rPr>
        <w:t>posibles</w:t>
      </w:r>
      <w:r w:rsidRPr="00F2371D">
        <w:rPr>
          <w:bCs/>
        </w:rPr>
        <w:t xml:space="preserve"> modificaciones del Apéndice </w:t>
      </w:r>
      <w:r w:rsidRPr="00F2371D">
        <w:rPr>
          <w:b/>
        </w:rPr>
        <w:t xml:space="preserve">30B </w:t>
      </w:r>
      <w:r w:rsidRPr="00F2371D">
        <w:rPr>
          <w:bCs/>
        </w:rPr>
        <w:t>del RR</w:t>
      </w:r>
      <w:r w:rsidR="002D39FE" w:rsidRPr="00F2371D">
        <w:rPr>
          <w:bCs/>
        </w:rPr>
        <w:t xml:space="preserve"> para</w:t>
      </w:r>
      <w:r w:rsidRPr="00F2371D">
        <w:rPr>
          <w:bCs/>
        </w:rPr>
        <w:t xml:space="preserve"> eliminar obstáculos</w:t>
      </w:r>
      <w:r w:rsidR="002D39FE" w:rsidRPr="00F2371D">
        <w:rPr>
          <w:bCs/>
        </w:rPr>
        <w:t>, con objeto de</w:t>
      </w:r>
      <w:r w:rsidRPr="00F2371D">
        <w:rPr>
          <w:bCs/>
        </w:rPr>
        <w:t xml:space="preserve"> simplificar aún más </w:t>
      </w:r>
      <w:r w:rsidRPr="00F2371D">
        <w:t xml:space="preserve">la </w:t>
      </w:r>
      <w:r w:rsidR="002D39FE" w:rsidRPr="00F2371D">
        <w:t>implementación</w:t>
      </w:r>
      <w:r w:rsidRPr="00F2371D">
        <w:t xml:space="preserve"> de las asignaciones de frecuencias resultantes de </w:t>
      </w:r>
      <w:r w:rsidR="002D39FE" w:rsidRPr="00F2371D">
        <w:t>la</w:t>
      </w:r>
      <w:r w:rsidRPr="00F2371D">
        <w:t xml:space="preserve"> conversión de una adjudicación del Apéndice </w:t>
      </w:r>
      <w:r w:rsidRPr="00F2371D">
        <w:rPr>
          <w:b/>
          <w:bCs/>
        </w:rPr>
        <w:t xml:space="preserve">30B </w:t>
      </w:r>
      <w:r w:rsidRPr="00F2371D">
        <w:t xml:space="preserve">del RR y reducir la carga administrativa tanto para </w:t>
      </w:r>
      <w:r w:rsidR="002D39FE" w:rsidRPr="00F2371D">
        <w:rPr>
          <w:lang w:eastAsia="zh-CN"/>
        </w:rPr>
        <w:t>la administración notificante</w:t>
      </w:r>
      <w:r w:rsidR="002D39FE" w:rsidRPr="00F2371D">
        <w:t xml:space="preserve"> </w:t>
      </w:r>
      <w:r w:rsidRPr="00F2371D">
        <w:t xml:space="preserve">como para </w:t>
      </w:r>
      <w:r w:rsidR="002D39FE" w:rsidRPr="00F2371D">
        <w:t>l</w:t>
      </w:r>
      <w:r w:rsidRPr="00F2371D">
        <w:t>a Oficina.</w:t>
      </w:r>
    </w:p>
    <w:p w14:paraId="0744EB27" w14:textId="528D9161" w:rsidR="00C6151D" w:rsidRPr="00F2371D" w:rsidRDefault="00C6151D" w:rsidP="00C6151D">
      <w:pPr>
        <w:pStyle w:val="Heading1"/>
      </w:pPr>
      <w:r w:rsidRPr="00F2371D">
        <w:t>4</w:t>
      </w:r>
      <w:r w:rsidRPr="00F2371D">
        <w:tab/>
        <w:t>Dificultades que afectan a la coordinación de</w:t>
      </w:r>
      <w:r w:rsidR="002D39FE" w:rsidRPr="00F2371D">
        <w:t xml:space="preserve"> las</w:t>
      </w:r>
      <w:r w:rsidRPr="00F2371D">
        <w:t xml:space="preserve"> red</w:t>
      </w:r>
      <w:r w:rsidR="002D39FE" w:rsidRPr="00F2371D">
        <w:t>es</w:t>
      </w:r>
      <w:r w:rsidRPr="00F2371D">
        <w:t xml:space="preserve"> de satélites</w:t>
      </w:r>
    </w:p>
    <w:p w14:paraId="79FDF594" w14:textId="77777777" w:rsidR="00C6151D" w:rsidRPr="00F2371D" w:rsidRDefault="00C6151D" w:rsidP="00C6151D">
      <w:pPr>
        <w:pStyle w:val="Heading2"/>
      </w:pPr>
      <w:r w:rsidRPr="00F2371D">
        <w:t>4.1</w:t>
      </w:r>
      <w:r w:rsidRPr="00F2371D">
        <w:tab/>
        <w:t>Antecedentes y debate</w:t>
      </w:r>
    </w:p>
    <w:p w14:paraId="1EC33ABC" w14:textId="2977E32D" w:rsidR="00C6151D" w:rsidRPr="00F2371D" w:rsidRDefault="00C6151D" w:rsidP="00FF6208">
      <w:r w:rsidRPr="00F2371D">
        <w:t xml:space="preserve">La Junta ha </w:t>
      </w:r>
      <w:r w:rsidR="00FF6208" w:rsidRPr="00F2371D">
        <w:t>examinado</w:t>
      </w:r>
      <w:r w:rsidRPr="00F2371D">
        <w:t xml:space="preserve"> casos en los que las asignaciones se </w:t>
      </w:r>
      <w:r w:rsidR="00FF6208" w:rsidRPr="00F2371D">
        <w:t xml:space="preserve">han notificado y puesto </w:t>
      </w:r>
      <w:r w:rsidRPr="00F2371D">
        <w:t xml:space="preserve">en </w:t>
      </w:r>
      <w:r w:rsidR="00FF6208" w:rsidRPr="00F2371D">
        <w:t>servicio</w:t>
      </w:r>
      <w:r w:rsidRPr="00F2371D">
        <w:t xml:space="preserve"> antes de </w:t>
      </w:r>
      <w:r w:rsidR="00FF6208" w:rsidRPr="00F2371D">
        <w:t xml:space="preserve">finalizar las primera etapas del proceso de </w:t>
      </w:r>
      <w:r w:rsidRPr="00F2371D">
        <w:t>coordinación,</w:t>
      </w:r>
      <w:r w:rsidR="00FF6208" w:rsidRPr="00F2371D">
        <w:t xml:space="preserve"> o incluido de iniciar el proceso en cuestión</w:t>
      </w:r>
      <w:r w:rsidRPr="00F2371D">
        <w:t>. La Junta observó que</w:t>
      </w:r>
      <w:r w:rsidR="00FF6208" w:rsidRPr="00F2371D">
        <w:t xml:space="preserve"> el éxito en la </w:t>
      </w:r>
      <w:r w:rsidRPr="00F2371D">
        <w:t xml:space="preserve">coordinación </w:t>
      </w:r>
      <w:r w:rsidR="00FF6208" w:rsidRPr="00F2371D">
        <w:t>dependía d</w:t>
      </w:r>
      <w:r w:rsidRPr="00F2371D">
        <w:t>e la buena voluntad de las administraciones implicadas y</w:t>
      </w:r>
      <w:r w:rsidR="00FF6208" w:rsidRPr="00F2371D">
        <w:t xml:space="preserve"> que, con frecuencia,</w:t>
      </w:r>
      <w:r w:rsidRPr="00F2371D">
        <w:t xml:space="preserve"> </w:t>
      </w:r>
      <w:r w:rsidR="00FF6208" w:rsidRPr="00F2371D">
        <w:t xml:space="preserve">las controversias acerca de la prioridad de la fecha de protección y los problemas que planteaban las prácticas </w:t>
      </w:r>
      <w:r w:rsidR="00CB735E" w:rsidRPr="00F2371D">
        <w:t>encaminadas a la</w:t>
      </w:r>
      <w:r w:rsidR="00FF6208" w:rsidRPr="00F2371D">
        <w:t xml:space="preserve"> reserva de espectro habían conducido las negociaciones de coordinación a puntos muertos.</w:t>
      </w:r>
      <w:r w:rsidRPr="00F2371D">
        <w:t xml:space="preserve"> En particular, la Junta observó que, de conformidad con la </w:t>
      </w:r>
      <w:r w:rsidR="00FF6208" w:rsidRPr="00F2371D">
        <w:t>RdP</w:t>
      </w:r>
      <w:r w:rsidRPr="00F2371D">
        <w:t xml:space="preserve"> relativa al número </w:t>
      </w:r>
      <w:r w:rsidRPr="00F2371D">
        <w:rPr>
          <w:b/>
          <w:bCs/>
        </w:rPr>
        <w:t>9.6</w:t>
      </w:r>
      <w:r w:rsidRPr="00F2371D">
        <w:t xml:space="preserve"> del RR, </w:t>
      </w:r>
      <w:r w:rsidR="00FF6208" w:rsidRPr="00F2371D">
        <w:t xml:space="preserve">ninguna administración obtenía prioridad particular alguna como resultado de iniciar en primer lugar la fase de publicación anticipada </w:t>
      </w:r>
      <w:r w:rsidRPr="00F2371D">
        <w:t xml:space="preserve">o la solicitud de coordinación. Además, aunque el número </w:t>
      </w:r>
      <w:r w:rsidRPr="00F2371D">
        <w:rPr>
          <w:b/>
          <w:bCs/>
        </w:rPr>
        <w:t xml:space="preserve">11.41 </w:t>
      </w:r>
      <w:r w:rsidRPr="00F2371D">
        <w:t>del RR permit</w:t>
      </w:r>
      <w:r w:rsidR="00CB735E" w:rsidRPr="00F2371D">
        <w:t>ía</w:t>
      </w:r>
      <w:r w:rsidRPr="00F2371D">
        <w:t xml:space="preserve"> la notificación</w:t>
      </w:r>
      <w:r w:rsidR="00CB735E" w:rsidRPr="00F2371D">
        <w:t xml:space="preserve"> de asignaciones</w:t>
      </w:r>
      <w:r w:rsidRPr="00F2371D">
        <w:t xml:space="preserve"> </w:t>
      </w:r>
      <w:r w:rsidR="00D254DE" w:rsidRPr="00F2371D">
        <w:t>antes de</w:t>
      </w:r>
      <w:r w:rsidRPr="00F2371D">
        <w:t xml:space="preserve"> completar </w:t>
      </w:r>
      <w:r w:rsidR="00CB735E" w:rsidRPr="00F2371D">
        <w:t>el proceso de</w:t>
      </w:r>
      <w:r w:rsidRPr="00F2371D">
        <w:t xml:space="preserve"> coordinación</w:t>
      </w:r>
      <w:r w:rsidR="00CB735E" w:rsidRPr="00F2371D">
        <w:t>,</w:t>
      </w:r>
      <w:r w:rsidRPr="00F2371D">
        <w:t xml:space="preserve"> siempre que se h</w:t>
      </w:r>
      <w:r w:rsidR="00CB735E" w:rsidRPr="00F2371D">
        <w:t>ubiera</w:t>
      </w:r>
      <w:r w:rsidRPr="00F2371D">
        <w:t xml:space="preserve"> hecho un esfuerzo p</w:t>
      </w:r>
      <w:r w:rsidR="00CB735E" w:rsidRPr="00F2371D">
        <w:t>or</w:t>
      </w:r>
      <w:r w:rsidRPr="00F2371D">
        <w:t xml:space="preserve"> completar</w:t>
      </w:r>
      <w:r w:rsidR="00CB735E" w:rsidRPr="00F2371D">
        <w:t xml:space="preserve"> dicho proceso, su objetivo </w:t>
      </w:r>
      <w:r w:rsidRPr="00F2371D">
        <w:t>e</w:t>
      </w:r>
      <w:r w:rsidR="00CB735E" w:rsidRPr="00F2371D">
        <w:t>ra</w:t>
      </w:r>
      <w:r w:rsidRPr="00F2371D">
        <w:t xml:space="preserve"> reflejar discusiones de coordinación in</w:t>
      </w:r>
      <w:r w:rsidR="00CB735E" w:rsidRPr="00F2371D">
        <w:t>fructuosas</w:t>
      </w:r>
      <w:r w:rsidRPr="00F2371D">
        <w:t xml:space="preserve"> y/o difíciles, no </w:t>
      </w:r>
      <w:r w:rsidR="00CB735E" w:rsidRPr="00F2371D">
        <w:t>inexistentes</w:t>
      </w:r>
      <w:r w:rsidRPr="00F2371D">
        <w:t>. Además, la Junta llegó a la conclusión de que</w:t>
      </w:r>
      <w:r w:rsidR="00CB735E" w:rsidRPr="00F2371D">
        <w:t>,</w:t>
      </w:r>
      <w:r w:rsidRPr="00F2371D">
        <w:t xml:space="preserve"> para las asignaciones de frecuencia</w:t>
      </w:r>
      <w:r w:rsidR="00CB735E" w:rsidRPr="00F2371D">
        <w:t>s</w:t>
      </w:r>
      <w:r w:rsidRPr="00F2371D">
        <w:t xml:space="preserve"> </w:t>
      </w:r>
      <w:r w:rsidR="00CB735E" w:rsidRPr="00F2371D">
        <w:t>inscritas</w:t>
      </w:r>
      <w:r w:rsidRPr="00F2371D">
        <w:t xml:space="preserve"> con arreglo al número </w:t>
      </w:r>
      <w:r w:rsidRPr="00F2371D">
        <w:rPr>
          <w:b/>
          <w:bCs/>
        </w:rPr>
        <w:t>11.41</w:t>
      </w:r>
      <w:r w:rsidRPr="00F2371D">
        <w:t xml:space="preserve"> del RR, la aplicación de los números </w:t>
      </w:r>
      <w:r w:rsidRPr="00F2371D">
        <w:rPr>
          <w:b/>
          <w:bCs/>
        </w:rPr>
        <w:t xml:space="preserve">11.42 </w:t>
      </w:r>
      <w:r w:rsidRPr="00F2371D">
        <w:t xml:space="preserve">y </w:t>
      </w:r>
      <w:r w:rsidRPr="00F2371D">
        <w:rPr>
          <w:b/>
          <w:bCs/>
        </w:rPr>
        <w:t xml:space="preserve">11.42A </w:t>
      </w:r>
      <w:r w:rsidRPr="00F2371D">
        <w:t>del RR no deb</w:t>
      </w:r>
      <w:r w:rsidR="00CB735E" w:rsidRPr="00F2371D">
        <w:t>ía</w:t>
      </w:r>
      <w:r w:rsidRPr="00F2371D">
        <w:t xml:space="preserve"> preceder </w:t>
      </w:r>
      <w:r w:rsidR="00CB735E" w:rsidRPr="00F2371D">
        <w:t xml:space="preserve">a la búsqueda de soluciones mediante negociaciones de coordinación exhaustivas, ni excluirla. </w:t>
      </w:r>
    </w:p>
    <w:p w14:paraId="42B0FD76" w14:textId="77777777" w:rsidR="00C6151D" w:rsidRPr="00F2371D" w:rsidRDefault="00C6151D" w:rsidP="00C6151D">
      <w:pPr>
        <w:pStyle w:val="Heading2"/>
      </w:pPr>
      <w:r w:rsidRPr="00F2371D">
        <w:t>4.2</w:t>
      </w:r>
      <w:r w:rsidRPr="00F2371D">
        <w:tab/>
        <w:t>Comentarios</w:t>
      </w:r>
    </w:p>
    <w:p w14:paraId="1AF8766E" w14:textId="69C7CA17" w:rsidR="00C6151D" w:rsidRPr="00F2371D" w:rsidRDefault="00C6151D" w:rsidP="00F56B73">
      <w:r w:rsidRPr="00F2371D">
        <w:t>Canadá señala que</w:t>
      </w:r>
      <w:r w:rsidR="00F56B73" w:rsidRPr="00F2371D">
        <w:t>, en</w:t>
      </w:r>
      <w:r w:rsidRPr="00F2371D">
        <w:t xml:space="preserve"> el número </w:t>
      </w:r>
      <w:r w:rsidRPr="00F2371D">
        <w:rPr>
          <w:b/>
          <w:bCs/>
        </w:rPr>
        <w:t>9.6</w:t>
      </w:r>
      <w:r w:rsidRPr="00F2371D">
        <w:t xml:space="preserve"> del RR</w:t>
      </w:r>
      <w:r w:rsidR="00F56B73" w:rsidRPr="00F2371D">
        <w:t>, se</w:t>
      </w:r>
      <w:r w:rsidRPr="00F2371D">
        <w:rPr>
          <w:b/>
          <w:bCs/>
        </w:rPr>
        <w:t xml:space="preserve"> </w:t>
      </w:r>
      <w:r w:rsidRPr="00F2371D">
        <w:t xml:space="preserve">estipula que </w:t>
      </w:r>
      <w:r w:rsidR="00F2371D" w:rsidRPr="00F2371D">
        <w:t>«</w:t>
      </w:r>
      <w:r w:rsidR="00D254DE" w:rsidRPr="00F2371D">
        <w:t>a</w:t>
      </w:r>
      <w:r w:rsidR="00F56B73" w:rsidRPr="00F2371D">
        <w:t xml:space="preserve">ntes de notificar a la Oficina o poner en servicio una asignación de frecuencias […], la administración interesada deberá efectuar, en su caso, la coordinación con las otras administraciones identificadas de acuerdo con el número </w:t>
      </w:r>
      <w:r w:rsidR="00F56B73" w:rsidRPr="00F2371D">
        <w:rPr>
          <w:rStyle w:val="Artref"/>
          <w:b/>
        </w:rPr>
        <w:t>9.27</w:t>
      </w:r>
      <w:r w:rsidR="00F2371D" w:rsidRPr="00F2371D">
        <w:rPr>
          <w:rStyle w:val="Artref"/>
          <w:bCs/>
        </w:rPr>
        <w:t>»</w:t>
      </w:r>
      <w:r w:rsidRPr="00F2371D">
        <w:t>.</w:t>
      </w:r>
      <w:r w:rsidR="00F56B73" w:rsidRPr="00F2371D">
        <w:t xml:space="preserve"> No obstante, habida cuenta de q</w:t>
      </w:r>
      <w:r w:rsidRPr="00F2371D">
        <w:t>ue la</w:t>
      </w:r>
      <w:r w:rsidR="00F56B73" w:rsidRPr="00F2371D">
        <w:t xml:space="preserve"> citada</w:t>
      </w:r>
      <w:r w:rsidRPr="00F2371D">
        <w:t xml:space="preserve"> disposición </w:t>
      </w:r>
      <w:r w:rsidR="00F56B73" w:rsidRPr="00F2371D">
        <w:t>prevé</w:t>
      </w:r>
      <w:r w:rsidRPr="00F2371D">
        <w:t xml:space="preserve"> la obligación de coordinar</w:t>
      </w:r>
      <w:r w:rsidR="00F56B73" w:rsidRPr="00F2371D">
        <w:t>,</w:t>
      </w:r>
      <w:r w:rsidRPr="00F2371D">
        <w:t xml:space="preserve"> pero no necesariamente de completar</w:t>
      </w:r>
      <w:r w:rsidR="00D254DE" w:rsidRPr="00F2371D">
        <w:t xml:space="preserve"> de forma</w:t>
      </w:r>
      <w:r w:rsidRPr="00F2371D">
        <w:t xml:space="preserve"> satisfactoria </w:t>
      </w:r>
      <w:r w:rsidR="00F56B73" w:rsidRPr="00F2371D">
        <w:t>el proceso de</w:t>
      </w:r>
      <w:r w:rsidRPr="00F2371D">
        <w:t xml:space="preserve"> coordinación</w:t>
      </w:r>
      <w:r w:rsidR="00F56B73" w:rsidRPr="00F2371D">
        <w:t>,</w:t>
      </w:r>
      <w:r w:rsidRPr="00F2371D">
        <w:t xml:space="preserve"> antes de notificar o poner en servicio</w:t>
      </w:r>
      <w:r w:rsidR="00F2371D" w:rsidRPr="00F2371D">
        <w:t xml:space="preserve"> </w:t>
      </w:r>
      <w:r w:rsidR="00F56B73" w:rsidRPr="00F2371D">
        <w:t xml:space="preserve">una asignación </w:t>
      </w:r>
      <w:r w:rsidRPr="00F2371D">
        <w:t xml:space="preserve">en virtud del Artículo </w:t>
      </w:r>
      <w:r w:rsidRPr="00F2371D">
        <w:rPr>
          <w:b/>
          <w:bCs/>
        </w:rPr>
        <w:t xml:space="preserve">11 </w:t>
      </w:r>
      <w:r w:rsidRPr="00F2371D">
        <w:t xml:space="preserve">del RR, </w:t>
      </w:r>
      <w:r w:rsidRPr="00F2371D">
        <w:rPr>
          <w:b/>
          <w:bCs/>
          <w:u w:val="single"/>
        </w:rPr>
        <w:t>lo</w:t>
      </w:r>
      <w:r w:rsidRPr="00F2371D">
        <w:rPr>
          <w:u w:val="single"/>
        </w:rPr>
        <w:t xml:space="preserve"> </w:t>
      </w:r>
      <w:r w:rsidRPr="00F2371D">
        <w:rPr>
          <w:b/>
          <w:bCs/>
          <w:u w:val="single"/>
        </w:rPr>
        <w:t>ideal</w:t>
      </w:r>
      <w:r w:rsidRPr="00F2371D">
        <w:t xml:space="preserve"> </w:t>
      </w:r>
      <w:r w:rsidR="00B77D60" w:rsidRPr="00F2371D">
        <w:t>sigue siendo</w:t>
      </w:r>
      <w:r w:rsidRPr="00F2371D">
        <w:t xml:space="preserve"> que </w:t>
      </w:r>
      <w:r w:rsidR="00B77D60" w:rsidRPr="00F2371D">
        <w:t>el proceso de</w:t>
      </w:r>
      <w:r w:rsidRPr="00F2371D">
        <w:t xml:space="preserve"> coordinación se complete</w:t>
      </w:r>
      <w:r w:rsidR="00B77D60" w:rsidRPr="00F2371D">
        <w:t xml:space="preserve"> de forma</w:t>
      </w:r>
      <w:r w:rsidRPr="00F2371D">
        <w:t xml:space="preserve"> satisfactoria antes de </w:t>
      </w:r>
      <w:r w:rsidR="00B77D60" w:rsidRPr="00F2371D">
        <w:t xml:space="preserve">adoptar </w:t>
      </w:r>
      <w:r w:rsidRPr="00F2371D">
        <w:t xml:space="preserve">cualquier </w:t>
      </w:r>
      <w:r w:rsidR="00B77D60" w:rsidRPr="00F2371D">
        <w:t>medida</w:t>
      </w:r>
      <w:r w:rsidRPr="00F2371D">
        <w:t xml:space="preserve"> en virtud del Artículo </w:t>
      </w:r>
      <w:r w:rsidRPr="00F2371D">
        <w:rPr>
          <w:b/>
          <w:bCs/>
        </w:rPr>
        <w:t xml:space="preserve">11 </w:t>
      </w:r>
      <w:r w:rsidRPr="00F2371D">
        <w:t xml:space="preserve">del RR, incluido el lanzamiento de satélites. Canadá </w:t>
      </w:r>
      <w:r w:rsidR="00B77D60" w:rsidRPr="00F2371D">
        <w:t>observa</w:t>
      </w:r>
      <w:r w:rsidRPr="00F2371D">
        <w:t xml:space="preserve"> que, en la práctica, </w:t>
      </w:r>
      <w:r w:rsidR="00B77D60" w:rsidRPr="00F2371D">
        <w:t xml:space="preserve">puede que </w:t>
      </w:r>
      <w:r w:rsidRPr="00F2371D">
        <w:t>esto</w:t>
      </w:r>
      <w:r w:rsidR="00B77D60" w:rsidRPr="00F2371D">
        <w:t xml:space="preserve"> no</w:t>
      </w:r>
      <w:r w:rsidRPr="00F2371D">
        <w:t xml:space="preserve"> </w:t>
      </w:r>
      <w:r w:rsidR="00B77D60" w:rsidRPr="00F2371D">
        <w:t>sea</w:t>
      </w:r>
      <w:r w:rsidRPr="00F2371D">
        <w:t xml:space="preserve"> </w:t>
      </w:r>
      <w:r w:rsidR="00B77D60" w:rsidRPr="00F2371D">
        <w:t xml:space="preserve">siempre </w:t>
      </w:r>
      <w:r w:rsidRPr="00F2371D">
        <w:t>posible debido a la complej</w:t>
      </w:r>
      <w:r w:rsidR="00B77D60" w:rsidRPr="00F2371D">
        <w:t>idad de los</w:t>
      </w:r>
      <w:r w:rsidRPr="00F2371D">
        <w:t xml:space="preserve"> debate</w:t>
      </w:r>
      <w:r w:rsidR="00B77D60" w:rsidRPr="00F2371D">
        <w:t>s</w:t>
      </w:r>
      <w:r w:rsidRPr="00F2371D">
        <w:t xml:space="preserve"> de coordinación</w:t>
      </w:r>
      <w:r w:rsidR="00B77D60" w:rsidRPr="00F2371D">
        <w:t>,</w:t>
      </w:r>
      <w:r w:rsidRPr="00F2371D">
        <w:t xml:space="preserve"> o a la falta de respuesta de una administración identificada como afectada. En ambos casos, el </w:t>
      </w:r>
      <w:r w:rsidR="00B77D60" w:rsidRPr="00F2371D">
        <w:t>número</w:t>
      </w:r>
      <w:r w:rsidRPr="00F2371D">
        <w:t xml:space="preserve"> </w:t>
      </w:r>
      <w:r w:rsidRPr="00F2371D">
        <w:rPr>
          <w:b/>
          <w:bCs/>
        </w:rPr>
        <w:t>11.41</w:t>
      </w:r>
      <w:r w:rsidRPr="00F2371D">
        <w:t xml:space="preserve"> </w:t>
      </w:r>
      <w:r w:rsidR="00B77D60" w:rsidRPr="00F2371D">
        <w:t xml:space="preserve">del RR permite la inscripción en el Registro de </w:t>
      </w:r>
      <w:r w:rsidRPr="00F2371D">
        <w:t>asignaci</w:t>
      </w:r>
      <w:r w:rsidR="00B77D60" w:rsidRPr="00F2371D">
        <w:t>ones parcialmente coordinadas, e incluso no coordinadas, en</w:t>
      </w:r>
      <w:r w:rsidRPr="00F2371D">
        <w:t xml:space="preserve"> espera de la finalización de todos los procesos de coordinación. </w:t>
      </w:r>
      <w:r w:rsidR="00B77D60" w:rsidRPr="00F2371D">
        <w:t>Según</w:t>
      </w:r>
      <w:r w:rsidRPr="00F2371D">
        <w:t xml:space="preserve"> se indica en el </w:t>
      </w:r>
      <w:r w:rsidR="00D254DE" w:rsidRPr="00F2371D">
        <w:t xml:space="preserve">Informe </w:t>
      </w:r>
      <w:r w:rsidRPr="00F2371D">
        <w:t>de la</w:t>
      </w:r>
      <w:r w:rsidR="00B77D60" w:rsidRPr="00F2371D">
        <w:t xml:space="preserve"> Junta, el número </w:t>
      </w:r>
      <w:r w:rsidRPr="00F2371D">
        <w:rPr>
          <w:b/>
          <w:bCs/>
        </w:rPr>
        <w:t>11.41</w:t>
      </w:r>
      <w:r w:rsidRPr="00F2371D">
        <w:t xml:space="preserve"> </w:t>
      </w:r>
      <w:r w:rsidR="00B77D60" w:rsidRPr="00F2371D">
        <w:t xml:space="preserve">del RR </w:t>
      </w:r>
      <w:r w:rsidRPr="00F2371D">
        <w:t xml:space="preserve">no debe considerarse como un medio para eludir la coordinación y </w:t>
      </w:r>
      <w:r w:rsidR="00B77D60" w:rsidRPr="00F2371D">
        <w:t>valerse</w:t>
      </w:r>
      <w:r w:rsidRPr="00F2371D">
        <w:t xml:space="preserve"> </w:t>
      </w:r>
      <w:r w:rsidR="00B77D60" w:rsidRPr="00F2371D">
        <w:t>d</w:t>
      </w:r>
      <w:r w:rsidRPr="00F2371D">
        <w:t>el</w:t>
      </w:r>
      <w:r w:rsidR="00B77D60" w:rsidRPr="00F2371D">
        <w:t xml:space="preserve"> número</w:t>
      </w:r>
      <w:r w:rsidRPr="00F2371D">
        <w:t xml:space="preserve"> </w:t>
      </w:r>
      <w:r w:rsidRPr="00F2371D">
        <w:rPr>
          <w:b/>
          <w:bCs/>
        </w:rPr>
        <w:t>11.42A</w:t>
      </w:r>
      <w:r w:rsidRPr="00F2371D">
        <w:t xml:space="preserve"> </w:t>
      </w:r>
      <w:r w:rsidR="00B77D60" w:rsidRPr="00F2371D">
        <w:t xml:space="preserve">del RR </w:t>
      </w:r>
      <w:r w:rsidRPr="00F2371D">
        <w:t xml:space="preserve">para proteger una prioridad percibida. A ese respecto, Canadá desea reiterar su </w:t>
      </w:r>
      <w:r w:rsidR="00B77D60" w:rsidRPr="00F2371D">
        <w:t>plena</w:t>
      </w:r>
      <w:r w:rsidRPr="00F2371D">
        <w:t xml:space="preserve"> adhesión al principio establecido en la R</w:t>
      </w:r>
      <w:r w:rsidR="00B77D60" w:rsidRPr="00F2371D">
        <w:t>d</w:t>
      </w:r>
      <w:r w:rsidRPr="00F2371D">
        <w:t xml:space="preserve">P </w:t>
      </w:r>
      <w:r w:rsidR="00B77D60" w:rsidRPr="00F2371D">
        <w:t>relativa al número</w:t>
      </w:r>
      <w:r w:rsidRPr="00F2371D">
        <w:t xml:space="preserve"> </w:t>
      </w:r>
      <w:r w:rsidRPr="00F2371D">
        <w:rPr>
          <w:b/>
          <w:bCs/>
        </w:rPr>
        <w:t>9.6</w:t>
      </w:r>
      <w:r w:rsidRPr="00F2371D">
        <w:t xml:space="preserve"> </w:t>
      </w:r>
      <w:r w:rsidR="00B77D60" w:rsidRPr="00F2371D">
        <w:t xml:space="preserve">del RR </w:t>
      </w:r>
      <w:r w:rsidRPr="00F2371D">
        <w:t xml:space="preserve">y su apoyo a las conclusiones de la </w:t>
      </w:r>
      <w:r w:rsidR="00B77D60" w:rsidRPr="00F2371D">
        <w:t>Junta</w:t>
      </w:r>
      <w:r w:rsidRPr="00F2371D">
        <w:t xml:space="preserve">. </w:t>
      </w:r>
    </w:p>
    <w:p w14:paraId="48E41647" w14:textId="4368AAE2" w:rsidR="00C6151D" w:rsidRPr="00F2371D" w:rsidRDefault="00C6151D" w:rsidP="00C6151D">
      <w:pPr>
        <w:rPr>
          <w:lang w:eastAsia="zh-CN"/>
        </w:rPr>
      </w:pPr>
      <w:r w:rsidRPr="00F2371D">
        <w:t>No obstante, Canadá opina que debería</w:t>
      </w:r>
      <w:r w:rsidR="004121DB" w:rsidRPr="00F2371D">
        <w:t xml:space="preserve">n reconsiderarse las condiciones </w:t>
      </w:r>
      <w:r w:rsidRPr="00F2371D">
        <w:t>en virtud de la</w:t>
      </w:r>
      <w:r w:rsidR="004121DB" w:rsidRPr="00F2371D">
        <w:t>s</w:t>
      </w:r>
      <w:r w:rsidRPr="00F2371D">
        <w:t xml:space="preserve"> cual</w:t>
      </w:r>
      <w:r w:rsidR="004121DB" w:rsidRPr="00F2371D">
        <w:t>es</w:t>
      </w:r>
      <w:r w:rsidRPr="00F2371D">
        <w:t xml:space="preserve"> puede invocarse el</w:t>
      </w:r>
      <w:r w:rsidR="004121DB" w:rsidRPr="00F2371D">
        <w:t xml:space="preserve"> número</w:t>
      </w:r>
      <w:r w:rsidRPr="00F2371D">
        <w:t xml:space="preserve"> </w:t>
      </w:r>
      <w:r w:rsidRPr="00F2371D">
        <w:rPr>
          <w:b/>
          <w:bCs/>
        </w:rPr>
        <w:t>11.41</w:t>
      </w:r>
      <w:r w:rsidR="004121DB" w:rsidRPr="00F2371D">
        <w:t xml:space="preserve"> del RR</w:t>
      </w:r>
      <w:r w:rsidRPr="00F2371D">
        <w:t>.</w:t>
      </w:r>
      <w:r w:rsidR="004121DB" w:rsidRPr="00F2371D">
        <w:t xml:space="preserve"> Si bien</w:t>
      </w:r>
      <w:r w:rsidRPr="00F2371D">
        <w:t xml:space="preserve"> no está directamente relacionado con </w:t>
      </w:r>
      <w:r w:rsidR="004121DB" w:rsidRPr="00F2371D">
        <w:t>el</w:t>
      </w:r>
      <w:r w:rsidRPr="00F2371D">
        <w:t xml:space="preserve"> tema</w:t>
      </w:r>
      <w:r w:rsidR="004121DB" w:rsidRPr="00F2371D">
        <w:t xml:space="preserve"> señalado a nuestra</w:t>
      </w:r>
      <w:r w:rsidRPr="00F2371D">
        <w:t xml:space="preserve"> atención</w:t>
      </w:r>
      <w:r w:rsidR="004121DB" w:rsidRPr="00F2371D">
        <w:t xml:space="preserve"> por</w:t>
      </w:r>
      <w:r w:rsidRPr="00F2371D">
        <w:t xml:space="preserve"> la </w:t>
      </w:r>
      <w:r w:rsidR="004121DB" w:rsidRPr="00F2371D">
        <w:t>Junta,</w:t>
      </w:r>
      <w:r w:rsidRPr="00F2371D">
        <w:t xml:space="preserve"> Canadá desea aprovechar la oportunidad para sugerir que se estudien medios para limitar la aplicación del </w:t>
      </w:r>
      <w:r w:rsidR="004121DB" w:rsidRPr="00F2371D">
        <w:t>número</w:t>
      </w:r>
      <w:r w:rsidRPr="00F2371D">
        <w:t xml:space="preserve"> </w:t>
      </w:r>
      <w:r w:rsidRPr="00F2371D">
        <w:rPr>
          <w:b/>
          <w:bCs/>
        </w:rPr>
        <w:t xml:space="preserve">11.41 </w:t>
      </w:r>
      <w:r w:rsidR="004121DB" w:rsidRPr="00F2371D">
        <w:t xml:space="preserve">del RR </w:t>
      </w:r>
      <w:r w:rsidRPr="00F2371D">
        <w:t>a los casos en que se estén celebrando conversaciones, pero excluyendo</w:t>
      </w:r>
      <w:r w:rsidR="004121DB" w:rsidRPr="00F2371D">
        <w:t xml:space="preserve"> aquellos en los que</w:t>
      </w:r>
      <w:r w:rsidRPr="00F2371D">
        <w:t xml:space="preserve"> la administración</w:t>
      </w:r>
      <w:r w:rsidR="004121DB" w:rsidRPr="00F2371D">
        <w:t xml:space="preserve"> o administraciones</w:t>
      </w:r>
      <w:r w:rsidRPr="00F2371D">
        <w:t xml:space="preserve"> afectada</w:t>
      </w:r>
      <w:r w:rsidR="004121DB" w:rsidRPr="00F2371D">
        <w:t>s</w:t>
      </w:r>
      <w:r w:rsidRPr="00F2371D">
        <w:t xml:space="preserve"> no responda</w:t>
      </w:r>
      <w:r w:rsidR="004121DB" w:rsidRPr="00F2371D">
        <w:t>n</w:t>
      </w:r>
      <w:r w:rsidRPr="00F2371D">
        <w:t xml:space="preserve"> a </w:t>
      </w:r>
      <w:r w:rsidR="004121DB" w:rsidRPr="00F2371D">
        <w:t>l</w:t>
      </w:r>
      <w:r w:rsidRPr="00F2371D">
        <w:t xml:space="preserve">a solicitud de coordinación. En este último </w:t>
      </w:r>
      <w:r w:rsidR="008F6475" w:rsidRPr="00F2371D">
        <w:t>contexto</w:t>
      </w:r>
      <w:r w:rsidRPr="00F2371D">
        <w:t xml:space="preserve">, un esfuerzo mínimo podría consistir en solicitar la asistencia de </w:t>
      </w:r>
      <w:r w:rsidR="004121DB" w:rsidRPr="00F2371D">
        <w:t>l</w:t>
      </w:r>
      <w:r w:rsidRPr="00F2371D">
        <w:t>a Oficina antes de invocar el</w:t>
      </w:r>
      <w:r w:rsidR="004121DB" w:rsidRPr="00F2371D">
        <w:t xml:space="preserve"> número</w:t>
      </w:r>
      <w:r w:rsidRPr="00F2371D">
        <w:t xml:space="preserve"> </w:t>
      </w:r>
      <w:r w:rsidRPr="00F2371D">
        <w:rPr>
          <w:b/>
          <w:bCs/>
        </w:rPr>
        <w:lastRenderedPageBreak/>
        <w:t>11.41</w:t>
      </w:r>
      <w:r w:rsidR="004121DB" w:rsidRPr="00F2371D">
        <w:t xml:space="preserve"> del RR</w:t>
      </w:r>
      <w:r w:rsidRPr="00F2371D">
        <w:t xml:space="preserve">. Además, aunque se ha observado que las discusiones de coordinación tienden a </w:t>
      </w:r>
      <w:r w:rsidR="004121DB" w:rsidRPr="00F2371D">
        <w:t>interrumpirse</w:t>
      </w:r>
      <w:r w:rsidRPr="00F2371D">
        <w:t xml:space="preserve"> una vez invocado el </w:t>
      </w:r>
      <w:r w:rsidR="004121DB" w:rsidRPr="00F2371D">
        <w:t>número</w:t>
      </w:r>
      <w:r w:rsidRPr="00F2371D">
        <w:t xml:space="preserve"> </w:t>
      </w:r>
      <w:r w:rsidRPr="00F2371D">
        <w:rPr>
          <w:b/>
          <w:bCs/>
        </w:rPr>
        <w:t>11.41</w:t>
      </w:r>
      <w:r w:rsidR="004121DB" w:rsidRPr="00F2371D">
        <w:t xml:space="preserve"> del RR</w:t>
      </w:r>
      <w:r w:rsidRPr="00F2371D">
        <w:t xml:space="preserve">, puede ser conveniente </w:t>
      </w:r>
      <w:r w:rsidR="004121DB" w:rsidRPr="00F2371D">
        <w:t>precisar</w:t>
      </w:r>
      <w:r w:rsidRPr="00F2371D">
        <w:t xml:space="preserve"> en el R</w:t>
      </w:r>
      <w:r w:rsidR="004121DB" w:rsidRPr="00F2371D">
        <w:t xml:space="preserve">eglamento que la aplicación </w:t>
      </w:r>
      <w:r w:rsidRPr="00F2371D">
        <w:t>del</w:t>
      </w:r>
      <w:r w:rsidR="004121DB" w:rsidRPr="00F2371D">
        <w:t xml:space="preserve"> número</w:t>
      </w:r>
      <w:r w:rsidRPr="00F2371D">
        <w:t xml:space="preserve"> </w:t>
      </w:r>
      <w:r w:rsidRPr="00F2371D">
        <w:rPr>
          <w:b/>
          <w:bCs/>
        </w:rPr>
        <w:t xml:space="preserve">11.41 </w:t>
      </w:r>
      <w:r w:rsidRPr="00F2371D">
        <w:t xml:space="preserve">no exime a </w:t>
      </w:r>
      <w:r w:rsidR="004121DB" w:rsidRPr="00F2371D">
        <w:t>las</w:t>
      </w:r>
      <w:r w:rsidRPr="00F2371D">
        <w:t xml:space="preserve"> administraci</w:t>
      </w:r>
      <w:r w:rsidR="004121DB" w:rsidRPr="00F2371D">
        <w:t>ones</w:t>
      </w:r>
      <w:r w:rsidRPr="00F2371D">
        <w:t xml:space="preserve"> del requisito de completar la coordinación y que deben hacerse esfuerzos continuos p</w:t>
      </w:r>
      <w:r w:rsidR="004121DB" w:rsidRPr="00F2371D">
        <w:t xml:space="preserve">or </w:t>
      </w:r>
      <w:r w:rsidRPr="00F2371D">
        <w:t>completar</w:t>
      </w:r>
      <w:r w:rsidR="004121DB" w:rsidRPr="00F2371D">
        <w:t xml:space="preserve"> dicho proceso </w:t>
      </w:r>
      <w:r w:rsidRPr="00F2371D">
        <w:t>con cualquier administración identificada</w:t>
      </w:r>
      <w:r w:rsidR="004121DB" w:rsidRPr="00F2371D">
        <w:t xml:space="preserve"> a tenor del número </w:t>
      </w:r>
      <w:r w:rsidRPr="00F2371D">
        <w:rPr>
          <w:b/>
          <w:bCs/>
        </w:rPr>
        <w:t>9.27</w:t>
      </w:r>
      <w:r w:rsidR="004121DB" w:rsidRPr="00F2371D">
        <w:t xml:space="preserve"> del RR</w:t>
      </w:r>
      <w:r w:rsidRPr="00F2371D">
        <w:t>.</w:t>
      </w:r>
    </w:p>
    <w:p w14:paraId="64351670" w14:textId="5F9C4CF2" w:rsidR="003D10EA" w:rsidRPr="00F2371D" w:rsidRDefault="00C6151D" w:rsidP="009227F7">
      <w:r w:rsidRPr="00F2371D">
        <w:t xml:space="preserve">Además de las observaciones y otras propuestas formuladas por la </w:t>
      </w:r>
      <w:r w:rsidR="008030BF" w:rsidRPr="00F2371D">
        <w:t>Junta</w:t>
      </w:r>
      <w:r w:rsidRPr="00F2371D">
        <w:t xml:space="preserve">, Canadá opina que puede ser necesario que el UIT-R estudie posibles mejoras para limitar aún más </w:t>
      </w:r>
      <w:r w:rsidR="008030BF" w:rsidRPr="00F2371D">
        <w:t>las posibilidades de invocar e</w:t>
      </w:r>
      <w:r w:rsidRPr="00F2371D">
        <w:t xml:space="preserve">l número </w:t>
      </w:r>
      <w:r w:rsidRPr="00F2371D">
        <w:rPr>
          <w:b/>
          <w:bCs/>
        </w:rPr>
        <w:t xml:space="preserve">11.41 </w:t>
      </w:r>
      <w:r w:rsidRPr="00F2371D">
        <w:t xml:space="preserve">del RR antes de </w:t>
      </w:r>
      <w:r w:rsidR="008030BF" w:rsidRPr="00F2371D">
        <w:t xml:space="preserve">agotar todas las vías disponibles </w:t>
      </w:r>
      <w:r w:rsidR="00416345" w:rsidRPr="00F2371D">
        <w:t>para</w:t>
      </w:r>
      <w:r w:rsidRPr="00F2371D">
        <w:t xml:space="preserve"> </w:t>
      </w:r>
      <w:r w:rsidR="008F6475" w:rsidRPr="00F2371D">
        <w:t>completar</w:t>
      </w:r>
      <w:r w:rsidRPr="00F2371D">
        <w:t xml:space="preserve"> la coordinación, o como medio para no completar un</w:t>
      </w:r>
      <w:r w:rsidR="00416345" w:rsidRPr="00F2371D">
        <w:t xml:space="preserve"> proceso de</w:t>
      </w:r>
      <w:r w:rsidRPr="00F2371D">
        <w:t xml:space="preserve"> coordinación </w:t>
      </w:r>
      <w:r w:rsidR="00416345" w:rsidRPr="00F2371D">
        <w:t>complejo</w:t>
      </w:r>
      <w:r w:rsidRPr="00F2371D">
        <w:t>. Entre los</w:t>
      </w:r>
      <w:r w:rsidR="00416345" w:rsidRPr="00F2371D">
        <w:t xml:space="preserve"> aspectos que podrían estudiarse figura </w:t>
      </w:r>
      <w:r w:rsidRPr="00F2371D">
        <w:t xml:space="preserve">el requisito de solicitar la asistencia de </w:t>
      </w:r>
      <w:r w:rsidR="00416345" w:rsidRPr="00F2371D">
        <w:t>l</w:t>
      </w:r>
      <w:r w:rsidRPr="00F2371D">
        <w:t xml:space="preserve">a Oficina antes de </w:t>
      </w:r>
      <w:r w:rsidR="00416345" w:rsidRPr="00F2371D">
        <w:t>recurrir al número</w:t>
      </w:r>
      <w:r w:rsidRPr="00F2371D">
        <w:t xml:space="preserve"> </w:t>
      </w:r>
      <w:r w:rsidRPr="00F2371D">
        <w:rPr>
          <w:b/>
          <w:bCs/>
        </w:rPr>
        <w:t>11.41</w:t>
      </w:r>
      <w:r w:rsidR="00416345" w:rsidRPr="00F2371D">
        <w:t xml:space="preserve"> del RR,</w:t>
      </w:r>
      <w:r w:rsidRPr="00F2371D">
        <w:t xml:space="preserve"> para garantizar que su invocación </w:t>
      </w:r>
      <w:r w:rsidR="00416345" w:rsidRPr="00F2371D">
        <w:t>obedezca a</w:t>
      </w:r>
      <w:r w:rsidRPr="00F2371D">
        <w:t xml:space="preserve"> un proceso de coordinación difícil</w:t>
      </w:r>
      <w:r w:rsidR="00416345" w:rsidRPr="00F2371D">
        <w:t>,</w:t>
      </w:r>
      <w:r w:rsidRPr="00F2371D">
        <w:t xml:space="preserve"> en lugar de</w:t>
      </w:r>
      <w:r w:rsidR="00416345" w:rsidRPr="00F2371D">
        <w:t xml:space="preserve"> a</w:t>
      </w:r>
      <w:r w:rsidRPr="00F2371D">
        <w:t xml:space="preserve"> la ausencia de respuesta de </w:t>
      </w:r>
      <w:r w:rsidR="00416345" w:rsidRPr="00F2371D">
        <w:t>l</w:t>
      </w:r>
      <w:r w:rsidRPr="00F2371D">
        <w:t>a administración</w:t>
      </w:r>
      <w:r w:rsidR="00416345" w:rsidRPr="00F2371D">
        <w:t xml:space="preserve"> o administraciones</w:t>
      </w:r>
      <w:r w:rsidRPr="00F2371D">
        <w:t xml:space="preserve"> identificada</w:t>
      </w:r>
      <w:r w:rsidR="00416345" w:rsidRPr="00F2371D">
        <w:t>s</w:t>
      </w:r>
      <w:r w:rsidRPr="00F2371D">
        <w:t xml:space="preserve"> como afectada</w:t>
      </w:r>
      <w:r w:rsidR="00416345" w:rsidRPr="00F2371D">
        <w:t>s,</w:t>
      </w:r>
      <w:r w:rsidRPr="00F2371D">
        <w:t xml:space="preserve"> y demostrar que se </w:t>
      </w:r>
      <w:r w:rsidR="00416345" w:rsidRPr="00F2371D">
        <w:t xml:space="preserve">han agotado todas las posibilidades de obtener </w:t>
      </w:r>
      <w:r w:rsidRPr="00F2371D">
        <w:t xml:space="preserve">la información necesaria para completar la coordinación. </w:t>
      </w:r>
      <w:r w:rsidR="00416345" w:rsidRPr="00F2371D">
        <w:t>También</w:t>
      </w:r>
      <w:r w:rsidRPr="00F2371D">
        <w:t xml:space="preserve"> deberían estudiarse mecanismos reglamentarios adicionales asociados a la utilización del </w:t>
      </w:r>
      <w:r w:rsidR="00416345" w:rsidRPr="00F2371D">
        <w:t xml:space="preserve">número </w:t>
      </w:r>
      <w:r w:rsidRPr="00F2371D">
        <w:rPr>
          <w:b/>
          <w:bCs/>
        </w:rPr>
        <w:t>11.41</w:t>
      </w:r>
      <w:r w:rsidR="00416345" w:rsidRPr="00F2371D">
        <w:t xml:space="preserve"> del RR, a fin de</w:t>
      </w:r>
      <w:r w:rsidRPr="00F2371D">
        <w:t xml:space="preserve"> garantizar que los esfuerzos p</w:t>
      </w:r>
      <w:r w:rsidR="00416345" w:rsidRPr="00F2371D">
        <w:t>or</w:t>
      </w:r>
      <w:r w:rsidRPr="00F2371D">
        <w:t xml:space="preserve"> completar la coordinación</w:t>
      </w:r>
      <w:r w:rsidR="00416345" w:rsidRPr="00F2371D">
        <w:t xml:space="preserve"> prosigan </w:t>
      </w:r>
      <w:r w:rsidRPr="00F2371D">
        <w:t xml:space="preserve">incluso después de la </w:t>
      </w:r>
      <w:r w:rsidR="00416345" w:rsidRPr="00F2371D">
        <w:t>i</w:t>
      </w:r>
      <w:r w:rsidRPr="00F2371D">
        <w:t>nscripción de las asignaciones en virtud de</w:t>
      </w:r>
      <w:r w:rsidR="00416345" w:rsidRPr="00F2371D">
        <w:t xml:space="preserve"> dicho número</w:t>
      </w:r>
      <w:r w:rsidRPr="00F2371D">
        <w:t xml:space="preserve">, ya que </w:t>
      </w:r>
      <w:r w:rsidR="00416345" w:rsidRPr="00F2371D">
        <w:t>la</w:t>
      </w:r>
      <w:r w:rsidRPr="00F2371D">
        <w:t xml:space="preserve"> inscripción</w:t>
      </w:r>
      <w:r w:rsidR="00416345" w:rsidRPr="00F2371D">
        <w:t xml:space="preserve"> en sí</w:t>
      </w:r>
      <w:r w:rsidRPr="00F2371D">
        <w:t xml:space="preserve"> no exime a las administraciones notificantes de </w:t>
      </w:r>
      <w:r w:rsidR="00416345" w:rsidRPr="00F2371D">
        <w:t>la</w:t>
      </w:r>
      <w:r w:rsidRPr="00F2371D">
        <w:t xml:space="preserve"> obligaci</w:t>
      </w:r>
      <w:r w:rsidR="00416345" w:rsidRPr="00F2371D">
        <w:t>ón</w:t>
      </w:r>
      <w:r w:rsidRPr="00F2371D">
        <w:t xml:space="preserve"> de completar la coordinación.</w:t>
      </w:r>
    </w:p>
    <w:p w14:paraId="0DA71C77" w14:textId="77777777" w:rsidR="00A75DF0" w:rsidRPr="00F2371D" w:rsidRDefault="00853CC3">
      <w:pPr>
        <w:pStyle w:val="Proposal"/>
      </w:pPr>
      <w:r w:rsidRPr="00F2371D">
        <w:tab/>
        <w:t>CAN/86A26/5</w:t>
      </w:r>
    </w:p>
    <w:p w14:paraId="2B4AB8FD" w14:textId="79C3158E" w:rsidR="007B163A" w:rsidRPr="00F2371D" w:rsidRDefault="007B163A" w:rsidP="007B163A">
      <w:r w:rsidRPr="00F2371D">
        <w:rPr>
          <w:lang w:eastAsia="zh-CN"/>
        </w:rPr>
        <w:t xml:space="preserve">Canadá propone que la </w:t>
      </w:r>
      <w:r w:rsidRPr="00F2371D">
        <w:t xml:space="preserve">Conferencia invite al </w:t>
      </w:r>
      <w:r w:rsidRPr="00F2371D">
        <w:rPr>
          <w:lang w:eastAsia="zh-CN"/>
        </w:rPr>
        <w:t>U</w:t>
      </w:r>
      <w:r w:rsidR="00AF3149" w:rsidRPr="00F2371D">
        <w:rPr>
          <w:lang w:eastAsia="zh-CN"/>
        </w:rPr>
        <w:t>IT-</w:t>
      </w:r>
      <w:r w:rsidRPr="00F2371D">
        <w:rPr>
          <w:lang w:eastAsia="zh-CN"/>
        </w:rPr>
        <w:t xml:space="preserve">R </w:t>
      </w:r>
      <w:r w:rsidRPr="00F2371D">
        <w:t xml:space="preserve">a estudiar </w:t>
      </w:r>
      <w:r w:rsidR="008F6475" w:rsidRPr="00F2371D">
        <w:t>est</w:t>
      </w:r>
      <w:r w:rsidRPr="00F2371D">
        <w:t xml:space="preserve">a cuestión </w:t>
      </w:r>
      <w:r w:rsidR="00AF3149" w:rsidRPr="00F2371D">
        <w:t>y a</w:t>
      </w:r>
      <w:r w:rsidRPr="00F2371D">
        <w:t xml:space="preserve"> introducir los cambios necesarios en el Reglamento de Radiocomunicaciones a fin de evitar o desalentar </w:t>
      </w:r>
      <w:r w:rsidR="00AF3149" w:rsidRPr="00F2371D">
        <w:t>el recurso al</w:t>
      </w:r>
      <w:r w:rsidRPr="00F2371D">
        <w:t xml:space="preserve"> </w:t>
      </w:r>
      <w:r w:rsidR="00AF3149" w:rsidRPr="00F2371D">
        <w:t>número</w:t>
      </w:r>
      <w:r w:rsidRPr="00F2371D">
        <w:t xml:space="preserve"> </w:t>
      </w:r>
      <w:r w:rsidRPr="00F2371D">
        <w:rPr>
          <w:b/>
          <w:bCs/>
        </w:rPr>
        <w:t xml:space="preserve">11.41 </w:t>
      </w:r>
      <w:r w:rsidR="00AF3149" w:rsidRPr="00F2371D">
        <w:t xml:space="preserve">del RR </w:t>
      </w:r>
      <w:r w:rsidRPr="00F2371D">
        <w:t>antes de que se hayan agotado tod</w:t>
      </w:r>
      <w:r w:rsidR="00AF3149" w:rsidRPr="00F2371D">
        <w:t>a</w:t>
      </w:r>
      <w:r w:rsidRPr="00F2371D">
        <w:t>s</w:t>
      </w:r>
      <w:r w:rsidR="00AF3149" w:rsidRPr="00F2371D">
        <w:t xml:space="preserve"> las vías </w:t>
      </w:r>
      <w:r w:rsidR="008F6475" w:rsidRPr="00F2371D">
        <w:t>disponibles</w:t>
      </w:r>
      <w:r w:rsidR="00AF3149" w:rsidRPr="00F2371D">
        <w:t xml:space="preserve"> para</w:t>
      </w:r>
      <w:r w:rsidRPr="00F2371D">
        <w:t xml:space="preserve"> </w:t>
      </w:r>
      <w:r w:rsidR="00AF3149" w:rsidRPr="00F2371D">
        <w:t>completar</w:t>
      </w:r>
      <w:r w:rsidRPr="00F2371D">
        <w:t xml:space="preserve"> la coordinación, </w:t>
      </w:r>
      <w:r w:rsidR="00AF3149" w:rsidRPr="00F2371D">
        <w:t>así como de promover</w:t>
      </w:r>
      <w:r w:rsidRPr="00F2371D">
        <w:t xml:space="preserve"> la finalización del</w:t>
      </w:r>
      <w:r w:rsidR="00AF3149" w:rsidRPr="00F2371D">
        <w:t xml:space="preserve"> proceso</w:t>
      </w:r>
      <w:r w:rsidRPr="00F2371D">
        <w:t xml:space="preserve"> coordinación</w:t>
      </w:r>
      <w:r w:rsidR="00AF3149" w:rsidRPr="00F2371D">
        <w:t xml:space="preserve"> pendiente,</w:t>
      </w:r>
      <w:r w:rsidRPr="00F2371D">
        <w:t xml:space="preserve"> incluso después de la invocación del </w:t>
      </w:r>
      <w:r w:rsidR="00AF3149" w:rsidRPr="00F2371D">
        <w:t>número</w:t>
      </w:r>
      <w:r w:rsidRPr="00F2371D">
        <w:t xml:space="preserve"> </w:t>
      </w:r>
      <w:r w:rsidRPr="00F2371D">
        <w:rPr>
          <w:b/>
          <w:bCs/>
        </w:rPr>
        <w:t>11.41</w:t>
      </w:r>
      <w:r w:rsidR="00AF3149" w:rsidRPr="00F2371D">
        <w:t xml:space="preserve"> del RR</w:t>
      </w:r>
      <w:r w:rsidRPr="00F2371D">
        <w:t>.</w:t>
      </w:r>
    </w:p>
    <w:p w14:paraId="398A4D10" w14:textId="7D61FDB3" w:rsidR="00225F71" w:rsidRPr="00F2371D" w:rsidRDefault="007B163A" w:rsidP="00225F71">
      <w:pPr>
        <w:pStyle w:val="Reasons"/>
      </w:pPr>
      <w:r w:rsidRPr="00F2371D">
        <w:rPr>
          <w:b/>
        </w:rPr>
        <w:t>Motivos:</w:t>
      </w:r>
      <w:r w:rsidRPr="00F2371D">
        <w:rPr>
          <w:b/>
        </w:rPr>
        <w:tab/>
      </w:r>
      <w:r w:rsidR="00AF3149" w:rsidRPr="00F2371D">
        <w:t xml:space="preserve">Promover la finalización del proceso coordinación </w:t>
      </w:r>
      <w:r w:rsidRPr="00F2371D">
        <w:t xml:space="preserve">y evitar el </w:t>
      </w:r>
      <w:r w:rsidR="00AF3149" w:rsidRPr="00F2371D">
        <w:t>recurso al número</w:t>
      </w:r>
      <w:r w:rsidRPr="00F2371D">
        <w:t xml:space="preserve"> </w:t>
      </w:r>
      <w:r w:rsidRPr="00F2371D">
        <w:rPr>
          <w:b/>
          <w:bCs/>
        </w:rPr>
        <w:t xml:space="preserve">11.41 </w:t>
      </w:r>
      <w:r w:rsidR="00AF3149" w:rsidRPr="00F2371D">
        <w:t xml:space="preserve">del RR antes de que se hayan agotado todas las vías </w:t>
      </w:r>
      <w:r w:rsidR="008F6475" w:rsidRPr="00F2371D">
        <w:t>disponibles</w:t>
      </w:r>
      <w:r w:rsidR="00AF3149" w:rsidRPr="00F2371D">
        <w:t xml:space="preserve"> para completar </w:t>
      </w:r>
      <w:r w:rsidRPr="00F2371D">
        <w:t>la coordinación.</w:t>
      </w:r>
    </w:p>
    <w:p w14:paraId="334EC226" w14:textId="6F7B0B09" w:rsidR="00225F71" w:rsidRPr="00F2371D" w:rsidRDefault="00225F71">
      <w:pPr>
        <w:tabs>
          <w:tab w:val="clear" w:pos="1134"/>
          <w:tab w:val="clear" w:pos="1871"/>
          <w:tab w:val="clear" w:pos="2268"/>
        </w:tabs>
        <w:overflowPunct/>
        <w:autoSpaceDE/>
        <w:autoSpaceDN/>
        <w:adjustRightInd/>
        <w:spacing w:before="0"/>
        <w:textAlignment w:val="auto"/>
      </w:pPr>
      <w:r w:rsidRPr="00F2371D">
        <w:br w:type="page"/>
      </w:r>
    </w:p>
    <w:p w14:paraId="18851004" w14:textId="221B4B20" w:rsidR="007B163A" w:rsidRPr="00F2371D" w:rsidRDefault="007B163A" w:rsidP="007B163A">
      <w:pPr>
        <w:pStyle w:val="Heading1"/>
      </w:pPr>
      <w:r w:rsidRPr="00F2371D">
        <w:lastRenderedPageBreak/>
        <w:t>5</w:t>
      </w:r>
      <w:r w:rsidRPr="00F2371D">
        <w:tab/>
      </w:r>
      <w:r w:rsidR="00AF3149" w:rsidRPr="00F2371D">
        <w:t xml:space="preserve">Cuestiones </w:t>
      </w:r>
      <w:r w:rsidRPr="00F2371D">
        <w:t>relacionad</w:t>
      </w:r>
      <w:r w:rsidR="00AF3149" w:rsidRPr="00F2371D">
        <w:t>a</w:t>
      </w:r>
      <w:r w:rsidRPr="00F2371D">
        <w:t>s con l</w:t>
      </w:r>
      <w:r w:rsidR="00AF3149" w:rsidRPr="00F2371D">
        <w:t>a</w:t>
      </w:r>
      <w:r w:rsidRPr="00F2371D">
        <w:t xml:space="preserve"> </w:t>
      </w:r>
      <w:r w:rsidR="00AF3149" w:rsidRPr="00F2371D">
        <w:t>PeS</w:t>
      </w:r>
      <w:r w:rsidRPr="00F2371D">
        <w:t xml:space="preserve"> de redes de satélites no geoestacionarios</w:t>
      </w:r>
    </w:p>
    <w:p w14:paraId="43C4203A" w14:textId="77777777" w:rsidR="007B163A" w:rsidRPr="00F2371D" w:rsidRDefault="007B163A" w:rsidP="007B163A">
      <w:pPr>
        <w:pStyle w:val="Heading2"/>
      </w:pPr>
      <w:r w:rsidRPr="00F2371D">
        <w:t>5.1</w:t>
      </w:r>
      <w:r w:rsidRPr="00F2371D">
        <w:tab/>
        <w:t>Antecedentes y debate</w:t>
      </w:r>
    </w:p>
    <w:p w14:paraId="56152271" w14:textId="782A0E12" w:rsidR="007B163A" w:rsidRPr="00F2371D" w:rsidRDefault="007B163A" w:rsidP="007B163A">
      <w:r w:rsidRPr="00F2371D">
        <w:t xml:space="preserve">En su informe, la Junta señala </w:t>
      </w:r>
      <w:r w:rsidR="008F6475" w:rsidRPr="00F2371D">
        <w:t xml:space="preserve">una serie de </w:t>
      </w:r>
      <w:r w:rsidRPr="00F2371D">
        <w:t xml:space="preserve">modificaciones </w:t>
      </w:r>
      <w:r w:rsidR="008F6475" w:rsidRPr="00F2371D">
        <w:t xml:space="preserve">recientes </w:t>
      </w:r>
      <w:r w:rsidRPr="00F2371D">
        <w:t>de solicitudes de coordinación de redes de satélites no OSG</w:t>
      </w:r>
      <w:r w:rsidR="008F6475" w:rsidRPr="00F2371D">
        <w:t xml:space="preserve"> existentes</w:t>
      </w:r>
      <w:r w:rsidRPr="00F2371D">
        <w:t>. Algunas de las modificaciones se limita</w:t>
      </w:r>
      <w:r w:rsidR="008F6475" w:rsidRPr="00F2371D">
        <w:t>ba</w:t>
      </w:r>
      <w:r w:rsidRPr="00F2371D">
        <w:t xml:space="preserve">n a la adición de un satélite en un plano orbital, lo que </w:t>
      </w:r>
      <w:r w:rsidR="008F6475" w:rsidRPr="00F2371D">
        <w:t>permitía</w:t>
      </w:r>
      <w:r w:rsidRPr="00F2371D">
        <w:t xml:space="preserve"> añadir los parámetros orbitales exactos del vehículo espacial que se </w:t>
      </w:r>
      <w:r w:rsidR="008F6475" w:rsidRPr="00F2371D">
        <w:t>iba a utilizar</w:t>
      </w:r>
      <w:r w:rsidRPr="00F2371D">
        <w:t xml:space="preserve"> para poner en servicio las asignaciones de frecuencias, </w:t>
      </w:r>
      <w:r w:rsidR="008500F8" w:rsidRPr="00F2371D">
        <w:t xml:space="preserve">a falta de las tolerancias orbitales </w:t>
      </w:r>
      <w:r w:rsidRPr="00F2371D">
        <w:t>acordadas.</w:t>
      </w:r>
    </w:p>
    <w:p w14:paraId="03D72CEF" w14:textId="6659D562" w:rsidR="007B163A" w:rsidRPr="00F2371D" w:rsidRDefault="008500F8" w:rsidP="007B163A">
      <w:bookmarkStart w:id="7" w:name="lt_pId731"/>
      <w:r w:rsidRPr="00F2371D">
        <w:t>Sin embargo, ciertas modificaciones inclu</w:t>
      </w:r>
      <w:r w:rsidR="008F6475" w:rsidRPr="00F2371D">
        <w:t>ía</w:t>
      </w:r>
      <w:r w:rsidRPr="00F2371D">
        <w:t xml:space="preserve">n la adición de un nuevo plano orbital con un nuevo satélite, cuyas características </w:t>
      </w:r>
      <w:r w:rsidR="008F6475" w:rsidRPr="00F2371D">
        <w:t>podían</w:t>
      </w:r>
      <w:r w:rsidRPr="00F2371D">
        <w:t xml:space="preserve"> diferir significativamente de las del resto del sistema no OSG objeto de coordinación, incluso con altitudes orbitales en las que se rebasar</w:t>
      </w:r>
      <w:r w:rsidR="008F6475" w:rsidRPr="00F2371D">
        <w:t>ía</w:t>
      </w:r>
      <w:r w:rsidRPr="00F2371D">
        <w:t>n las tolerancias que ha</w:t>
      </w:r>
      <w:r w:rsidR="008F6475" w:rsidRPr="00F2371D">
        <w:t>bía</w:t>
      </w:r>
      <w:r w:rsidRPr="00F2371D">
        <w:t xml:space="preserve"> de considerar la CMR-23.</w:t>
      </w:r>
      <w:bookmarkEnd w:id="7"/>
      <w:r w:rsidRPr="00F2371D">
        <w:t xml:space="preserve"> </w:t>
      </w:r>
      <w:bookmarkStart w:id="8" w:name="lt_pId732"/>
      <w:r w:rsidRPr="00F2371D">
        <w:t>En esos casos se plantea</w:t>
      </w:r>
      <w:r w:rsidR="008F6475" w:rsidRPr="00F2371D">
        <w:t>ba</w:t>
      </w:r>
      <w:r w:rsidRPr="00F2371D">
        <w:t xml:space="preserve"> la cuestión de si un vehículo espacial con capacidad para recibir o transmitir en las asignaciones de frecuencias descritas en la modificación se ajust</w:t>
      </w:r>
      <w:r w:rsidR="008F6475" w:rsidRPr="00F2371D">
        <w:t>ab</w:t>
      </w:r>
      <w:r w:rsidRPr="00F2371D">
        <w:t>a a los requisitos de los números </w:t>
      </w:r>
      <w:r w:rsidRPr="00F2371D">
        <w:rPr>
          <w:b/>
          <w:bCs/>
        </w:rPr>
        <w:t>11.44C</w:t>
      </w:r>
      <w:r w:rsidRPr="00F2371D">
        <w:t xml:space="preserve"> y </w:t>
      </w:r>
      <w:r w:rsidRPr="00F2371D">
        <w:rPr>
          <w:b/>
          <w:bCs/>
        </w:rPr>
        <w:t xml:space="preserve">11.44D </w:t>
      </w:r>
      <w:r w:rsidRPr="00F2371D">
        <w:t>para los demás grupos de asignaciones de frecuencias</w:t>
      </w:r>
      <w:bookmarkEnd w:id="8"/>
      <w:r w:rsidR="007B163A" w:rsidRPr="00F2371D">
        <w:t>.</w:t>
      </w:r>
    </w:p>
    <w:p w14:paraId="70E3852B" w14:textId="6DF68206" w:rsidR="007B163A" w:rsidRPr="00F2371D" w:rsidRDefault="007B163A" w:rsidP="007B163A">
      <w:r w:rsidRPr="00F2371D">
        <w:t xml:space="preserve">La Junta invita a la CMR-23 a que encargue al UIT-R que estudie posibles medidas para limitar </w:t>
      </w:r>
      <w:r w:rsidR="008500F8" w:rsidRPr="00F2371D">
        <w:t>la práctica consistente en introducir un plano orbital completamente distinto, cuya necesidad no se prevé para el funcionamiento de la constelación, a</w:t>
      </w:r>
      <w:r w:rsidRPr="00F2371D">
        <w:t xml:space="preserve"> fin de satisfacer los requisitos </w:t>
      </w:r>
      <w:r w:rsidR="008500F8" w:rsidRPr="00F2371D">
        <w:t>en materia de puesta en servicio o reanudación del servicio de</w:t>
      </w:r>
      <w:r w:rsidRPr="00F2371D">
        <w:t xml:space="preserve"> las asignaciones de frecuencias.</w:t>
      </w:r>
    </w:p>
    <w:p w14:paraId="6378B33D" w14:textId="77777777" w:rsidR="007B163A" w:rsidRPr="00F2371D" w:rsidRDefault="007B163A" w:rsidP="007B163A">
      <w:pPr>
        <w:pStyle w:val="Heading2"/>
      </w:pPr>
      <w:r w:rsidRPr="00F2371D">
        <w:t>5.2</w:t>
      </w:r>
      <w:r w:rsidRPr="00F2371D">
        <w:tab/>
        <w:t>Comentarios</w:t>
      </w:r>
    </w:p>
    <w:p w14:paraId="2881054D" w14:textId="1C804CCE" w:rsidR="007B163A" w:rsidRPr="00F2371D" w:rsidRDefault="007B163A" w:rsidP="007B163A">
      <w:r w:rsidRPr="00F2371D">
        <w:t xml:space="preserve">A Canadá le preocupan algunas de las modificaciones observadas en </w:t>
      </w:r>
      <w:r w:rsidR="008500F8" w:rsidRPr="00F2371D">
        <w:t>ciertas</w:t>
      </w:r>
      <w:r w:rsidRPr="00F2371D">
        <w:t xml:space="preserve"> solicitudes de coordinación de redes de satélites no OSG. Aunque </w:t>
      </w:r>
      <w:r w:rsidR="008500F8" w:rsidRPr="00F2371D">
        <w:t xml:space="preserve">parte </w:t>
      </w:r>
      <w:r w:rsidRPr="00F2371D">
        <w:t xml:space="preserve">de los casos identificados por la Junta </w:t>
      </w:r>
      <w:r w:rsidR="008500F8" w:rsidRPr="00F2371D">
        <w:t>podría</w:t>
      </w:r>
      <w:r w:rsidRPr="00F2371D">
        <w:t xml:space="preserve"> resolverse con la finalización de los trabajos </w:t>
      </w:r>
      <w:r w:rsidR="008500F8" w:rsidRPr="00F2371D">
        <w:t xml:space="preserve">relativos a </w:t>
      </w:r>
      <w:r w:rsidRPr="00F2371D">
        <w:t xml:space="preserve">las tolerancias orbitales, parece que, en </w:t>
      </w:r>
      <w:r w:rsidR="008500F8" w:rsidRPr="00F2371D">
        <w:t>otros</w:t>
      </w:r>
      <w:r w:rsidRPr="00F2371D">
        <w:t xml:space="preserve">, se </w:t>
      </w:r>
      <w:r w:rsidR="008500F8" w:rsidRPr="00F2371D">
        <w:t xml:space="preserve">ha </w:t>
      </w:r>
      <w:r w:rsidRPr="00F2371D">
        <w:t>añad</w:t>
      </w:r>
      <w:r w:rsidR="008500F8" w:rsidRPr="00F2371D">
        <w:t>ido</w:t>
      </w:r>
      <w:r w:rsidRPr="00F2371D">
        <w:t xml:space="preserve"> una estación espacial c</w:t>
      </w:r>
      <w:r w:rsidR="008500F8" w:rsidRPr="00F2371D">
        <w:t>uyas</w:t>
      </w:r>
      <w:r w:rsidRPr="00F2371D">
        <w:t xml:space="preserve"> características orbitales</w:t>
      </w:r>
      <w:r w:rsidR="008500F8" w:rsidRPr="00F2371D">
        <w:t xml:space="preserve"> difieren significativamente de las del resto</w:t>
      </w:r>
      <w:r w:rsidRPr="00F2371D">
        <w:t xml:space="preserve"> </w:t>
      </w:r>
      <w:r w:rsidR="008500F8" w:rsidRPr="00F2371D">
        <w:t>de</w:t>
      </w:r>
      <w:r w:rsidRPr="00F2371D">
        <w:t xml:space="preserve"> </w:t>
      </w:r>
      <w:r w:rsidR="008500F8" w:rsidRPr="00F2371D">
        <w:t>estaciones descritas en la</w:t>
      </w:r>
      <w:r w:rsidR="00E32001" w:rsidRPr="00F2371D">
        <w:t>s</w:t>
      </w:r>
      <w:r w:rsidR="008500F8" w:rsidRPr="00F2371D">
        <w:t xml:space="preserve"> correspondiente</w:t>
      </w:r>
      <w:r w:rsidR="00E32001" w:rsidRPr="00F2371D">
        <w:t>s</w:t>
      </w:r>
      <w:r w:rsidR="008500F8" w:rsidRPr="00F2371D">
        <w:t xml:space="preserve"> notificaci</w:t>
      </w:r>
      <w:r w:rsidR="00E32001" w:rsidRPr="00F2371D">
        <w:t>ones</w:t>
      </w:r>
      <w:r w:rsidRPr="00F2371D">
        <w:t xml:space="preserve">. </w:t>
      </w:r>
      <w:r w:rsidR="008500F8" w:rsidRPr="00F2371D">
        <w:t xml:space="preserve">Las estaciones </w:t>
      </w:r>
      <w:r w:rsidRPr="00F2371D">
        <w:t>espacial</w:t>
      </w:r>
      <w:r w:rsidR="008500F8" w:rsidRPr="00F2371D">
        <w:t>es cuyas</w:t>
      </w:r>
      <w:r w:rsidRPr="00F2371D">
        <w:t xml:space="preserve"> características orbitales</w:t>
      </w:r>
      <w:r w:rsidR="008500F8" w:rsidRPr="00F2371D">
        <w:t xml:space="preserve"> son</w:t>
      </w:r>
      <w:r w:rsidRPr="00F2371D">
        <w:t xml:space="preserve"> significativamente </w:t>
      </w:r>
      <w:r w:rsidR="008500F8" w:rsidRPr="00F2371D">
        <w:t>distintas</w:t>
      </w:r>
      <w:r w:rsidRPr="00F2371D">
        <w:t xml:space="preserve"> podría</w:t>
      </w:r>
      <w:r w:rsidR="008500F8" w:rsidRPr="00F2371D">
        <w:t>n</w:t>
      </w:r>
      <w:r w:rsidRPr="00F2371D">
        <w:t xml:space="preserve"> utilizarse para poner en </w:t>
      </w:r>
      <w:r w:rsidR="008500F8" w:rsidRPr="00F2371D">
        <w:t>servicio</w:t>
      </w:r>
      <w:r w:rsidRPr="00F2371D">
        <w:t xml:space="preserve"> todas las asignaciones </w:t>
      </w:r>
      <w:r w:rsidR="008500F8" w:rsidRPr="00F2371D">
        <w:t>previstas en la notificación, inclu</w:t>
      </w:r>
      <w:r w:rsidR="006E3D55" w:rsidRPr="00F2371D">
        <w:t>so aunque</w:t>
      </w:r>
      <w:r w:rsidRPr="00F2371D">
        <w:t xml:space="preserve"> ninguna de las asignaciones de frecuencia</w:t>
      </w:r>
      <w:r w:rsidR="006E3D55" w:rsidRPr="00F2371D">
        <w:t>s</w:t>
      </w:r>
      <w:r w:rsidRPr="00F2371D">
        <w:t xml:space="preserve"> a las estaciones espaciales asociadas con los planos orbitales de</w:t>
      </w:r>
      <w:r w:rsidR="006E3D55" w:rsidRPr="00F2371D">
        <w:t xml:space="preserve"> </w:t>
      </w:r>
      <w:r w:rsidRPr="00F2371D">
        <w:t>l</w:t>
      </w:r>
      <w:r w:rsidR="006E3D55" w:rsidRPr="00F2371D">
        <w:t>a notificación</w:t>
      </w:r>
      <w:r w:rsidRPr="00F2371D">
        <w:t xml:space="preserve"> original se haya puesto en</w:t>
      </w:r>
      <w:r w:rsidR="006E3D55" w:rsidRPr="00F2371D">
        <w:t xml:space="preserve"> servicio en la práctica</w:t>
      </w:r>
      <w:r w:rsidRPr="00F2371D">
        <w:t>. Est</w:t>
      </w:r>
      <w:r w:rsidR="006E3D55" w:rsidRPr="00F2371D">
        <w:t xml:space="preserve">a situación </w:t>
      </w:r>
      <w:r w:rsidRPr="00F2371D">
        <w:t>plantea</w:t>
      </w:r>
      <w:r w:rsidR="006E3D55" w:rsidRPr="00F2371D">
        <w:t xml:space="preserve"> hondas inquietudes</w:t>
      </w:r>
      <w:r w:rsidRPr="00F2371D">
        <w:t xml:space="preserve"> con respecto al uso eficiente del espectro y a</w:t>
      </w:r>
      <w:r w:rsidR="006E3D55" w:rsidRPr="00F2371D">
        <w:t xml:space="preserve"> </w:t>
      </w:r>
      <w:r w:rsidRPr="00F2371D">
        <w:t>l</w:t>
      </w:r>
      <w:r w:rsidR="006E3D55" w:rsidRPr="00F2371D">
        <w:t>a</w:t>
      </w:r>
      <w:r w:rsidRPr="00F2371D">
        <w:t xml:space="preserve"> po</w:t>
      </w:r>
      <w:r w:rsidR="006E3D55" w:rsidRPr="00F2371D">
        <w:t xml:space="preserve">sible </w:t>
      </w:r>
      <w:r w:rsidRPr="00F2371D">
        <w:t xml:space="preserve">reserva de </w:t>
      </w:r>
      <w:r w:rsidR="006E3D55" w:rsidRPr="00F2371D">
        <w:t>recursos espectrales y orbitales.</w:t>
      </w:r>
    </w:p>
    <w:p w14:paraId="78B52227" w14:textId="1347D657" w:rsidR="007B163A" w:rsidRPr="00F2371D" w:rsidRDefault="006E3D55" w:rsidP="006E3D55">
      <w:r w:rsidRPr="00F2371D">
        <w:t>A tenor del</w:t>
      </w:r>
      <w:r w:rsidR="007B163A" w:rsidRPr="00F2371D">
        <w:t xml:space="preserve"> número </w:t>
      </w:r>
      <w:r w:rsidR="007B163A" w:rsidRPr="00F2371D">
        <w:rPr>
          <w:b/>
          <w:bCs/>
        </w:rPr>
        <w:t>11.44C</w:t>
      </w:r>
      <w:r w:rsidRPr="00F2371D">
        <w:t xml:space="preserve"> del RR</w:t>
      </w:r>
      <w:r w:rsidR="007B163A" w:rsidRPr="00F2371D">
        <w:t xml:space="preserve">, </w:t>
      </w:r>
      <w:r w:rsidR="00F2371D" w:rsidRPr="00F2371D">
        <w:t>«</w:t>
      </w:r>
      <w:r w:rsidRPr="00F2371D">
        <w:t>se considerará que una asignación de frecuencias a una estación espacial de una red o sistema en una órbita de satélites no geoestacionarios del servicio fijo por satélite, del servicio móvil por satélite o del servicio de radiodifusión por satélite se ha puesto en servicio cuando una estación espacial capaz de transmitir o recibir en esa asignación de frecuencias se haya desplegado y mantenido en uno de los planos orbitales notificados de la red o del sistema satélites no geoestacionarios durante un periodo continuo de 90 días, con independencia del número de planos orbitales y de satélites por plano orbital de la red o del sistema que se hayan notificado</w:t>
      </w:r>
      <w:r w:rsidR="00F2371D" w:rsidRPr="00F2371D">
        <w:t>»</w:t>
      </w:r>
      <w:r w:rsidRPr="00F2371D">
        <w:t>.</w:t>
      </w:r>
    </w:p>
    <w:p w14:paraId="57EC216F" w14:textId="744E5624" w:rsidR="007B163A" w:rsidRPr="00F2371D" w:rsidRDefault="007B163A" w:rsidP="007B163A">
      <w:r w:rsidRPr="00F2371D">
        <w:t xml:space="preserve">El </w:t>
      </w:r>
      <w:r w:rsidR="006E3D55" w:rsidRPr="00F2371D">
        <w:t xml:space="preserve">número </w:t>
      </w:r>
      <w:r w:rsidR="006E3D55" w:rsidRPr="00F2371D">
        <w:rPr>
          <w:b/>
          <w:bCs/>
        </w:rPr>
        <w:t>11.44C</w:t>
      </w:r>
      <w:r w:rsidR="006E3D55" w:rsidRPr="00F2371D">
        <w:t xml:space="preserve"> del RR </w:t>
      </w:r>
      <w:r w:rsidRPr="00F2371D">
        <w:t xml:space="preserve">parece </w:t>
      </w:r>
      <w:r w:rsidR="006E3D55" w:rsidRPr="00F2371D">
        <w:t>estipular que una única</w:t>
      </w:r>
      <w:r w:rsidRPr="00F2371D">
        <w:t xml:space="preserve"> estación espacial en un plano orbital con la correspondiente capacidad de transmisión y recepción sea suficiente para poner en </w:t>
      </w:r>
      <w:r w:rsidR="006E3D55" w:rsidRPr="00F2371D">
        <w:t>servicio</w:t>
      </w:r>
      <w:r w:rsidRPr="00F2371D">
        <w:t xml:space="preserve"> una asignación de frecuencia</w:t>
      </w:r>
      <w:r w:rsidR="006E3D55" w:rsidRPr="00F2371D">
        <w:t>s</w:t>
      </w:r>
      <w:r w:rsidRPr="00F2371D">
        <w:t>, incluso</w:t>
      </w:r>
      <w:r w:rsidR="006E3D55" w:rsidRPr="00F2371D">
        <w:t xml:space="preserve"> en el caso de las notificaciones </w:t>
      </w:r>
      <w:r w:rsidRPr="00F2371D">
        <w:t>que incluy</w:t>
      </w:r>
      <w:r w:rsidR="006E3D55" w:rsidRPr="00F2371D">
        <w:t>e</w:t>
      </w:r>
      <w:r w:rsidRPr="00F2371D">
        <w:t xml:space="preserve">n planos orbitales con diferentes características, </w:t>
      </w:r>
      <w:r w:rsidR="00E32001" w:rsidRPr="00F2371D">
        <w:t>en concreto</w:t>
      </w:r>
      <w:r w:rsidRPr="00F2371D">
        <w:t>, altitudes y/o</w:t>
      </w:r>
      <w:r w:rsidR="006E3D55" w:rsidRPr="00F2371D">
        <w:t xml:space="preserve"> grados de</w:t>
      </w:r>
      <w:r w:rsidRPr="00F2371D">
        <w:t xml:space="preserve"> inclinación.</w:t>
      </w:r>
    </w:p>
    <w:p w14:paraId="18CB957D" w14:textId="6EC8DFDB" w:rsidR="007B163A" w:rsidRPr="00F2371D" w:rsidRDefault="007B163A" w:rsidP="00330D9F">
      <w:r w:rsidRPr="00F2371D">
        <w:t xml:space="preserve">Sin embargo, una cuestión más fundamental que plantea esta </w:t>
      </w:r>
      <w:r w:rsidR="00330D9F" w:rsidRPr="00F2371D">
        <w:t>problemática</w:t>
      </w:r>
      <w:r w:rsidRPr="00F2371D">
        <w:t xml:space="preserve"> es la propia definición de</w:t>
      </w:r>
      <w:r w:rsidR="00E32001" w:rsidRPr="00F2371D">
        <w:t>l concepto de</w:t>
      </w:r>
      <w:r w:rsidRPr="00F2371D">
        <w:t xml:space="preserve"> asignación de frecuencias en el contexto de los sistemas no OSG. Por ejemplo, </w:t>
      </w:r>
      <w:r w:rsidRPr="00F2371D">
        <w:lastRenderedPageBreak/>
        <w:t xml:space="preserve">¿debemos suponer que las asignaciones a una estación espacial no OSG </w:t>
      </w:r>
      <w:r w:rsidR="00330D9F" w:rsidRPr="00F2371D">
        <w:t>que poseen</w:t>
      </w:r>
      <w:r w:rsidRPr="00F2371D">
        <w:t xml:space="preserve"> las mismas características, salvo las</w:t>
      </w:r>
      <w:r w:rsidR="00330D9F" w:rsidRPr="00F2371D">
        <w:t xml:space="preserve"> relativas a</w:t>
      </w:r>
      <w:r w:rsidRPr="00F2371D">
        <w:t xml:space="preserve">l plano orbital, son las mismas asignaciones? </w:t>
      </w:r>
      <w:r w:rsidR="00330D9F" w:rsidRPr="00F2371D">
        <w:t>Dicho claramente, todas las asignaciones de frecuencias notificadas deben ponerse en servicio</w:t>
      </w:r>
      <w:r w:rsidRPr="00F2371D">
        <w:t xml:space="preserve">. </w:t>
      </w:r>
      <w:r w:rsidR="00735827" w:rsidRPr="00F2371D">
        <w:t>Lo que se plantea en este caso es si</w:t>
      </w:r>
      <w:r w:rsidRPr="00F2371D">
        <w:t xml:space="preserve"> una asignación de frecuencia</w:t>
      </w:r>
      <w:r w:rsidR="00735827" w:rsidRPr="00F2371D">
        <w:t>s</w:t>
      </w:r>
      <w:r w:rsidRPr="00F2371D">
        <w:t xml:space="preserve"> asociada a una estación espacial </w:t>
      </w:r>
      <w:r w:rsidR="00E32001" w:rsidRPr="00F2371D">
        <w:t>en</w:t>
      </w:r>
      <w:r w:rsidRPr="00F2371D">
        <w:t xml:space="preserve"> un plano orbital notificado a una altitud de 1 000 km es la misma que una asignación de frecuencia</w:t>
      </w:r>
      <w:r w:rsidR="00735827" w:rsidRPr="00F2371D">
        <w:t>s</w:t>
      </w:r>
      <w:r w:rsidRPr="00F2371D">
        <w:t xml:space="preserve"> asociada a una estación espacial </w:t>
      </w:r>
      <w:r w:rsidR="00E32001" w:rsidRPr="00F2371D">
        <w:t>en</w:t>
      </w:r>
      <w:r w:rsidRPr="00F2371D">
        <w:t xml:space="preserve"> un plano orbital notificado a una altitud de 900 km, o</w:t>
      </w:r>
      <w:r w:rsidR="00735827" w:rsidRPr="00F2371D">
        <w:t>, por el contrario</w:t>
      </w:r>
      <w:r w:rsidRPr="00F2371D">
        <w:t xml:space="preserve">, </w:t>
      </w:r>
      <w:r w:rsidR="00735827" w:rsidRPr="00F2371D">
        <w:t>cuán diferentes deben ser</w:t>
      </w:r>
      <w:r w:rsidRPr="00F2371D">
        <w:t xml:space="preserve"> las características </w:t>
      </w:r>
      <w:r w:rsidR="00735827" w:rsidRPr="00F2371D">
        <w:t xml:space="preserve">de las asignaciones de frecuencias </w:t>
      </w:r>
      <w:r w:rsidRPr="00F2371D">
        <w:t xml:space="preserve">del Apéndice </w:t>
      </w:r>
      <w:r w:rsidRPr="00F2371D">
        <w:rPr>
          <w:b/>
          <w:bCs/>
        </w:rPr>
        <w:t xml:space="preserve">4 </w:t>
      </w:r>
      <w:r w:rsidRPr="00F2371D">
        <w:t xml:space="preserve">del RR </w:t>
      </w:r>
      <w:r w:rsidR="00735827" w:rsidRPr="00F2371D">
        <w:t>que guardan relación con</w:t>
      </w:r>
      <w:r w:rsidRPr="00F2371D">
        <w:t xml:space="preserve"> las características orbitales de las estaciones espaciales que l</w:t>
      </w:r>
      <w:r w:rsidR="00735827" w:rsidRPr="00F2371D">
        <w:t>as</w:t>
      </w:r>
      <w:r w:rsidRPr="00F2371D">
        <w:t xml:space="preserve"> utilizan para</w:t>
      </w:r>
      <w:r w:rsidR="00735827" w:rsidRPr="00F2371D">
        <w:t xml:space="preserve"> </w:t>
      </w:r>
      <w:r w:rsidR="00E32001" w:rsidRPr="00F2371D">
        <w:t>ser consideradas</w:t>
      </w:r>
      <w:r w:rsidR="00735827" w:rsidRPr="00F2371D">
        <w:t xml:space="preserve"> </w:t>
      </w:r>
      <w:r w:rsidR="00735827" w:rsidRPr="00F2371D">
        <w:rPr>
          <w:i/>
          <w:iCs/>
        </w:rPr>
        <w:t>de facto</w:t>
      </w:r>
      <w:r w:rsidRPr="00F2371D">
        <w:t xml:space="preserve"> asignaci</w:t>
      </w:r>
      <w:r w:rsidR="00735827" w:rsidRPr="00F2371D">
        <w:t>ones distintas</w:t>
      </w:r>
      <w:r w:rsidR="00E32001" w:rsidRPr="00F2371D">
        <w:t>.</w:t>
      </w:r>
    </w:p>
    <w:p w14:paraId="5532A10B" w14:textId="4A003BAD" w:rsidR="007B163A" w:rsidRPr="00F2371D" w:rsidRDefault="00A7663B" w:rsidP="007B163A">
      <w:r w:rsidRPr="00F2371D">
        <w:t>Con objeto de</w:t>
      </w:r>
      <w:r w:rsidR="007B163A" w:rsidRPr="00F2371D">
        <w:t xml:space="preserve"> abordar estas cuestiones, también merece la pena considerar la definición de </w:t>
      </w:r>
      <w:r w:rsidR="00F2371D" w:rsidRPr="00F2371D">
        <w:t>«</w:t>
      </w:r>
      <w:r w:rsidR="007B163A" w:rsidRPr="00F2371D">
        <w:t>asignación</w:t>
      </w:r>
      <w:r w:rsidR="00F2371D" w:rsidRPr="00F2371D">
        <w:t>»</w:t>
      </w:r>
      <w:r w:rsidRPr="00F2371D">
        <w:t xml:space="preserve"> que figura en el número </w:t>
      </w:r>
      <w:r w:rsidR="007B163A" w:rsidRPr="00F2371D">
        <w:rPr>
          <w:b/>
          <w:bCs/>
        </w:rPr>
        <w:t xml:space="preserve">1.18 </w:t>
      </w:r>
      <w:r w:rsidRPr="00F2371D">
        <w:t xml:space="preserve">del RR, así como la </w:t>
      </w:r>
      <w:r w:rsidR="007B163A" w:rsidRPr="00F2371D">
        <w:t>R</w:t>
      </w:r>
      <w:r w:rsidRPr="00F2371D">
        <w:t>d</w:t>
      </w:r>
      <w:r w:rsidR="007B163A" w:rsidRPr="00F2371D">
        <w:t xml:space="preserve">P </w:t>
      </w:r>
      <w:r w:rsidRPr="00F2371D">
        <w:t xml:space="preserve">relativa al número </w:t>
      </w:r>
      <w:r w:rsidR="007B163A" w:rsidRPr="00F2371D">
        <w:rPr>
          <w:b/>
          <w:bCs/>
        </w:rPr>
        <w:t>1.112</w:t>
      </w:r>
      <w:r w:rsidRPr="00F2371D">
        <w:t xml:space="preserve"> del RR</w:t>
      </w:r>
      <w:r w:rsidR="007B163A" w:rsidRPr="00F2371D">
        <w:t>, que establece lo siguiente para los sistemas no OSG:</w:t>
      </w:r>
    </w:p>
    <w:p w14:paraId="12590B86" w14:textId="64898C3E" w:rsidR="007B163A" w:rsidRPr="00F2371D" w:rsidRDefault="007B163A" w:rsidP="00225F71">
      <w:pPr>
        <w:ind w:left="1134" w:hanging="1134"/>
        <w:rPr>
          <w:i/>
          <w:iCs/>
        </w:rPr>
      </w:pPr>
      <w:r w:rsidRPr="00F2371D">
        <w:rPr>
          <w:b/>
          <w:bCs/>
          <w:i/>
          <w:iCs/>
        </w:rPr>
        <w:tab/>
        <w:t>1.18</w:t>
      </w:r>
      <w:r w:rsidR="00A7663B" w:rsidRPr="00F2371D">
        <w:rPr>
          <w:b/>
          <w:bCs/>
          <w:i/>
          <w:iCs/>
        </w:rPr>
        <w:tab/>
      </w:r>
      <w:r w:rsidR="00AD19CE" w:rsidRPr="00F2371D">
        <w:rPr>
          <w:i/>
          <w:iCs/>
        </w:rPr>
        <w:t xml:space="preserve">asignación (de una frecuencia o de un canal radioeléctrico):  Autorización que da una administración para que </w:t>
      </w:r>
      <w:r w:rsidR="00AD19CE" w:rsidRPr="00F2371D">
        <w:rPr>
          <w:b/>
          <w:bCs/>
          <w:i/>
          <w:iCs/>
          <w:u w:val="single"/>
        </w:rPr>
        <w:t>una estación radioeléctrica</w:t>
      </w:r>
      <w:r w:rsidR="00AD19CE" w:rsidRPr="00F2371D">
        <w:rPr>
          <w:i/>
          <w:iCs/>
        </w:rPr>
        <w:t xml:space="preserve"> utilice una frecuencia o un canal radioeléctrico determinado en condiciones especificadas.</w:t>
      </w:r>
    </w:p>
    <w:p w14:paraId="7D1BD610" w14:textId="76EF4925" w:rsidR="007B163A" w:rsidRPr="00F2371D" w:rsidRDefault="00AD19CE" w:rsidP="007B163A">
      <w:r w:rsidRPr="00F2371D">
        <w:t xml:space="preserve">RdP relativa al número </w:t>
      </w:r>
      <w:r w:rsidRPr="00F2371D">
        <w:rPr>
          <w:b/>
          <w:bCs/>
        </w:rPr>
        <w:t>1.112</w:t>
      </w:r>
      <w:r w:rsidRPr="00F2371D">
        <w:t xml:space="preserve"> del RR</w:t>
      </w:r>
      <w:r w:rsidR="007B163A" w:rsidRPr="00F2371D">
        <w:t>:</w:t>
      </w:r>
    </w:p>
    <w:p w14:paraId="3FCACE06" w14:textId="02140CFF" w:rsidR="00E32001" w:rsidRPr="00F2371D" w:rsidRDefault="007B163A" w:rsidP="006063E8">
      <w:pPr>
        <w:ind w:left="1134" w:hanging="1134"/>
      </w:pPr>
      <w:r w:rsidRPr="00F2371D">
        <w:tab/>
      </w:r>
      <w:r w:rsidR="00F2371D" w:rsidRPr="00F2371D">
        <w:t>«</w:t>
      </w:r>
      <w:r w:rsidR="00AD19CE" w:rsidRPr="00F2371D">
        <w:t>Según esta definición, cuando un sistema de satélites consta de un solo satélite es al mismo tiempo una red de satélites, en tanto que cuando consta de varios satélites, cada una de sus partes que contiene un satélite es una red de satélites.</w:t>
      </w:r>
    </w:p>
    <w:p w14:paraId="2A40C399" w14:textId="77777777" w:rsidR="007B163A" w:rsidRPr="00F2371D" w:rsidRDefault="007B163A" w:rsidP="006063E8">
      <w:pPr>
        <w:ind w:left="1134" w:hanging="1134"/>
      </w:pPr>
      <w:r w:rsidRPr="00F2371D">
        <w:tab/>
        <w:t>[...]</w:t>
      </w:r>
    </w:p>
    <w:p w14:paraId="119C979B" w14:textId="6D55DEAC" w:rsidR="007B163A" w:rsidRPr="00F2371D" w:rsidRDefault="007B163A" w:rsidP="006063E8">
      <w:pPr>
        <w:ind w:left="1134" w:hanging="1134"/>
      </w:pPr>
      <w:r w:rsidRPr="00F2371D">
        <w:tab/>
      </w:r>
      <w:r w:rsidRPr="00F2371D">
        <w:rPr>
          <w:i/>
          <w:iCs/>
        </w:rPr>
        <w:t>c)</w:t>
      </w:r>
      <w:r w:rsidRPr="00F2371D">
        <w:tab/>
      </w:r>
      <w:r w:rsidR="00AD19CE" w:rsidRPr="00F2371D">
        <w:t>un sistema de satélites no geoestacionarios compuesto por uno o varios planos orbitales, cada uno con uno o más satélites por plano orbital con características idénticas, es considerado como una red de satélites</w:t>
      </w:r>
      <w:r w:rsidRPr="00F2371D">
        <w:t>. [...]</w:t>
      </w:r>
      <w:r w:rsidR="00F2371D" w:rsidRPr="00F2371D">
        <w:t>»</w:t>
      </w:r>
    </w:p>
    <w:p w14:paraId="7938F111" w14:textId="495463FA" w:rsidR="007B163A" w:rsidRPr="00F2371D" w:rsidRDefault="00AD19CE" w:rsidP="007B163A">
      <w:r w:rsidRPr="00F2371D">
        <w:t>Quizás sea</w:t>
      </w:r>
      <w:r w:rsidR="007B163A" w:rsidRPr="00F2371D">
        <w:t xml:space="preserve"> necesario que el</w:t>
      </w:r>
      <w:r w:rsidRPr="00F2371D">
        <w:t xml:space="preserve"> UIT-R</w:t>
      </w:r>
      <w:r w:rsidR="007B163A" w:rsidRPr="00F2371D">
        <w:t xml:space="preserve"> determine si </w:t>
      </w:r>
      <w:r w:rsidR="0049396F" w:rsidRPr="00F2371D">
        <w:t xml:space="preserve">puede considerarse que </w:t>
      </w:r>
      <w:r w:rsidR="007B163A" w:rsidRPr="00F2371D">
        <w:t>dos estaciones espaciales que transmiten o reciben en el</w:t>
      </w:r>
      <w:r w:rsidR="0049396F" w:rsidRPr="00F2371D">
        <w:t xml:space="preserve"> mismo</w:t>
      </w:r>
      <w:r w:rsidR="007B163A" w:rsidRPr="00F2371D">
        <w:t xml:space="preserve"> canal de radiofrecuencia</w:t>
      </w:r>
      <w:r w:rsidRPr="00F2371D">
        <w:t>s</w:t>
      </w:r>
      <w:r w:rsidR="007B163A" w:rsidRPr="00F2371D">
        <w:t xml:space="preserve"> del mismo servicio </w:t>
      </w:r>
      <w:r w:rsidR="0049396F" w:rsidRPr="00F2371D">
        <w:t>utilizan la misma a</w:t>
      </w:r>
      <w:r w:rsidR="007B163A" w:rsidRPr="00F2371D">
        <w:t>signación de frecuencia</w:t>
      </w:r>
      <w:r w:rsidR="0049396F" w:rsidRPr="00F2371D">
        <w:t>s</w:t>
      </w:r>
      <w:r w:rsidR="007B163A" w:rsidRPr="00F2371D">
        <w:t xml:space="preserve"> y, en caso afirmativo, en qué condiciones.</w:t>
      </w:r>
    </w:p>
    <w:p w14:paraId="7638A98D" w14:textId="77777777" w:rsidR="00A75DF0" w:rsidRPr="00F2371D" w:rsidRDefault="00853CC3">
      <w:pPr>
        <w:pStyle w:val="Proposal"/>
      </w:pPr>
      <w:r w:rsidRPr="00F2371D">
        <w:tab/>
        <w:t>CAN/86A26/6</w:t>
      </w:r>
    </w:p>
    <w:p w14:paraId="4F7AE114" w14:textId="7AEB4D8F" w:rsidR="007B163A" w:rsidRPr="00F2371D" w:rsidRDefault="007B163A" w:rsidP="0049396F">
      <w:r w:rsidRPr="00F2371D">
        <w:rPr>
          <w:lang w:eastAsia="zh-CN"/>
        </w:rPr>
        <w:t xml:space="preserve">Canadá propone que la </w:t>
      </w:r>
      <w:r w:rsidRPr="00F2371D">
        <w:t xml:space="preserve">Conferencia invite al </w:t>
      </w:r>
      <w:r w:rsidRPr="00F2371D">
        <w:rPr>
          <w:lang w:eastAsia="zh-CN"/>
        </w:rPr>
        <w:t>ITU</w:t>
      </w:r>
      <w:r w:rsidR="003309A0">
        <w:rPr>
          <w:lang w:eastAsia="zh-CN"/>
        </w:rPr>
        <w:t>-</w:t>
      </w:r>
      <w:r w:rsidRPr="00F2371D">
        <w:rPr>
          <w:lang w:eastAsia="zh-CN"/>
        </w:rPr>
        <w:t xml:space="preserve">R </w:t>
      </w:r>
      <w:r w:rsidRPr="00F2371D">
        <w:t xml:space="preserve">a aclarar, en caso necesario, </w:t>
      </w:r>
      <w:r w:rsidR="0049396F" w:rsidRPr="00F2371D">
        <w:t>el concepto de</w:t>
      </w:r>
      <w:r w:rsidRPr="00F2371D">
        <w:t xml:space="preserve"> asignación de frecuencias </w:t>
      </w:r>
      <w:r w:rsidR="0049396F" w:rsidRPr="00F2371D">
        <w:t xml:space="preserve">en relación con los </w:t>
      </w:r>
      <w:r w:rsidRPr="00F2371D">
        <w:t xml:space="preserve">sistemas de satélites no OSG y a estudiar posibles medidas para limitar la práctica </w:t>
      </w:r>
      <w:r w:rsidR="0049396F" w:rsidRPr="00F2371D">
        <w:t>consistente en</w:t>
      </w:r>
      <w:r w:rsidRPr="00F2371D">
        <w:t xml:space="preserve"> introducir un plano orbital completamente di</w:t>
      </w:r>
      <w:r w:rsidR="0049396F" w:rsidRPr="00F2371D">
        <w:t xml:space="preserve">stinto, cuya necesidad no se prevé </w:t>
      </w:r>
      <w:r w:rsidRPr="00F2371D">
        <w:t>para el funcionamiento de la constelación</w:t>
      </w:r>
      <w:r w:rsidR="0049396F" w:rsidRPr="00F2371D">
        <w:t>,</w:t>
      </w:r>
      <w:r w:rsidRPr="00F2371D">
        <w:t xml:space="preserve"> con el único fin de </w:t>
      </w:r>
      <w:r w:rsidR="0049396F" w:rsidRPr="00F2371D">
        <w:t>satisfacer los requisitos en materia de puesta en servicio o reanudación del servicio de asignaciones de frecuencias</w:t>
      </w:r>
      <w:r w:rsidRPr="00F2371D">
        <w:t xml:space="preserve"> a sistemas no OSG.</w:t>
      </w:r>
    </w:p>
    <w:p w14:paraId="38198D90" w14:textId="0492A555" w:rsidR="007B163A" w:rsidRPr="00F2371D" w:rsidRDefault="007B163A" w:rsidP="007B163A">
      <w:pPr>
        <w:pStyle w:val="Reasons"/>
      </w:pPr>
      <w:r w:rsidRPr="00F2371D">
        <w:rPr>
          <w:b/>
        </w:rPr>
        <w:t>Motivos:</w:t>
      </w:r>
      <w:r w:rsidRPr="00F2371D">
        <w:rPr>
          <w:b/>
        </w:rPr>
        <w:tab/>
      </w:r>
      <w:r w:rsidRPr="00F2371D">
        <w:rPr>
          <w:bCs/>
        </w:rPr>
        <w:t xml:space="preserve">Aclarar el concepto de asignación de frecuencias </w:t>
      </w:r>
      <w:r w:rsidR="0049396F" w:rsidRPr="00F2371D">
        <w:rPr>
          <w:bCs/>
        </w:rPr>
        <w:t>en relación con los</w:t>
      </w:r>
      <w:r w:rsidRPr="00F2371D">
        <w:rPr>
          <w:bCs/>
        </w:rPr>
        <w:t xml:space="preserve"> sistemas no OSG y </w:t>
      </w:r>
      <w:r w:rsidRPr="00F2371D">
        <w:t>evitar posibles reservas de espectro y posición orbital.</w:t>
      </w:r>
    </w:p>
    <w:p w14:paraId="4599961F" w14:textId="5B8DD551" w:rsidR="00A75DF0" w:rsidRPr="00F2371D" w:rsidRDefault="007B163A" w:rsidP="007B163A">
      <w:pPr>
        <w:jc w:val="center"/>
      </w:pPr>
      <w:r w:rsidRPr="00F2371D">
        <w:t>______________</w:t>
      </w:r>
    </w:p>
    <w:sectPr w:rsidR="00A75DF0" w:rsidRPr="00F2371D">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C3B1" w14:textId="77777777" w:rsidR="00666B37" w:rsidRDefault="00666B37">
      <w:r>
        <w:separator/>
      </w:r>
    </w:p>
  </w:endnote>
  <w:endnote w:type="continuationSeparator" w:id="0">
    <w:p w14:paraId="2E0FC6D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B7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E741B" w14:textId="3D405157" w:rsidR="0077084A" w:rsidRPr="00A252EE" w:rsidRDefault="0077084A">
    <w:pPr>
      <w:ind w:right="360"/>
    </w:pPr>
    <w:r>
      <w:fldChar w:fldCharType="begin"/>
    </w:r>
    <w:r w:rsidRPr="00A252EE">
      <w:instrText xml:space="preserve"> FILENAME \p  \* MERGEFORMAT </w:instrText>
    </w:r>
    <w:r>
      <w:fldChar w:fldCharType="separate"/>
    </w:r>
    <w:r w:rsidR="0068541F">
      <w:rPr>
        <w:noProof/>
      </w:rPr>
      <w:t>P:\ESP\ITU-R\CONF-R\CMR23\000\086ADD26S.docx</w:t>
    </w:r>
    <w:r>
      <w:fldChar w:fldCharType="end"/>
    </w:r>
    <w:r w:rsidRPr="00A252EE">
      <w:tab/>
    </w:r>
    <w:r>
      <w:fldChar w:fldCharType="begin"/>
    </w:r>
    <w:r>
      <w:instrText xml:space="preserve"> SAVEDATE \@ DD.MM.YY </w:instrText>
    </w:r>
    <w:r>
      <w:fldChar w:fldCharType="separate"/>
    </w:r>
    <w:r w:rsidR="00D01192">
      <w:rPr>
        <w:noProof/>
      </w:rPr>
      <w:t>07.11.23</w:t>
    </w:r>
    <w:r>
      <w:fldChar w:fldCharType="end"/>
    </w:r>
    <w:r w:rsidRPr="00A252EE">
      <w:tab/>
    </w:r>
    <w:r>
      <w:fldChar w:fldCharType="begin"/>
    </w:r>
    <w:r>
      <w:instrText xml:space="preserve"> PRINTDATE \@ DD.MM.YY </w:instrText>
    </w:r>
    <w:r>
      <w:fldChar w:fldCharType="separate"/>
    </w:r>
    <w:r w:rsidR="0068541F">
      <w:rPr>
        <w:noProof/>
      </w:rPr>
      <w:t>07.11.23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50161959"/>
  <w:bookmarkStart w:id="10" w:name="_Hlk150161960"/>
  <w:p w14:paraId="58AAC007" w14:textId="4888CE9B" w:rsidR="0077084A" w:rsidRDefault="00853CC3" w:rsidP="00B86034">
    <w:pPr>
      <w:pStyle w:val="Footer"/>
      <w:ind w:right="360"/>
      <w:rPr>
        <w:lang w:val="en-US"/>
      </w:rPr>
    </w:pPr>
    <w:r>
      <w:fldChar w:fldCharType="begin"/>
    </w:r>
    <w:r>
      <w:rPr>
        <w:lang w:val="en-US"/>
      </w:rPr>
      <w:instrText xml:space="preserve"> FILENAME \p  \* MERGEFORMAT </w:instrText>
    </w:r>
    <w:r>
      <w:fldChar w:fldCharType="separate"/>
    </w:r>
    <w:r w:rsidR="0068541F">
      <w:rPr>
        <w:lang w:val="en-US"/>
      </w:rPr>
      <w:t>P:\ESP\ITU-R\CONF-R\CMR23\000\086ADD26S.docx</w:t>
    </w:r>
    <w:r>
      <w:fldChar w:fldCharType="end"/>
    </w:r>
    <w:r w:rsidRPr="00853CC3">
      <w:rPr>
        <w:lang w:val="en-US"/>
      </w:rPr>
      <w:t xml:space="preserve"> </w:t>
    </w:r>
    <w:r>
      <w:rPr>
        <w:lang w:val="en-US"/>
      </w:rPr>
      <w:t>(530306)</w:t>
    </w:r>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2DA5" w14:textId="7A93C3B8" w:rsidR="0077084A" w:rsidRPr="00853CC3" w:rsidRDefault="0077084A" w:rsidP="00B47331">
    <w:pPr>
      <w:pStyle w:val="Footer"/>
      <w:rPr>
        <w:lang w:val="en-US"/>
      </w:rPr>
    </w:pPr>
    <w:r>
      <w:fldChar w:fldCharType="begin"/>
    </w:r>
    <w:r>
      <w:rPr>
        <w:lang w:val="en-US"/>
      </w:rPr>
      <w:instrText xml:space="preserve"> FILENAME \p  \* MERGEFORMAT </w:instrText>
    </w:r>
    <w:r>
      <w:fldChar w:fldCharType="separate"/>
    </w:r>
    <w:r w:rsidR="0068541F">
      <w:rPr>
        <w:lang w:val="en-US"/>
      </w:rPr>
      <w:t>P:\ESP\ITU-R\CONF-R\CMR23\000\086ADD26S.docx</w:t>
    </w:r>
    <w:r>
      <w:fldChar w:fldCharType="end"/>
    </w:r>
    <w:r w:rsidR="00853CC3" w:rsidRPr="00853CC3">
      <w:rPr>
        <w:lang w:val="en-US"/>
      </w:rPr>
      <w:t xml:space="preserve"> </w:t>
    </w:r>
    <w:r w:rsidR="00853CC3">
      <w:rPr>
        <w:lang w:val="en-US"/>
      </w:rPr>
      <w:t>(530306)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321C" w14:textId="77777777" w:rsidR="00666B37" w:rsidRDefault="00666B37">
      <w:r>
        <w:rPr>
          <w:b/>
        </w:rPr>
        <w:t>_______________</w:t>
      </w:r>
    </w:p>
  </w:footnote>
  <w:footnote w:type="continuationSeparator" w:id="0">
    <w:p w14:paraId="34E0A17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C22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4E73AB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86(Add.26)-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51633300">
    <w:abstractNumId w:val="8"/>
  </w:num>
  <w:num w:numId="2" w16cid:durableId="14653911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0602549">
    <w:abstractNumId w:val="9"/>
  </w:num>
  <w:num w:numId="4" w16cid:durableId="1765882388">
    <w:abstractNumId w:val="7"/>
  </w:num>
  <w:num w:numId="5" w16cid:durableId="582762210">
    <w:abstractNumId w:val="6"/>
  </w:num>
  <w:num w:numId="6" w16cid:durableId="73169299">
    <w:abstractNumId w:val="5"/>
  </w:num>
  <w:num w:numId="7" w16cid:durableId="564143068">
    <w:abstractNumId w:val="4"/>
  </w:num>
  <w:num w:numId="8" w16cid:durableId="835459617">
    <w:abstractNumId w:val="3"/>
  </w:num>
  <w:num w:numId="9" w16cid:durableId="922300384">
    <w:abstractNumId w:val="2"/>
  </w:num>
  <w:num w:numId="10" w16cid:durableId="417748496">
    <w:abstractNumId w:val="1"/>
  </w:num>
  <w:num w:numId="11" w16cid:durableId="110627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435B"/>
    <w:rsid w:val="00087AE8"/>
    <w:rsid w:val="00091054"/>
    <w:rsid w:val="000A2A7D"/>
    <w:rsid w:val="000A5B9A"/>
    <w:rsid w:val="000E5BF9"/>
    <w:rsid w:val="000F0E6D"/>
    <w:rsid w:val="00113959"/>
    <w:rsid w:val="00121170"/>
    <w:rsid w:val="00123CC5"/>
    <w:rsid w:val="00143A93"/>
    <w:rsid w:val="0015142D"/>
    <w:rsid w:val="001616DC"/>
    <w:rsid w:val="00163962"/>
    <w:rsid w:val="00191A97"/>
    <w:rsid w:val="0019729C"/>
    <w:rsid w:val="00197481"/>
    <w:rsid w:val="001A083F"/>
    <w:rsid w:val="001A4895"/>
    <w:rsid w:val="001C41FA"/>
    <w:rsid w:val="001E2B52"/>
    <w:rsid w:val="001E3F27"/>
    <w:rsid w:val="001E7D42"/>
    <w:rsid w:val="00211014"/>
    <w:rsid w:val="00225F71"/>
    <w:rsid w:val="0023659C"/>
    <w:rsid w:val="00236D2A"/>
    <w:rsid w:val="00242D42"/>
    <w:rsid w:val="0024569E"/>
    <w:rsid w:val="00255F12"/>
    <w:rsid w:val="00262C09"/>
    <w:rsid w:val="002A791F"/>
    <w:rsid w:val="002B4BA1"/>
    <w:rsid w:val="002C1A52"/>
    <w:rsid w:val="002C1B26"/>
    <w:rsid w:val="002C5D6C"/>
    <w:rsid w:val="002D39FE"/>
    <w:rsid w:val="002E701F"/>
    <w:rsid w:val="002F47FF"/>
    <w:rsid w:val="003248A9"/>
    <w:rsid w:val="00324FFA"/>
    <w:rsid w:val="0032680B"/>
    <w:rsid w:val="003309A0"/>
    <w:rsid w:val="00330D9F"/>
    <w:rsid w:val="00363A65"/>
    <w:rsid w:val="00392E71"/>
    <w:rsid w:val="003B1E8C"/>
    <w:rsid w:val="003C0613"/>
    <w:rsid w:val="003C2508"/>
    <w:rsid w:val="003D0AA3"/>
    <w:rsid w:val="003D10EA"/>
    <w:rsid w:val="003D10F1"/>
    <w:rsid w:val="003D3E67"/>
    <w:rsid w:val="003E2086"/>
    <w:rsid w:val="003F7F66"/>
    <w:rsid w:val="004121DB"/>
    <w:rsid w:val="00416345"/>
    <w:rsid w:val="00440B3A"/>
    <w:rsid w:val="0044375A"/>
    <w:rsid w:val="0045384C"/>
    <w:rsid w:val="00454553"/>
    <w:rsid w:val="00472A86"/>
    <w:rsid w:val="004730CD"/>
    <w:rsid w:val="0049396F"/>
    <w:rsid w:val="00494C44"/>
    <w:rsid w:val="004B124A"/>
    <w:rsid w:val="004B3095"/>
    <w:rsid w:val="004D2749"/>
    <w:rsid w:val="004D2C7C"/>
    <w:rsid w:val="00505CE3"/>
    <w:rsid w:val="005133B5"/>
    <w:rsid w:val="00524392"/>
    <w:rsid w:val="00532097"/>
    <w:rsid w:val="0057709B"/>
    <w:rsid w:val="0058350F"/>
    <w:rsid w:val="00583C7E"/>
    <w:rsid w:val="0059098E"/>
    <w:rsid w:val="005D02EE"/>
    <w:rsid w:val="005D46FB"/>
    <w:rsid w:val="005F2605"/>
    <w:rsid w:val="005F3B0E"/>
    <w:rsid w:val="005F3DB8"/>
    <w:rsid w:val="005F559C"/>
    <w:rsid w:val="00602857"/>
    <w:rsid w:val="006063E8"/>
    <w:rsid w:val="006124AD"/>
    <w:rsid w:val="0062373E"/>
    <w:rsid w:val="00624009"/>
    <w:rsid w:val="00630320"/>
    <w:rsid w:val="006315ED"/>
    <w:rsid w:val="00662BA0"/>
    <w:rsid w:val="00666B37"/>
    <w:rsid w:val="006724F9"/>
    <w:rsid w:val="0067344B"/>
    <w:rsid w:val="00673AC8"/>
    <w:rsid w:val="00684A94"/>
    <w:rsid w:val="0068541F"/>
    <w:rsid w:val="00692AAE"/>
    <w:rsid w:val="006C0E38"/>
    <w:rsid w:val="006C7543"/>
    <w:rsid w:val="006D6E67"/>
    <w:rsid w:val="006E1A13"/>
    <w:rsid w:val="006E3D55"/>
    <w:rsid w:val="00701C20"/>
    <w:rsid w:val="00702F3D"/>
    <w:rsid w:val="0070518E"/>
    <w:rsid w:val="007354E9"/>
    <w:rsid w:val="00735827"/>
    <w:rsid w:val="007424E8"/>
    <w:rsid w:val="0074579D"/>
    <w:rsid w:val="00765578"/>
    <w:rsid w:val="00766333"/>
    <w:rsid w:val="0077084A"/>
    <w:rsid w:val="007952C7"/>
    <w:rsid w:val="007B163A"/>
    <w:rsid w:val="007C0B95"/>
    <w:rsid w:val="007C2317"/>
    <w:rsid w:val="007C4DA9"/>
    <w:rsid w:val="007C4F07"/>
    <w:rsid w:val="007D330A"/>
    <w:rsid w:val="007F5568"/>
    <w:rsid w:val="0080079E"/>
    <w:rsid w:val="008030BF"/>
    <w:rsid w:val="008500F8"/>
    <w:rsid w:val="008504C2"/>
    <w:rsid w:val="00850FA3"/>
    <w:rsid w:val="00853CC3"/>
    <w:rsid w:val="00866AE6"/>
    <w:rsid w:val="008750A8"/>
    <w:rsid w:val="00882701"/>
    <w:rsid w:val="008B3980"/>
    <w:rsid w:val="008C6762"/>
    <w:rsid w:val="008D3316"/>
    <w:rsid w:val="008E5AF2"/>
    <w:rsid w:val="008F6475"/>
    <w:rsid w:val="0090121B"/>
    <w:rsid w:val="009144C9"/>
    <w:rsid w:val="009227F7"/>
    <w:rsid w:val="0094091F"/>
    <w:rsid w:val="00962171"/>
    <w:rsid w:val="00973754"/>
    <w:rsid w:val="009C0BED"/>
    <w:rsid w:val="009E11EC"/>
    <w:rsid w:val="009E4B4A"/>
    <w:rsid w:val="009F7FE5"/>
    <w:rsid w:val="00A021CC"/>
    <w:rsid w:val="00A118DB"/>
    <w:rsid w:val="00A13A64"/>
    <w:rsid w:val="00A252EE"/>
    <w:rsid w:val="00A277F6"/>
    <w:rsid w:val="00A4450C"/>
    <w:rsid w:val="00A53C59"/>
    <w:rsid w:val="00A75DF0"/>
    <w:rsid w:val="00A7663B"/>
    <w:rsid w:val="00A90149"/>
    <w:rsid w:val="00AA5E6C"/>
    <w:rsid w:val="00AC49B1"/>
    <w:rsid w:val="00AD19CE"/>
    <w:rsid w:val="00AE5677"/>
    <w:rsid w:val="00AE658F"/>
    <w:rsid w:val="00AF2F78"/>
    <w:rsid w:val="00AF3149"/>
    <w:rsid w:val="00AF5525"/>
    <w:rsid w:val="00B239FA"/>
    <w:rsid w:val="00B372AB"/>
    <w:rsid w:val="00B47331"/>
    <w:rsid w:val="00B52D55"/>
    <w:rsid w:val="00B57743"/>
    <w:rsid w:val="00B6535C"/>
    <w:rsid w:val="00B77D60"/>
    <w:rsid w:val="00B8288C"/>
    <w:rsid w:val="00B86034"/>
    <w:rsid w:val="00BE2E80"/>
    <w:rsid w:val="00BE5EDD"/>
    <w:rsid w:val="00BE6A1F"/>
    <w:rsid w:val="00BF5E8E"/>
    <w:rsid w:val="00C126C4"/>
    <w:rsid w:val="00C44E9E"/>
    <w:rsid w:val="00C6151D"/>
    <w:rsid w:val="00C63EB5"/>
    <w:rsid w:val="00C87DA7"/>
    <w:rsid w:val="00C941A9"/>
    <w:rsid w:val="00CA4945"/>
    <w:rsid w:val="00CB735E"/>
    <w:rsid w:val="00CC01E0"/>
    <w:rsid w:val="00CC1BBD"/>
    <w:rsid w:val="00CD5FEE"/>
    <w:rsid w:val="00CE60D2"/>
    <w:rsid w:val="00CE7431"/>
    <w:rsid w:val="00D00CA8"/>
    <w:rsid w:val="00D01192"/>
    <w:rsid w:val="00D0288A"/>
    <w:rsid w:val="00D254DE"/>
    <w:rsid w:val="00D72A5D"/>
    <w:rsid w:val="00DA614E"/>
    <w:rsid w:val="00DA71A3"/>
    <w:rsid w:val="00DC1922"/>
    <w:rsid w:val="00DC47B8"/>
    <w:rsid w:val="00DC629B"/>
    <w:rsid w:val="00DD4995"/>
    <w:rsid w:val="00DE1C31"/>
    <w:rsid w:val="00E05BFF"/>
    <w:rsid w:val="00E262F1"/>
    <w:rsid w:val="00E3176A"/>
    <w:rsid w:val="00E32001"/>
    <w:rsid w:val="00E36CE4"/>
    <w:rsid w:val="00E54754"/>
    <w:rsid w:val="00E56BD3"/>
    <w:rsid w:val="00E71D14"/>
    <w:rsid w:val="00EA77F0"/>
    <w:rsid w:val="00F2371D"/>
    <w:rsid w:val="00F32316"/>
    <w:rsid w:val="00F55115"/>
    <w:rsid w:val="00F56B73"/>
    <w:rsid w:val="00F66597"/>
    <w:rsid w:val="00F675D0"/>
    <w:rsid w:val="00F8150C"/>
    <w:rsid w:val="00FD03C4"/>
    <w:rsid w:val="00FE4574"/>
    <w:rsid w:val="00FF6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D5534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rPr>
      <w:color w:val="0000FF" w:themeColor="hyperlink"/>
      <w:u w:val="single"/>
    </w:rPr>
  </w:style>
  <w:style w:type="character" w:customStyle="1" w:styleId="enumlev1Char">
    <w:name w:val="enumlev1 Char"/>
    <w:link w:val="enumlev1"/>
    <w:locked/>
    <w:rsid w:val="006724F9"/>
    <w:rPr>
      <w:rFonts w:ascii="Times New Roman" w:hAnsi="Times New Roman"/>
      <w:sz w:val="24"/>
      <w:lang w:val="es-ES_tradnl" w:eastAsia="en-US"/>
    </w:rPr>
  </w:style>
  <w:style w:type="character" w:styleId="FollowedHyperlink">
    <w:name w:val="FollowedHyperlink"/>
    <w:basedOn w:val="DefaultParagraphFont"/>
    <w:semiHidden/>
    <w:unhideWhenUsed/>
    <w:rsid w:val="006724F9"/>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F56B7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6-WRC19-C-0015/e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50/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D5D1-FCC9-4A4B-B122-4A4C68B4E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61FA8-E3E9-497A-AE53-D98E28215BAE}">
  <ds:schemaRefs>
    <ds:schemaRef ds:uri="http://schemas.microsoft.com/sharepoint/events"/>
  </ds:schemaRefs>
</ds:datastoreItem>
</file>

<file path=customXml/itemProps3.xml><?xml version="1.0" encoding="utf-8"?>
<ds:datastoreItem xmlns:ds="http://schemas.openxmlformats.org/officeDocument/2006/customXml" ds:itemID="{1938C85C-6185-47FA-9BD0-7B156DEC9E51}">
  <ds:schemaRefs>
    <ds:schemaRef ds:uri="http://purl.org/dc/terms/"/>
    <ds:schemaRef ds:uri="http://schemas.microsoft.com/office/infopath/2007/PartnerControls"/>
    <ds:schemaRef ds:uri="http://www.w3.org/XML/1998/namespace"/>
    <ds:schemaRef ds:uri="http://schemas.openxmlformats.org/package/2006/metadata/core-properties"/>
    <ds:schemaRef ds:uri="32a1a8c5-2265-4ebc-b7a0-2071e2c5c9bb"/>
    <ds:schemaRef ds:uri="http://schemas.microsoft.com/office/2006/documentManagement/types"/>
    <ds:schemaRef ds:uri="http://purl.org/dc/dcmitype/"/>
    <ds:schemaRef ds:uri="996b2e75-67fd-4955-a3b0-5ab9934cb50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2FD75F3-4C18-47E1-A849-A9E5A2DE82BB}">
  <ds:schemaRefs>
    <ds:schemaRef ds:uri="http://schemas.microsoft.com/sharepoint/v3/contenttype/form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5219</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R23-WRC23-C-0086!A26!MSW-S</vt:lpstr>
    </vt:vector>
  </TitlesOfParts>
  <Manager>Secretaría General - Pool</Manager>
  <Company>Unión Internacional de Telecomunicaciones (UIT)</Company>
  <LinksUpToDate>false</LinksUpToDate>
  <CharactersWithSpaces>33442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R23-WRC23-C-0086!A26!MSW-S</dc:title>
  <dc:subject>Conferencia Mundial de Radiocomunicaciones - 2019</dc:subject>
  <dc:creator>Documents Proposals Manager (DPM)</dc:creator>
  <cp:keywords>DPM_v2023.8.1.1_prod</cp:keywords>
  <dc:description/>
  <cp:lastModifiedBy>Spanish</cp:lastModifiedBy>
  <cp:revision>10</cp:revision>
  <cp:lastPrinted>2023-11-07T13:08:00Z</cp:lastPrinted>
  <dcterms:created xsi:type="dcterms:W3CDTF">2023-11-07T10:44:00Z</dcterms:created>
  <dcterms:modified xsi:type="dcterms:W3CDTF">2023-11-07T14:20:00Z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