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17C35" w14:paraId="1093475E" w14:textId="77777777" w:rsidTr="00F320AA">
        <w:trPr>
          <w:cantSplit/>
        </w:trPr>
        <w:tc>
          <w:tcPr>
            <w:tcW w:w="1418" w:type="dxa"/>
            <w:vAlign w:val="center"/>
          </w:tcPr>
          <w:p w14:paraId="76FF6D21" w14:textId="77777777" w:rsidR="00F320AA" w:rsidRPr="00717C35" w:rsidRDefault="00F320AA" w:rsidP="00F320AA">
            <w:pPr>
              <w:spacing w:before="0"/>
              <w:rPr>
                <w:rFonts w:ascii="Verdana" w:hAnsi="Verdana"/>
                <w:position w:val="6"/>
              </w:rPr>
            </w:pPr>
            <w:r w:rsidRPr="00717C35">
              <w:drawing>
                <wp:inline distT="0" distB="0" distL="0" distR="0" wp14:anchorId="1F3AEDBB" wp14:editId="32BED46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00A7529" w14:textId="77777777" w:rsidR="00F320AA" w:rsidRPr="00717C35" w:rsidRDefault="00F320AA" w:rsidP="00F320AA">
            <w:pPr>
              <w:spacing w:before="400" w:after="48" w:line="240" w:lineRule="atLeast"/>
              <w:rPr>
                <w:rFonts w:ascii="Verdana" w:hAnsi="Verdana"/>
                <w:position w:val="6"/>
              </w:rPr>
            </w:pPr>
            <w:r w:rsidRPr="00717C35">
              <w:rPr>
                <w:rFonts w:ascii="Verdana" w:hAnsi="Verdana" w:cs="Times"/>
                <w:b/>
                <w:position w:val="6"/>
                <w:sz w:val="22"/>
                <w:szCs w:val="22"/>
              </w:rPr>
              <w:t>World Radiocommunication Conference (WRC-23)</w:t>
            </w:r>
            <w:r w:rsidRPr="00717C35">
              <w:rPr>
                <w:rFonts w:ascii="Verdana" w:hAnsi="Verdana" w:cs="Times"/>
                <w:b/>
                <w:position w:val="6"/>
                <w:sz w:val="26"/>
                <w:szCs w:val="26"/>
              </w:rPr>
              <w:br/>
            </w:r>
            <w:r w:rsidRPr="00717C35">
              <w:rPr>
                <w:rFonts w:ascii="Verdana" w:hAnsi="Verdana"/>
                <w:b/>
                <w:bCs/>
                <w:position w:val="6"/>
                <w:sz w:val="18"/>
                <w:szCs w:val="18"/>
              </w:rPr>
              <w:t>Dubai, 20 November - 15 December 2023</w:t>
            </w:r>
          </w:p>
        </w:tc>
        <w:tc>
          <w:tcPr>
            <w:tcW w:w="1951" w:type="dxa"/>
            <w:vAlign w:val="center"/>
          </w:tcPr>
          <w:p w14:paraId="6C3D8E91" w14:textId="77777777" w:rsidR="00F320AA" w:rsidRPr="00717C35" w:rsidRDefault="00EB0812" w:rsidP="00F320AA">
            <w:pPr>
              <w:spacing w:before="0" w:line="240" w:lineRule="atLeast"/>
            </w:pPr>
            <w:r w:rsidRPr="00717C35">
              <w:drawing>
                <wp:inline distT="0" distB="0" distL="0" distR="0" wp14:anchorId="5DE87453" wp14:editId="39C3715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17C35" w14:paraId="52D4CE64" w14:textId="77777777">
        <w:trPr>
          <w:cantSplit/>
        </w:trPr>
        <w:tc>
          <w:tcPr>
            <w:tcW w:w="6911" w:type="dxa"/>
            <w:gridSpan w:val="2"/>
            <w:tcBorders>
              <w:bottom w:val="single" w:sz="12" w:space="0" w:color="auto"/>
            </w:tcBorders>
          </w:tcPr>
          <w:p w14:paraId="7D2589D5" w14:textId="77777777" w:rsidR="00A066F1" w:rsidRPr="00717C35"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425A26C" w14:textId="77777777" w:rsidR="00A066F1" w:rsidRPr="00717C35" w:rsidRDefault="00A066F1" w:rsidP="00A066F1">
            <w:pPr>
              <w:spacing w:before="0" w:line="240" w:lineRule="atLeast"/>
              <w:rPr>
                <w:rFonts w:ascii="Verdana" w:hAnsi="Verdana"/>
                <w:szCs w:val="24"/>
              </w:rPr>
            </w:pPr>
          </w:p>
        </w:tc>
      </w:tr>
      <w:tr w:rsidR="00A066F1" w:rsidRPr="00717C35" w14:paraId="441F0B02" w14:textId="77777777">
        <w:trPr>
          <w:cantSplit/>
        </w:trPr>
        <w:tc>
          <w:tcPr>
            <w:tcW w:w="6911" w:type="dxa"/>
            <w:gridSpan w:val="2"/>
            <w:tcBorders>
              <w:top w:val="single" w:sz="12" w:space="0" w:color="auto"/>
            </w:tcBorders>
          </w:tcPr>
          <w:p w14:paraId="48FEC545" w14:textId="77777777" w:rsidR="00A066F1" w:rsidRPr="00717C3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0E2B3F7" w14:textId="77777777" w:rsidR="00A066F1" w:rsidRPr="00717C35" w:rsidRDefault="00A066F1" w:rsidP="00A066F1">
            <w:pPr>
              <w:spacing w:before="0" w:line="240" w:lineRule="atLeast"/>
              <w:rPr>
                <w:rFonts w:ascii="Verdana" w:hAnsi="Verdana"/>
                <w:sz w:val="20"/>
              </w:rPr>
            </w:pPr>
          </w:p>
        </w:tc>
      </w:tr>
      <w:tr w:rsidR="00A066F1" w:rsidRPr="00717C35" w14:paraId="259C7A9F" w14:textId="77777777">
        <w:trPr>
          <w:cantSplit/>
          <w:trHeight w:val="23"/>
        </w:trPr>
        <w:tc>
          <w:tcPr>
            <w:tcW w:w="6911" w:type="dxa"/>
            <w:gridSpan w:val="2"/>
            <w:shd w:val="clear" w:color="auto" w:fill="auto"/>
          </w:tcPr>
          <w:p w14:paraId="75F6245D" w14:textId="77777777" w:rsidR="00A066F1" w:rsidRPr="00717C3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717C35">
              <w:rPr>
                <w:rFonts w:ascii="Verdana" w:hAnsi="Verdana"/>
                <w:sz w:val="20"/>
                <w:szCs w:val="20"/>
              </w:rPr>
              <w:t>PLENARY MEETING</w:t>
            </w:r>
          </w:p>
        </w:tc>
        <w:tc>
          <w:tcPr>
            <w:tcW w:w="3120" w:type="dxa"/>
            <w:gridSpan w:val="2"/>
          </w:tcPr>
          <w:p w14:paraId="7EDDFF6A" w14:textId="77777777" w:rsidR="00A066F1" w:rsidRPr="00717C35" w:rsidRDefault="00E55816" w:rsidP="00AA666F">
            <w:pPr>
              <w:tabs>
                <w:tab w:val="left" w:pos="851"/>
              </w:tabs>
              <w:spacing w:before="0" w:line="240" w:lineRule="atLeast"/>
              <w:rPr>
                <w:rFonts w:ascii="Verdana" w:hAnsi="Verdana"/>
                <w:sz w:val="20"/>
              </w:rPr>
            </w:pPr>
            <w:r w:rsidRPr="00717C35">
              <w:rPr>
                <w:rFonts w:ascii="Verdana" w:hAnsi="Verdana"/>
                <w:b/>
                <w:sz w:val="20"/>
              </w:rPr>
              <w:t>Addendum 26 to</w:t>
            </w:r>
            <w:r w:rsidRPr="00717C35">
              <w:rPr>
                <w:rFonts w:ascii="Verdana" w:hAnsi="Verdana"/>
                <w:b/>
                <w:sz w:val="20"/>
              </w:rPr>
              <w:br/>
              <w:t>Document 87</w:t>
            </w:r>
            <w:r w:rsidR="00A066F1" w:rsidRPr="00717C35">
              <w:rPr>
                <w:rFonts w:ascii="Verdana" w:hAnsi="Verdana"/>
                <w:b/>
                <w:sz w:val="20"/>
              </w:rPr>
              <w:t>-</w:t>
            </w:r>
            <w:r w:rsidR="005E10C9" w:rsidRPr="00717C35">
              <w:rPr>
                <w:rFonts w:ascii="Verdana" w:hAnsi="Verdana"/>
                <w:b/>
                <w:sz w:val="20"/>
              </w:rPr>
              <w:t>E</w:t>
            </w:r>
          </w:p>
        </w:tc>
      </w:tr>
      <w:tr w:rsidR="00A066F1" w:rsidRPr="00717C35" w14:paraId="1DDC1430" w14:textId="77777777">
        <w:trPr>
          <w:cantSplit/>
          <w:trHeight w:val="23"/>
        </w:trPr>
        <w:tc>
          <w:tcPr>
            <w:tcW w:w="6911" w:type="dxa"/>
            <w:gridSpan w:val="2"/>
            <w:shd w:val="clear" w:color="auto" w:fill="auto"/>
          </w:tcPr>
          <w:p w14:paraId="7F18FC00" w14:textId="77777777" w:rsidR="00A066F1" w:rsidRPr="00717C3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C888ED2" w14:textId="77777777" w:rsidR="00A066F1" w:rsidRPr="00717C35" w:rsidRDefault="00420873" w:rsidP="00A066F1">
            <w:pPr>
              <w:tabs>
                <w:tab w:val="left" w:pos="993"/>
              </w:tabs>
              <w:spacing w:before="0"/>
              <w:rPr>
                <w:rFonts w:ascii="Verdana" w:hAnsi="Verdana"/>
                <w:sz w:val="20"/>
              </w:rPr>
            </w:pPr>
            <w:r w:rsidRPr="00717C35">
              <w:rPr>
                <w:rFonts w:ascii="Verdana" w:hAnsi="Verdana"/>
                <w:b/>
                <w:sz w:val="20"/>
              </w:rPr>
              <w:t>23 October 2023</w:t>
            </w:r>
          </w:p>
        </w:tc>
      </w:tr>
      <w:tr w:rsidR="00A066F1" w:rsidRPr="00717C35" w14:paraId="19942D5D" w14:textId="77777777">
        <w:trPr>
          <w:cantSplit/>
          <w:trHeight w:val="23"/>
        </w:trPr>
        <w:tc>
          <w:tcPr>
            <w:tcW w:w="6911" w:type="dxa"/>
            <w:gridSpan w:val="2"/>
            <w:shd w:val="clear" w:color="auto" w:fill="auto"/>
          </w:tcPr>
          <w:p w14:paraId="1EFF3FB2" w14:textId="77777777" w:rsidR="00A066F1" w:rsidRPr="00717C3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13B435D" w14:textId="77777777" w:rsidR="00A066F1" w:rsidRPr="00717C35" w:rsidRDefault="00E55816" w:rsidP="00A066F1">
            <w:pPr>
              <w:tabs>
                <w:tab w:val="left" w:pos="993"/>
              </w:tabs>
              <w:spacing w:before="0"/>
              <w:rPr>
                <w:rFonts w:ascii="Verdana" w:hAnsi="Verdana"/>
                <w:b/>
                <w:sz w:val="20"/>
              </w:rPr>
            </w:pPr>
            <w:r w:rsidRPr="00717C35">
              <w:rPr>
                <w:rFonts w:ascii="Verdana" w:hAnsi="Verdana"/>
                <w:b/>
                <w:sz w:val="20"/>
              </w:rPr>
              <w:t>Original: English</w:t>
            </w:r>
          </w:p>
        </w:tc>
      </w:tr>
      <w:tr w:rsidR="00A066F1" w:rsidRPr="00717C35" w14:paraId="795A9BE9" w14:textId="77777777" w:rsidTr="00025864">
        <w:trPr>
          <w:cantSplit/>
          <w:trHeight w:val="23"/>
        </w:trPr>
        <w:tc>
          <w:tcPr>
            <w:tcW w:w="10031" w:type="dxa"/>
            <w:gridSpan w:val="4"/>
            <w:shd w:val="clear" w:color="auto" w:fill="auto"/>
          </w:tcPr>
          <w:p w14:paraId="649D15CF" w14:textId="77777777" w:rsidR="00A066F1" w:rsidRPr="00717C35" w:rsidRDefault="00A066F1" w:rsidP="00A066F1">
            <w:pPr>
              <w:tabs>
                <w:tab w:val="left" w:pos="993"/>
              </w:tabs>
              <w:spacing w:before="0"/>
              <w:rPr>
                <w:rFonts w:ascii="Verdana" w:hAnsi="Verdana"/>
                <w:b/>
                <w:sz w:val="20"/>
              </w:rPr>
            </w:pPr>
          </w:p>
        </w:tc>
      </w:tr>
      <w:tr w:rsidR="00E55816" w:rsidRPr="00717C35" w14:paraId="66325633" w14:textId="77777777" w:rsidTr="00025864">
        <w:trPr>
          <w:cantSplit/>
          <w:trHeight w:val="23"/>
        </w:trPr>
        <w:tc>
          <w:tcPr>
            <w:tcW w:w="10031" w:type="dxa"/>
            <w:gridSpan w:val="4"/>
            <w:shd w:val="clear" w:color="auto" w:fill="auto"/>
          </w:tcPr>
          <w:p w14:paraId="241C2133" w14:textId="77777777" w:rsidR="00E55816" w:rsidRPr="00717C35" w:rsidRDefault="00884D60" w:rsidP="00E55816">
            <w:pPr>
              <w:pStyle w:val="Source"/>
            </w:pPr>
            <w:r w:rsidRPr="00717C35">
              <w:t>African Common Proposals</w:t>
            </w:r>
          </w:p>
        </w:tc>
      </w:tr>
      <w:tr w:rsidR="00E55816" w:rsidRPr="00717C35" w14:paraId="1140A5EA" w14:textId="77777777" w:rsidTr="00025864">
        <w:trPr>
          <w:cantSplit/>
          <w:trHeight w:val="23"/>
        </w:trPr>
        <w:tc>
          <w:tcPr>
            <w:tcW w:w="10031" w:type="dxa"/>
            <w:gridSpan w:val="4"/>
            <w:shd w:val="clear" w:color="auto" w:fill="auto"/>
          </w:tcPr>
          <w:p w14:paraId="3421D6F8" w14:textId="77777777" w:rsidR="00E55816" w:rsidRPr="00717C35" w:rsidRDefault="007D5320" w:rsidP="00E55816">
            <w:pPr>
              <w:pStyle w:val="Title1"/>
            </w:pPr>
            <w:r w:rsidRPr="00717C35">
              <w:t>Proposals for the work of the Conference</w:t>
            </w:r>
          </w:p>
        </w:tc>
      </w:tr>
      <w:tr w:rsidR="00E55816" w:rsidRPr="00717C35" w14:paraId="724C916A" w14:textId="77777777" w:rsidTr="00025864">
        <w:trPr>
          <w:cantSplit/>
          <w:trHeight w:val="23"/>
        </w:trPr>
        <w:tc>
          <w:tcPr>
            <w:tcW w:w="10031" w:type="dxa"/>
            <w:gridSpan w:val="4"/>
            <w:shd w:val="clear" w:color="auto" w:fill="auto"/>
          </w:tcPr>
          <w:p w14:paraId="7829AFDC" w14:textId="77777777" w:rsidR="00E55816" w:rsidRPr="00717C35" w:rsidRDefault="00E55816" w:rsidP="00E55816">
            <w:pPr>
              <w:pStyle w:val="Title2"/>
            </w:pPr>
          </w:p>
        </w:tc>
      </w:tr>
      <w:tr w:rsidR="00A538A6" w:rsidRPr="00717C35" w14:paraId="32A207C3" w14:textId="77777777" w:rsidTr="00025864">
        <w:trPr>
          <w:cantSplit/>
          <w:trHeight w:val="23"/>
        </w:trPr>
        <w:tc>
          <w:tcPr>
            <w:tcW w:w="10031" w:type="dxa"/>
            <w:gridSpan w:val="4"/>
            <w:shd w:val="clear" w:color="auto" w:fill="auto"/>
          </w:tcPr>
          <w:p w14:paraId="7E739181" w14:textId="77777777" w:rsidR="00A538A6" w:rsidRPr="00717C35" w:rsidRDefault="004B13CB" w:rsidP="004B13CB">
            <w:pPr>
              <w:pStyle w:val="Agendaitem"/>
              <w:rPr>
                <w:lang w:val="en-GB"/>
              </w:rPr>
            </w:pPr>
            <w:r w:rsidRPr="00717C35">
              <w:rPr>
                <w:lang w:val="en-GB"/>
              </w:rPr>
              <w:t>Agenda item 9.3</w:t>
            </w:r>
          </w:p>
        </w:tc>
      </w:tr>
    </w:tbl>
    <w:bookmarkEnd w:id="5"/>
    <w:bookmarkEnd w:id="6"/>
    <w:p w14:paraId="0D108E19" w14:textId="77777777" w:rsidR="00187BD9" w:rsidRPr="00717C35" w:rsidRDefault="00D6214C" w:rsidP="006965F8">
      <w:r w:rsidRPr="00717C35">
        <w:t>9</w:t>
      </w:r>
      <w:r w:rsidRPr="00717C35">
        <w:tab/>
        <w:t>to consider and approve the Report of the Director of the Radiocommunication Bureau, in accordance with Article 7 of the ITU Convention</w:t>
      </w:r>
      <w:r w:rsidRPr="00717C35">
        <w:rPr>
          <w:bCs/>
        </w:rPr>
        <w:t>;</w:t>
      </w:r>
    </w:p>
    <w:p w14:paraId="4F2808C8" w14:textId="0FE80006" w:rsidR="00187BD9" w:rsidRPr="00717C35" w:rsidRDefault="00D6214C" w:rsidP="002A32D4">
      <w:r w:rsidRPr="00717C35">
        <w:t>9.3</w:t>
      </w:r>
      <w:r w:rsidR="00B4097F" w:rsidRPr="00717C35">
        <w:tab/>
      </w:r>
      <w:r w:rsidRPr="00717C35">
        <w:t xml:space="preserve">on action in response to Resolution </w:t>
      </w:r>
      <w:r w:rsidRPr="00717C35">
        <w:rPr>
          <w:b/>
          <w:bCs/>
        </w:rPr>
        <w:t>80 (Rev.WRC</w:t>
      </w:r>
      <w:r w:rsidR="00717C35">
        <w:rPr>
          <w:b/>
          <w:bCs/>
        </w:rPr>
        <w:noBreakHyphen/>
      </w:r>
      <w:r w:rsidRPr="00717C35">
        <w:rPr>
          <w:b/>
          <w:bCs/>
        </w:rPr>
        <w:t>07)</w:t>
      </w:r>
      <w:r w:rsidRPr="00717C35">
        <w:t>;</w:t>
      </w:r>
    </w:p>
    <w:p w14:paraId="32C6234D" w14:textId="77777777" w:rsidR="00F7052C" w:rsidRPr="00717C35" w:rsidRDefault="00F7052C" w:rsidP="009E1035">
      <w:pPr>
        <w:pStyle w:val="Headingb"/>
        <w:rPr>
          <w:lang w:val="en-GB"/>
        </w:rPr>
      </w:pPr>
      <w:r w:rsidRPr="00717C35">
        <w:rPr>
          <w:lang w:val="en-GB"/>
        </w:rPr>
        <w:t>Summary</w:t>
      </w:r>
    </w:p>
    <w:p w14:paraId="4DE5C73C" w14:textId="27501A55" w:rsidR="00241FA2" w:rsidRPr="00717C35" w:rsidRDefault="00F7052C" w:rsidP="00F7052C">
      <w:r w:rsidRPr="00717C35">
        <w:t>The proposals in the Annex to this document contain the ATU responses to some of the elements in the Report by the Radio Regulations Board to WRC</w:t>
      </w:r>
      <w:r w:rsidR="002A32D4" w:rsidRPr="00717C35">
        <w:noBreakHyphen/>
      </w:r>
      <w:r w:rsidRPr="00717C35">
        <w:t>23 on Resolution </w:t>
      </w:r>
      <w:r w:rsidRPr="00717C35">
        <w:rPr>
          <w:b/>
          <w:bCs/>
        </w:rPr>
        <w:t>80 (Rev.WRC-07)</w:t>
      </w:r>
      <w:r w:rsidRPr="00717C35">
        <w:t>.</w:t>
      </w:r>
    </w:p>
    <w:p w14:paraId="031915D4" w14:textId="77777777" w:rsidR="00187BD9" w:rsidRPr="00717C35" w:rsidRDefault="00187BD9" w:rsidP="00187BD9">
      <w:pPr>
        <w:tabs>
          <w:tab w:val="clear" w:pos="1134"/>
          <w:tab w:val="clear" w:pos="1871"/>
          <w:tab w:val="clear" w:pos="2268"/>
        </w:tabs>
        <w:overflowPunct/>
        <w:autoSpaceDE/>
        <w:autoSpaceDN/>
        <w:adjustRightInd/>
        <w:spacing w:before="0"/>
        <w:textAlignment w:val="auto"/>
      </w:pPr>
      <w:r w:rsidRPr="00717C35">
        <w:br w:type="page"/>
      </w:r>
    </w:p>
    <w:p w14:paraId="202FC126" w14:textId="3A9D6F81" w:rsidR="000F65F2" w:rsidRPr="00717C35" w:rsidRDefault="000F65F2" w:rsidP="000F65F2">
      <w:pPr>
        <w:pStyle w:val="AnnexNo"/>
      </w:pPr>
      <w:r w:rsidRPr="00717C35">
        <w:lastRenderedPageBreak/>
        <w:t>Annex</w:t>
      </w:r>
    </w:p>
    <w:p w14:paraId="1F63DF3C" w14:textId="24FCA178" w:rsidR="001D75C9" w:rsidRPr="00717C35" w:rsidRDefault="00596B35" w:rsidP="002637FE">
      <w:pPr>
        <w:pStyle w:val="Annextitle"/>
      </w:pPr>
      <w:r w:rsidRPr="00717C35">
        <w:t>ATU Response to Resolution</w:t>
      </w:r>
      <w:r w:rsidR="002A32D4" w:rsidRPr="00717C35">
        <w:t> </w:t>
      </w:r>
      <w:r w:rsidRPr="00717C35">
        <w:t>80 (Rev.WRC-07)</w:t>
      </w:r>
    </w:p>
    <w:p w14:paraId="3E620F6C" w14:textId="69244DC0" w:rsidR="00596B35" w:rsidRPr="00717C35" w:rsidRDefault="00D6214C" w:rsidP="002637FE">
      <w:pPr>
        <w:pStyle w:val="Annextitle"/>
        <w:rPr>
          <w:bCs/>
        </w:rPr>
      </w:pPr>
      <w:r w:rsidRPr="00717C35">
        <w:rPr>
          <w:bCs/>
        </w:rPr>
        <w:t>Report by the Radio Regulations Board to WRC-19</w:t>
      </w:r>
    </w:p>
    <w:p w14:paraId="20ABDFA7" w14:textId="618EAC54" w:rsidR="002D6E6F" w:rsidRPr="00717C35" w:rsidRDefault="002D6E6F" w:rsidP="002637FE">
      <w:pPr>
        <w:pStyle w:val="Heading1"/>
      </w:pPr>
      <w:bookmarkStart w:id="7" w:name="_Toc409538037"/>
      <w:bookmarkStart w:id="8" w:name="_Toc520420645"/>
      <w:bookmarkStart w:id="9" w:name="_Toc4119417"/>
      <w:r w:rsidRPr="00717C35">
        <w:t>1</w:t>
      </w:r>
      <w:r w:rsidRPr="00717C35">
        <w:tab/>
        <w:t>Introduction</w:t>
      </w:r>
      <w:bookmarkEnd w:id="7"/>
      <w:bookmarkEnd w:id="8"/>
      <w:bookmarkEnd w:id="9"/>
    </w:p>
    <w:p w14:paraId="7CAFC5AF" w14:textId="7E737180" w:rsidR="002D6E6F" w:rsidRPr="00717C35" w:rsidRDefault="002D6E6F" w:rsidP="00AA538D">
      <w:r w:rsidRPr="00717C35">
        <w:rPr>
          <w:i/>
        </w:rPr>
        <w:t>Resolves</w:t>
      </w:r>
      <w:r w:rsidR="002A32D4" w:rsidRPr="00717C35">
        <w:rPr>
          <w:i/>
        </w:rPr>
        <w:t> </w:t>
      </w:r>
      <w:r w:rsidRPr="00717C35">
        <w:rPr>
          <w:iCs/>
        </w:rPr>
        <w:t>2</w:t>
      </w:r>
      <w:r w:rsidRPr="00717C35">
        <w:rPr>
          <w:i/>
        </w:rPr>
        <w:t xml:space="preserve"> </w:t>
      </w:r>
      <w:r w:rsidRPr="00717C35">
        <w:t>of Resolution</w:t>
      </w:r>
      <w:r w:rsidR="002A32D4" w:rsidRPr="00717C35">
        <w:t> </w:t>
      </w:r>
      <w:r w:rsidRPr="00717C35">
        <w:rPr>
          <w:b/>
          <w:bCs/>
        </w:rPr>
        <w:t>80</w:t>
      </w:r>
      <w:r w:rsidR="002A32D4" w:rsidRPr="00717C35">
        <w:rPr>
          <w:b/>
          <w:bCs/>
        </w:rPr>
        <w:t xml:space="preserve"> </w:t>
      </w:r>
      <w:r w:rsidRPr="00717C35">
        <w:rPr>
          <w:b/>
          <w:bCs/>
        </w:rPr>
        <w:t>(Rev.WRC-07)</w:t>
      </w:r>
      <w:r w:rsidRPr="00717C35">
        <w:t xml:space="preserve"> includes the following instruction to the RRB:</w:t>
      </w:r>
    </w:p>
    <w:p w14:paraId="7E3FB75E" w14:textId="77777777" w:rsidR="002D6E6F" w:rsidRPr="00717C35" w:rsidRDefault="002D6E6F" w:rsidP="002637FE">
      <w:pPr>
        <w:rPr>
          <w:i/>
          <w:iCs/>
        </w:rPr>
      </w:pPr>
      <w:r w:rsidRPr="00717C35">
        <w:rPr>
          <w:i/>
          <w:iCs/>
        </w:rPr>
        <w:t>2</w:t>
      </w:r>
      <w:r w:rsidRPr="00717C35">
        <w:rPr>
          <w:i/>
          <w:iCs/>
        </w:rPr>
        <w:tab/>
        <w:t xml:space="preserve">to instruct the RRB to consider and review possible draft recommendations and draft provisions linking the formal notification, coordination and registration procedures with the principles contained in Article </w:t>
      </w:r>
      <w:r w:rsidRPr="00717C35">
        <w:rPr>
          <w:b/>
          <w:bCs/>
          <w:i/>
          <w:iCs/>
        </w:rPr>
        <w:t>44</w:t>
      </w:r>
      <w:r w:rsidRPr="00717C35">
        <w:rPr>
          <w:i/>
          <w:iCs/>
        </w:rPr>
        <w:t xml:space="preserve"> of the Constitution and No. </w:t>
      </w:r>
      <w:r w:rsidRPr="00717C35">
        <w:rPr>
          <w:b/>
          <w:i/>
          <w:iCs/>
        </w:rPr>
        <w:t>0.3</w:t>
      </w:r>
      <w:r w:rsidRPr="00717C35">
        <w:rPr>
          <w:i/>
          <w:iCs/>
        </w:rPr>
        <w:t xml:space="preserve"> of the Preamble to the Radio Regulations, and to report to each future World Radiocommunication Conference </w:t>
      </w:r>
      <w:proofErr w:type="gramStart"/>
      <w:r w:rsidRPr="00717C35">
        <w:rPr>
          <w:i/>
          <w:iCs/>
        </w:rPr>
        <w:t>with regard to</w:t>
      </w:r>
      <w:proofErr w:type="gramEnd"/>
      <w:r w:rsidRPr="00717C35">
        <w:rPr>
          <w:i/>
          <w:iCs/>
        </w:rPr>
        <w:t xml:space="preserve"> this Resolution;</w:t>
      </w:r>
    </w:p>
    <w:p w14:paraId="6D6A8775" w14:textId="171BCC1F" w:rsidR="002D6E6F" w:rsidRPr="00717C35" w:rsidRDefault="002D6E6F" w:rsidP="00AA538D">
      <w:r w:rsidRPr="00717C35">
        <w:t>The RRB Report on Resolution</w:t>
      </w:r>
      <w:r w:rsidR="002A32D4" w:rsidRPr="00717C35">
        <w:t> </w:t>
      </w:r>
      <w:r w:rsidRPr="00717C35">
        <w:rPr>
          <w:b/>
          <w:bCs/>
        </w:rPr>
        <w:t>80 (Rev.WRC-07)</w:t>
      </w:r>
      <w:r w:rsidRPr="00717C35">
        <w:t xml:space="preserve"> was submitted to WRC</w:t>
      </w:r>
      <w:r w:rsidR="002A32D4" w:rsidRPr="00717C35">
        <w:noBreakHyphen/>
      </w:r>
      <w:r w:rsidRPr="00717C35">
        <w:t>23 (Doc.</w:t>
      </w:r>
      <w:r w:rsidR="002A32D4" w:rsidRPr="00717C35">
        <w:t> </w:t>
      </w:r>
      <w:r w:rsidRPr="00717C35">
        <w:t>50). The ATU thanks the Board for its diligence and detail in identifying issues in Section</w:t>
      </w:r>
      <w:r w:rsidR="002A32D4" w:rsidRPr="00717C35">
        <w:t> </w:t>
      </w:r>
      <w:r w:rsidRPr="00717C35">
        <w:t xml:space="preserve">4 of the Report. Views on some of these elements are provided below. </w:t>
      </w:r>
    </w:p>
    <w:p w14:paraId="2ADB8C84" w14:textId="77777777" w:rsidR="002D6E6F" w:rsidRPr="00717C35" w:rsidRDefault="002D6E6F" w:rsidP="00A3388F">
      <w:pPr>
        <w:pStyle w:val="Heading1"/>
      </w:pPr>
      <w:bookmarkStart w:id="10" w:name="_Toc409538038"/>
      <w:bookmarkStart w:id="11" w:name="_Toc520420646"/>
      <w:bookmarkStart w:id="12" w:name="_Toc4119418"/>
      <w:r w:rsidRPr="00717C35">
        <w:t>2</w:t>
      </w:r>
      <w:r w:rsidRPr="00717C35">
        <w:tab/>
        <w:t>Comments on Particular Issues</w:t>
      </w:r>
      <w:bookmarkEnd w:id="10"/>
      <w:bookmarkEnd w:id="11"/>
      <w:bookmarkEnd w:id="12"/>
      <w:r w:rsidRPr="00717C35">
        <w:t xml:space="preserve"> </w:t>
      </w:r>
    </w:p>
    <w:p w14:paraId="43AA64EB" w14:textId="4F04F849" w:rsidR="002D6E6F" w:rsidRPr="00717C35" w:rsidRDefault="002D6E6F" w:rsidP="00E0150E">
      <w:pPr>
        <w:pStyle w:val="Heading2"/>
      </w:pPr>
      <w:bookmarkStart w:id="13" w:name="_Toc520420662"/>
      <w:bookmarkStart w:id="14" w:name="_Toc4119428"/>
      <w:r w:rsidRPr="00717C35">
        <w:t>2.1</w:t>
      </w:r>
      <w:r w:rsidRPr="00717C35">
        <w:tab/>
      </w:r>
      <w:bookmarkStart w:id="15" w:name="_Toc409538048"/>
      <w:bookmarkEnd w:id="13"/>
      <w:bookmarkEnd w:id="14"/>
      <w:r w:rsidRPr="00717C35">
        <w:t>Linkage between bringing into use and notification for recording in the Master International Frequency Register of frequency assignments (MIFR</w:t>
      </w:r>
      <w:bookmarkEnd w:id="15"/>
      <w:r w:rsidRPr="00717C35">
        <w:t>) and Issues related to Resolution</w:t>
      </w:r>
      <w:r w:rsidR="002A32D4" w:rsidRPr="00717C35">
        <w:t> </w:t>
      </w:r>
      <w:r w:rsidRPr="00717C35">
        <w:t>40 (Rev. WRC</w:t>
      </w:r>
      <w:r w:rsidR="002A32D4" w:rsidRPr="00717C35">
        <w:noBreakHyphen/>
      </w:r>
      <w:r w:rsidRPr="00717C35">
        <w:t>19)</w:t>
      </w:r>
    </w:p>
    <w:p w14:paraId="7AEE515A" w14:textId="66032770" w:rsidR="002D6E6F" w:rsidRPr="00717C35" w:rsidRDefault="002D6E6F" w:rsidP="00AA538D">
      <w:r w:rsidRPr="00717C35">
        <w:t>In Section</w:t>
      </w:r>
      <w:r w:rsidR="002A32D4" w:rsidRPr="00717C35">
        <w:t> </w:t>
      </w:r>
      <w:r w:rsidRPr="00717C35">
        <w:t xml:space="preserve">4.3, the Report discusses whether the bringing into use of frequency assignments in </w:t>
      </w:r>
      <w:r w:rsidR="00F25ED0" w:rsidRPr="00717C35">
        <w:t xml:space="preserve">RR </w:t>
      </w:r>
      <w:r w:rsidRPr="00717C35">
        <w:t>Appendices</w:t>
      </w:r>
      <w:r w:rsidR="002A32D4" w:rsidRPr="00717C35">
        <w:t> </w:t>
      </w:r>
      <w:r w:rsidRPr="00717C35">
        <w:rPr>
          <w:rStyle w:val="Appref"/>
          <w:b/>
          <w:bCs/>
        </w:rPr>
        <w:t>30</w:t>
      </w:r>
      <w:r w:rsidRPr="00717C35">
        <w:t xml:space="preserve">, </w:t>
      </w:r>
      <w:r w:rsidRPr="00717C35">
        <w:rPr>
          <w:rStyle w:val="Appref"/>
          <w:b/>
          <w:bCs/>
        </w:rPr>
        <w:t>30A</w:t>
      </w:r>
      <w:r w:rsidRPr="00717C35">
        <w:t xml:space="preserve"> and</w:t>
      </w:r>
      <w:r w:rsidR="002A32D4" w:rsidRPr="00717C35">
        <w:t> </w:t>
      </w:r>
      <w:r w:rsidRPr="00717C35">
        <w:rPr>
          <w:rStyle w:val="Appref"/>
          <w:b/>
          <w:bCs/>
        </w:rPr>
        <w:t>30B</w:t>
      </w:r>
      <w:r w:rsidRPr="00717C35">
        <w:t xml:space="preserve"> with a satellite that is subsequently relocated prior to the notification submission should be permitted, noting (1)</w:t>
      </w:r>
      <w:r w:rsidR="002A32D4" w:rsidRPr="00717C35">
        <w:t> </w:t>
      </w:r>
      <w:r w:rsidRPr="00717C35">
        <w:t>that §</w:t>
      </w:r>
      <w:r w:rsidR="002A32D4" w:rsidRPr="00717C35">
        <w:t> </w:t>
      </w:r>
      <w:r w:rsidRPr="00717C35">
        <w:t xml:space="preserve">4.1.18 of </w:t>
      </w:r>
      <w:r w:rsidR="00F25ED0" w:rsidRPr="00717C35">
        <w:t xml:space="preserve">RR </w:t>
      </w:r>
      <w:r w:rsidRPr="00717C35">
        <w:t>Appendices</w:t>
      </w:r>
      <w:r w:rsidR="002A32D4" w:rsidRPr="00717C35">
        <w:t> </w:t>
      </w:r>
      <w:r w:rsidRPr="00717C35">
        <w:rPr>
          <w:rStyle w:val="Appref"/>
          <w:b/>
          <w:bCs/>
        </w:rPr>
        <w:t>30</w:t>
      </w:r>
      <w:r w:rsidRPr="00717C35">
        <w:t xml:space="preserve"> and</w:t>
      </w:r>
      <w:r w:rsidR="002A32D4" w:rsidRPr="00717C35">
        <w:t> </w:t>
      </w:r>
      <w:r w:rsidRPr="00717C35">
        <w:rPr>
          <w:rStyle w:val="Appref"/>
          <w:b/>
          <w:bCs/>
        </w:rPr>
        <w:t>30A</w:t>
      </w:r>
      <w:r w:rsidRPr="00717C35">
        <w:t xml:space="preserve"> does not apply with respect to a frequency assignment in the Regions</w:t>
      </w:r>
      <w:r w:rsidR="002A32D4" w:rsidRPr="00717C35">
        <w:t> </w:t>
      </w:r>
      <w:r w:rsidRPr="00717C35">
        <w:t>1 and</w:t>
      </w:r>
      <w:r w:rsidR="002A32D4" w:rsidRPr="00717C35">
        <w:t> </w:t>
      </w:r>
      <w:r w:rsidRPr="00717C35">
        <w:t>3 Plan, or in the Region</w:t>
      </w:r>
      <w:r w:rsidR="002A32D4" w:rsidRPr="00717C35">
        <w:t> </w:t>
      </w:r>
      <w:r w:rsidRPr="00717C35">
        <w:t xml:space="preserve">2 Plan, or for which the procedure of §4.2 of </w:t>
      </w:r>
      <w:r w:rsidR="00F25ED0" w:rsidRPr="00717C35">
        <w:t xml:space="preserve">RR </w:t>
      </w:r>
      <w:r w:rsidRPr="00717C35">
        <w:t>Appendices</w:t>
      </w:r>
      <w:r w:rsidR="002A32D4" w:rsidRPr="00717C35">
        <w:t> </w:t>
      </w:r>
      <w:r w:rsidRPr="00717C35">
        <w:rPr>
          <w:rStyle w:val="Appref"/>
          <w:b/>
          <w:bCs/>
        </w:rPr>
        <w:t>30</w:t>
      </w:r>
      <w:r w:rsidRPr="00717C35">
        <w:t xml:space="preserve"> and</w:t>
      </w:r>
      <w:r w:rsidR="002A32D4" w:rsidRPr="00717C35">
        <w:t> </w:t>
      </w:r>
      <w:r w:rsidRPr="00717C35">
        <w:rPr>
          <w:rStyle w:val="Appref"/>
          <w:b/>
          <w:bCs/>
        </w:rPr>
        <w:t>30A</w:t>
      </w:r>
      <w:r w:rsidRPr="00717C35">
        <w:t xml:space="preserve"> has been initiated, (2)</w:t>
      </w:r>
      <w:r w:rsidR="002A32D4" w:rsidRPr="00717C35">
        <w:t> </w:t>
      </w:r>
      <w:r w:rsidRPr="00717C35">
        <w:t>that §</w:t>
      </w:r>
      <w:r w:rsidR="002A32D4" w:rsidRPr="00717C35">
        <w:t> </w:t>
      </w:r>
      <w:r w:rsidRPr="00717C35">
        <w:t xml:space="preserve">4.2.21A of </w:t>
      </w:r>
      <w:r w:rsidR="00F25ED0" w:rsidRPr="00717C35">
        <w:t xml:space="preserve">RR </w:t>
      </w:r>
      <w:r w:rsidRPr="00717C35">
        <w:t>Appendices</w:t>
      </w:r>
      <w:r w:rsidR="002A32D4" w:rsidRPr="00717C35">
        <w:t> </w:t>
      </w:r>
      <w:r w:rsidRPr="00717C35">
        <w:rPr>
          <w:rStyle w:val="Appref"/>
          <w:b/>
          <w:bCs/>
        </w:rPr>
        <w:t>30</w:t>
      </w:r>
      <w:r w:rsidRPr="00717C35">
        <w:t xml:space="preserve"> and</w:t>
      </w:r>
      <w:r w:rsidR="002A32D4" w:rsidRPr="00717C35">
        <w:t> </w:t>
      </w:r>
      <w:r w:rsidRPr="00717C35">
        <w:rPr>
          <w:rStyle w:val="Appref"/>
          <w:b/>
          <w:bCs/>
        </w:rPr>
        <w:t>30A</w:t>
      </w:r>
      <w:r w:rsidRPr="00717C35">
        <w:t xml:space="preserve"> does not apply with respect to a frequency assignment in the Region</w:t>
      </w:r>
      <w:r w:rsidR="002A32D4" w:rsidRPr="00717C35">
        <w:t> </w:t>
      </w:r>
      <w:r w:rsidRPr="00717C35">
        <w:t>2 Plan, or in the Regions</w:t>
      </w:r>
      <w:r w:rsidR="002A32D4" w:rsidRPr="00717C35">
        <w:t> </w:t>
      </w:r>
      <w:r w:rsidRPr="00717C35">
        <w:t>1 and</w:t>
      </w:r>
      <w:r w:rsidR="002A32D4" w:rsidRPr="00717C35">
        <w:t> </w:t>
      </w:r>
      <w:r w:rsidRPr="00717C35">
        <w:t>3 Plan or List, or for which the procedure of §</w:t>
      </w:r>
      <w:r w:rsidR="002A32D4" w:rsidRPr="00717C35">
        <w:t> </w:t>
      </w:r>
      <w:r w:rsidRPr="00717C35">
        <w:t>4.1 or</w:t>
      </w:r>
      <w:r w:rsidR="002A32D4" w:rsidRPr="00717C35">
        <w:t> </w:t>
      </w:r>
      <w:r w:rsidRPr="00717C35">
        <w:t>4.2 has been initiated, and (3) that §</w:t>
      </w:r>
      <w:r w:rsidR="002A32D4" w:rsidRPr="00717C35">
        <w:t> </w:t>
      </w:r>
      <w:r w:rsidRPr="00717C35">
        <w:t>6.25 of Article</w:t>
      </w:r>
      <w:r w:rsidR="002A32D4" w:rsidRPr="00717C35">
        <w:t> </w:t>
      </w:r>
      <w:r w:rsidRPr="00717C35">
        <w:t xml:space="preserve">6 of </w:t>
      </w:r>
      <w:r w:rsidR="00C44179" w:rsidRPr="00717C35">
        <w:t xml:space="preserve">RR </w:t>
      </w:r>
      <w:r w:rsidRPr="00717C35">
        <w:t>Appendix</w:t>
      </w:r>
      <w:r w:rsidR="002A32D4" w:rsidRPr="00717C35">
        <w:t> </w:t>
      </w:r>
      <w:r w:rsidRPr="00717C35">
        <w:rPr>
          <w:rStyle w:val="Appref"/>
          <w:b/>
          <w:bCs/>
        </w:rPr>
        <w:t>30B</w:t>
      </w:r>
      <w:r w:rsidRPr="00717C35">
        <w:t xml:space="preserve"> does not apply with respect to allotments in the Plan</w:t>
      </w:r>
      <w:r w:rsidR="002A32D4" w:rsidRPr="00717C35">
        <w:t>.</w:t>
      </w:r>
    </w:p>
    <w:p w14:paraId="23B3DC90" w14:textId="2284DEC2" w:rsidR="002D6E6F" w:rsidRPr="00717C35" w:rsidRDefault="002D6E6F" w:rsidP="00AA538D">
      <w:pPr>
        <w:rPr>
          <w:bCs/>
        </w:rPr>
      </w:pPr>
      <w:r w:rsidRPr="00717C35">
        <w:rPr>
          <w:bCs/>
        </w:rPr>
        <w:t>The Board noted that</w:t>
      </w:r>
      <w:r w:rsidRPr="00717C35">
        <w:t xml:space="preserve"> administrations had been informed in CR/343, CCRR/49 and CCRR/52 about the link between the 90-day period for the bringing into use of frequency assignments and the notification procedure, and the matter had been discussed extensively within the relevant study groups, the RRB and at WRC</w:t>
      </w:r>
      <w:r w:rsidR="002A32D4" w:rsidRPr="00717C35">
        <w:noBreakHyphen/>
      </w:r>
      <w:r w:rsidRPr="00717C35">
        <w:t>15. WRC</w:t>
      </w:r>
      <w:r w:rsidR="002A32D4" w:rsidRPr="00717C35">
        <w:noBreakHyphen/>
      </w:r>
      <w:r w:rsidRPr="00717C35">
        <w:t xml:space="preserve">15 had adopted </w:t>
      </w:r>
      <w:r w:rsidR="0058443B" w:rsidRPr="00717C35">
        <w:t>RR</w:t>
      </w:r>
      <w:r w:rsidR="002A32D4" w:rsidRPr="00717C35">
        <w:t> </w:t>
      </w:r>
      <w:r w:rsidRPr="00717C35">
        <w:t>No.</w:t>
      </w:r>
      <w:r w:rsidR="002A32D4" w:rsidRPr="00717C35">
        <w:t> </w:t>
      </w:r>
      <w:r w:rsidRPr="00717C35">
        <w:rPr>
          <w:rStyle w:val="Artref"/>
          <w:b/>
          <w:bCs/>
        </w:rPr>
        <w:t>11.44B.2</w:t>
      </w:r>
      <w:r w:rsidRPr="00717C35">
        <w:t xml:space="preserve"> to discourage the practice of satellite hopping and its application had not given rise to any difficulties. The Board was of the view that there were no remaining ambiguities about how the Bureau or the Board should treat cases of non-planned services when the notified date of bringing into use is more than 120</w:t>
      </w:r>
      <w:r w:rsidR="008B62FE" w:rsidRPr="00717C35">
        <w:t> </w:t>
      </w:r>
      <w:r w:rsidRPr="00717C35">
        <w:t>days prior to the date of receipt of the notification information.</w:t>
      </w:r>
    </w:p>
    <w:p w14:paraId="46214552" w14:textId="7391053E" w:rsidR="002D6E6F" w:rsidRPr="00717C35" w:rsidRDefault="002D6E6F" w:rsidP="00AA538D">
      <w:pPr>
        <w:rPr>
          <w:i/>
          <w:iCs/>
        </w:rPr>
      </w:pPr>
      <w:r w:rsidRPr="00717C35">
        <w:t>In addition to that</w:t>
      </w:r>
      <w:r w:rsidR="00D02415" w:rsidRPr="00717C35">
        <w:t>,</w:t>
      </w:r>
      <w:r w:rsidRPr="00717C35">
        <w:t xml:space="preserve"> in section</w:t>
      </w:r>
      <w:r w:rsidR="008B62FE" w:rsidRPr="00717C35">
        <w:t> </w:t>
      </w:r>
      <w:r w:rsidRPr="00717C35">
        <w:t xml:space="preserve">4.11 the RRB brought to attention difficulties that could happen due to satellite hopping and states that </w:t>
      </w:r>
      <w:r w:rsidRPr="00717C35">
        <w:rPr>
          <w:i/>
          <w:iCs/>
        </w:rPr>
        <w:t xml:space="preserve">“The Board is of the view that the key indicator of potential misuse is rather when frequency assignments are repeatedly brought into use or brought back into use only for a short period of time. This type of practice allows an administration to maintain its recording in the MIFR (which maintains the international recognition and rights for protection of the frequency assignments to the GSO satellite networks) by simply satisfying the BIU/BBIU requirements without maintaining any satellite with the required transmitting and receiving capability beyond the required 90-day BIU/BBIU period. Such a practice is contrary to the </w:t>
      </w:r>
      <w:r w:rsidRPr="00717C35">
        <w:rPr>
          <w:i/>
          <w:iCs/>
        </w:rPr>
        <w:lastRenderedPageBreak/>
        <w:t>principles of Article</w:t>
      </w:r>
      <w:r w:rsidR="008B62FE" w:rsidRPr="00717C35">
        <w:rPr>
          <w:i/>
          <w:iCs/>
        </w:rPr>
        <w:t> </w:t>
      </w:r>
      <w:r w:rsidRPr="00717C35">
        <w:rPr>
          <w:i/>
          <w:iCs/>
        </w:rPr>
        <w:t>44 of the Constitution, the intent of the Radio Regulations and the essence of the regulatory provisions governing access to the radio spectrum and geostationary orbit.</w:t>
      </w:r>
    </w:p>
    <w:p w14:paraId="056D3FCC" w14:textId="79294FDC" w:rsidR="002D6E6F" w:rsidRPr="00717C35" w:rsidRDefault="002D6E6F" w:rsidP="00AA538D">
      <w:pPr>
        <w:rPr>
          <w:i/>
          <w:iCs/>
        </w:rPr>
      </w:pPr>
      <w:r w:rsidRPr="00717C35">
        <w:rPr>
          <w:i/>
          <w:iCs/>
        </w:rPr>
        <w:t>4.11.3</w:t>
      </w:r>
      <w:r w:rsidRPr="00717C35">
        <w:rPr>
          <w:i/>
          <w:iCs/>
        </w:rPr>
        <w:tab/>
        <w:t>The Board also noted with concern a recent case reported by the Bureau of “satellite hopping without moving,” whereby a single satellite located at orbital position</w:t>
      </w:r>
      <w:r w:rsidR="008B62FE" w:rsidRPr="00717C35">
        <w:rPr>
          <w:i/>
          <w:iCs/>
        </w:rPr>
        <w:t> </w:t>
      </w:r>
      <w:r w:rsidRPr="00717C35">
        <w:rPr>
          <w:i/>
          <w:iCs/>
        </w:rPr>
        <w:t>“A” had been used to bring into use assignments to satellite networks notified at orbital position</w:t>
      </w:r>
      <w:r w:rsidR="008B62FE" w:rsidRPr="00717C35">
        <w:rPr>
          <w:i/>
          <w:iCs/>
        </w:rPr>
        <w:t> </w:t>
      </w:r>
      <w:r w:rsidRPr="00717C35">
        <w:rPr>
          <w:i/>
          <w:iCs/>
        </w:rPr>
        <w:t>“B” less than 0.5° away from position</w:t>
      </w:r>
      <w:r w:rsidR="008B62FE" w:rsidRPr="00717C35">
        <w:rPr>
          <w:i/>
          <w:iCs/>
        </w:rPr>
        <w:t> </w:t>
      </w:r>
      <w:r w:rsidRPr="00717C35">
        <w:rPr>
          <w:i/>
          <w:iCs/>
        </w:rPr>
        <w:t>“A.” Those networks had been suspended after several years of operation and the satellite, still physically located at position</w:t>
      </w:r>
      <w:r w:rsidR="008B62FE" w:rsidRPr="00717C35">
        <w:rPr>
          <w:i/>
          <w:iCs/>
        </w:rPr>
        <w:t> </w:t>
      </w:r>
      <w:r w:rsidRPr="00717C35">
        <w:rPr>
          <w:i/>
          <w:iCs/>
        </w:rPr>
        <w:t>“A,” had then been used to bring into use frequency assignments to satellite networks at orbital position</w:t>
      </w:r>
      <w:r w:rsidR="008B62FE" w:rsidRPr="00717C35">
        <w:rPr>
          <w:i/>
          <w:iCs/>
        </w:rPr>
        <w:t> </w:t>
      </w:r>
      <w:r w:rsidRPr="00717C35">
        <w:rPr>
          <w:i/>
          <w:iCs/>
        </w:rPr>
        <w:t>“C,” still less than 0.5° away from the satellite’s physical position. The case showed that notifying administrations could keep networks at two positions with a single physical satellite at a third position by suspending the networks in sequence every three years without suffering any loss of service for having to remain at a different position for 90</w:t>
      </w:r>
      <w:r w:rsidR="008B62FE" w:rsidRPr="00717C35">
        <w:rPr>
          <w:i/>
          <w:iCs/>
        </w:rPr>
        <w:t> </w:t>
      </w:r>
      <w:r w:rsidRPr="00717C35">
        <w:rPr>
          <w:i/>
          <w:iCs/>
        </w:rPr>
        <w:t>days or loss of fuel for drifting to a different position. When WRC</w:t>
      </w:r>
      <w:r w:rsidR="008B62FE" w:rsidRPr="00717C35">
        <w:rPr>
          <w:i/>
          <w:iCs/>
        </w:rPr>
        <w:noBreakHyphen/>
      </w:r>
      <w:r w:rsidRPr="00717C35">
        <w:rPr>
          <w:i/>
          <w:iCs/>
        </w:rPr>
        <w:t>15 adopted Resolution</w:t>
      </w:r>
      <w:r w:rsidR="008B62FE" w:rsidRPr="00717C35">
        <w:rPr>
          <w:i/>
          <w:iCs/>
        </w:rPr>
        <w:t> </w:t>
      </w:r>
      <w:r w:rsidRPr="00717C35">
        <w:rPr>
          <w:i/>
          <w:iCs/>
        </w:rPr>
        <w:t>40, the operational costs of using one space station to bring into use frequency assignments at different orbital locations within a short period of time had been deemed to be sufficiently high to minimize potential misuse. However, when the practice does not involve any satellite relocation, the cost-related assumption that had led to the adoption of Resolution</w:t>
      </w:r>
      <w:r w:rsidR="008B62FE" w:rsidRPr="00717C35">
        <w:rPr>
          <w:i/>
          <w:iCs/>
        </w:rPr>
        <w:t> </w:t>
      </w:r>
      <w:r w:rsidRPr="00717C35">
        <w:rPr>
          <w:i/>
          <w:iCs/>
        </w:rPr>
        <w:t>40 (WRC-15) no longer applies. The Board is of the view that such practice also clearly runs contrary to the principles of the Union’s instruments in relation to the rational, efficient and economical use of, and equitable access to, frequency and orbital resources.”</w:t>
      </w:r>
    </w:p>
    <w:p w14:paraId="50885DFE" w14:textId="24FA101E" w:rsidR="002D6E6F" w:rsidRPr="00717C35" w:rsidRDefault="002D6E6F" w:rsidP="00AA538D">
      <w:r w:rsidRPr="00717C35">
        <w:t>In addition to that Document</w:t>
      </w:r>
      <w:r w:rsidR="008B62FE" w:rsidRPr="00717C35">
        <w:t> </w:t>
      </w:r>
      <w:hyperlink r:id="rId14" w:history="1">
        <w:r w:rsidRPr="00717C35">
          <w:rPr>
            <w:rStyle w:val="Hyperlink"/>
          </w:rPr>
          <w:t>4A/402</w:t>
        </w:r>
      </w:hyperlink>
      <w:r w:rsidRPr="00717C35">
        <w:t xml:space="preserve"> from the Bureau provided an updated version of Resolution</w:t>
      </w:r>
      <w:r w:rsidR="00112ACD" w:rsidRPr="00717C35">
        <w:t> </w:t>
      </w:r>
      <w:r w:rsidRPr="00717C35">
        <w:rPr>
          <w:b/>
          <w:bCs/>
        </w:rPr>
        <w:t>40</w:t>
      </w:r>
      <w:r w:rsidR="00112ACD" w:rsidRPr="00717C35">
        <w:rPr>
          <w:b/>
          <w:bCs/>
        </w:rPr>
        <w:t> </w:t>
      </w:r>
      <w:r w:rsidRPr="00717C35">
        <w:rPr>
          <w:b/>
          <w:bCs/>
        </w:rPr>
        <w:t>(Rev.WRC</w:t>
      </w:r>
      <w:r w:rsidRPr="00717C35">
        <w:rPr>
          <w:b/>
          <w:bCs/>
        </w:rPr>
        <w:noBreakHyphen/>
        <w:t>19)</w:t>
      </w:r>
      <w:r w:rsidRPr="00717C35">
        <w:t xml:space="preserve"> statistics from 28</w:t>
      </w:r>
      <w:r w:rsidR="008B62FE" w:rsidRPr="00717C35">
        <w:t> </w:t>
      </w:r>
      <w:r w:rsidRPr="00717C35">
        <w:t>November</w:t>
      </w:r>
      <w:r w:rsidR="008B62FE" w:rsidRPr="00717C35">
        <w:t> </w:t>
      </w:r>
      <w:r w:rsidRPr="00717C35">
        <w:t>2015 until 4</w:t>
      </w:r>
      <w:r w:rsidR="008B62FE" w:rsidRPr="00717C35">
        <w:t> </w:t>
      </w:r>
      <w:r w:rsidRPr="00717C35">
        <w:t>October</w:t>
      </w:r>
      <w:r w:rsidR="008B62FE" w:rsidRPr="00717C35">
        <w:t> </w:t>
      </w:r>
      <w:r w:rsidRPr="00717C35">
        <w:t>2021 was provided to WP4A. Table 1 below shows the number of submissions under Resolution</w:t>
      </w:r>
      <w:r w:rsidR="00BB19F1" w:rsidRPr="00717C35">
        <w:t> </w:t>
      </w:r>
      <w:r w:rsidRPr="00717C35">
        <w:rPr>
          <w:b/>
          <w:bCs/>
        </w:rPr>
        <w:t>40 (Rev.WRC</w:t>
      </w:r>
      <w:r w:rsidR="008B62FE" w:rsidRPr="00717C35">
        <w:rPr>
          <w:b/>
          <w:bCs/>
        </w:rPr>
        <w:noBreakHyphen/>
      </w:r>
      <w:r w:rsidRPr="00717C35">
        <w:rPr>
          <w:b/>
          <w:bCs/>
        </w:rPr>
        <w:t xml:space="preserve">19) </w:t>
      </w:r>
      <w:r w:rsidRPr="00717C35">
        <w:t>against the number of orbital positions at which a space station mentioned in a Resolution</w:t>
      </w:r>
      <w:r w:rsidR="008B62FE" w:rsidRPr="00717C35">
        <w:t> </w:t>
      </w:r>
      <w:r w:rsidRPr="00717C35">
        <w:rPr>
          <w:b/>
          <w:bCs/>
        </w:rPr>
        <w:t>40 (Rev.WRC</w:t>
      </w:r>
      <w:r w:rsidR="008B62FE" w:rsidRPr="00717C35">
        <w:rPr>
          <w:b/>
          <w:bCs/>
        </w:rPr>
        <w:noBreakHyphen/>
      </w:r>
      <w:r w:rsidRPr="00717C35">
        <w:rPr>
          <w:b/>
          <w:bCs/>
        </w:rPr>
        <w:t>19)</w:t>
      </w:r>
      <w:r w:rsidRPr="00717C35">
        <w:t xml:space="preserve"> submission was previously used.</w:t>
      </w:r>
    </w:p>
    <w:p w14:paraId="1A8AB8F6" w14:textId="77777777" w:rsidR="002D6E6F" w:rsidRPr="00717C35" w:rsidRDefault="002D6E6F" w:rsidP="004C608A">
      <w:pPr>
        <w:pStyle w:val="TableNo"/>
      </w:pPr>
      <w:r w:rsidRPr="00717C35">
        <w:t>Table 1</w:t>
      </w:r>
    </w:p>
    <w:p w14:paraId="56E6671E" w14:textId="77777777" w:rsidR="002D6E6F" w:rsidRPr="00717C35" w:rsidRDefault="002D6E6F" w:rsidP="005529F4">
      <w:pPr>
        <w:pStyle w:val="Tabletitle"/>
      </w:pPr>
      <w:r w:rsidRPr="00717C35">
        <w:t>Statistics of submissions under Resolution 40 (Rev.WRC-19)</w:t>
      </w:r>
    </w:p>
    <w:tbl>
      <w:tblPr>
        <w:tblStyle w:val="TableGrid"/>
        <w:tblW w:w="7634" w:type="dxa"/>
        <w:jc w:val="center"/>
        <w:tblLayout w:type="fixed"/>
        <w:tblLook w:val="04A0" w:firstRow="1" w:lastRow="0" w:firstColumn="1" w:lastColumn="0" w:noHBand="0" w:noVBand="1"/>
      </w:tblPr>
      <w:tblGrid>
        <w:gridCol w:w="3473"/>
        <w:gridCol w:w="2274"/>
        <w:gridCol w:w="1887"/>
      </w:tblGrid>
      <w:tr w:rsidR="002D6E6F" w:rsidRPr="00717C35" w14:paraId="752B758D" w14:textId="77777777" w:rsidTr="00E60943">
        <w:trPr>
          <w:cantSplit/>
          <w:tblHeader/>
          <w:jc w:val="center"/>
        </w:trPr>
        <w:tc>
          <w:tcPr>
            <w:tcW w:w="3473" w:type="dxa"/>
            <w:noWrap/>
            <w:hideMark/>
          </w:tcPr>
          <w:p w14:paraId="600EDB1D" w14:textId="77777777" w:rsidR="002D6E6F" w:rsidRPr="00717C35" w:rsidRDefault="002D6E6F" w:rsidP="00921F13">
            <w:pPr>
              <w:pStyle w:val="Tablehead"/>
            </w:pPr>
            <w:r w:rsidRPr="00717C35">
              <w:t>Number of positions at which the space station was used previously</w:t>
            </w:r>
          </w:p>
        </w:tc>
        <w:tc>
          <w:tcPr>
            <w:tcW w:w="2274" w:type="dxa"/>
            <w:noWrap/>
            <w:hideMark/>
          </w:tcPr>
          <w:p w14:paraId="34F8D2FC" w14:textId="77777777" w:rsidR="002D6E6F" w:rsidRPr="00717C35" w:rsidRDefault="002D6E6F" w:rsidP="00921F13">
            <w:pPr>
              <w:pStyle w:val="Tablehead"/>
            </w:pPr>
            <w:r w:rsidRPr="00717C35">
              <w:t>Number of Res. 40 submissions</w:t>
            </w:r>
          </w:p>
        </w:tc>
        <w:tc>
          <w:tcPr>
            <w:tcW w:w="1887" w:type="dxa"/>
            <w:noWrap/>
            <w:hideMark/>
          </w:tcPr>
          <w:p w14:paraId="48C2D328" w14:textId="77777777" w:rsidR="002D6E6F" w:rsidRPr="00717C35" w:rsidRDefault="002D6E6F" w:rsidP="00921F13">
            <w:pPr>
              <w:pStyle w:val="Tablehead"/>
            </w:pPr>
            <w:r w:rsidRPr="00717C35">
              <w:t>Percentage</w:t>
            </w:r>
            <w:r w:rsidRPr="00717C35">
              <w:br/>
              <w:t>(%)</w:t>
            </w:r>
          </w:p>
        </w:tc>
      </w:tr>
      <w:tr w:rsidR="002D6E6F" w:rsidRPr="00717C35" w14:paraId="566EB8CF" w14:textId="77777777" w:rsidTr="00E60943">
        <w:trPr>
          <w:cantSplit/>
          <w:jc w:val="center"/>
        </w:trPr>
        <w:tc>
          <w:tcPr>
            <w:tcW w:w="3473" w:type="dxa"/>
            <w:noWrap/>
            <w:hideMark/>
          </w:tcPr>
          <w:p w14:paraId="1F49A221" w14:textId="77777777" w:rsidR="002D6E6F" w:rsidRPr="00717C35" w:rsidRDefault="002D6E6F" w:rsidP="00921F13">
            <w:pPr>
              <w:pStyle w:val="TableTextS5"/>
            </w:pPr>
            <w:r w:rsidRPr="00717C35">
              <w:t>0</w:t>
            </w:r>
          </w:p>
        </w:tc>
        <w:tc>
          <w:tcPr>
            <w:tcW w:w="2274" w:type="dxa"/>
            <w:noWrap/>
            <w:hideMark/>
          </w:tcPr>
          <w:p w14:paraId="66DD81DC" w14:textId="77777777" w:rsidR="002D6E6F" w:rsidRPr="00717C35" w:rsidRDefault="002D6E6F" w:rsidP="00921F13">
            <w:pPr>
              <w:pStyle w:val="TableTextS5"/>
            </w:pPr>
            <w:r w:rsidRPr="00717C35">
              <w:t>479</w:t>
            </w:r>
          </w:p>
        </w:tc>
        <w:tc>
          <w:tcPr>
            <w:tcW w:w="1887" w:type="dxa"/>
            <w:noWrap/>
          </w:tcPr>
          <w:p w14:paraId="5ACBC5C3" w14:textId="77777777" w:rsidR="002D6E6F" w:rsidRPr="00717C35" w:rsidRDefault="002D6E6F" w:rsidP="00921F13">
            <w:pPr>
              <w:pStyle w:val="TableTextS5"/>
            </w:pPr>
            <w:r w:rsidRPr="00717C35">
              <w:t>71.07</w:t>
            </w:r>
          </w:p>
        </w:tc>
      </w:tr>
      <w:tr w:rsidR="002D6E6F" w:rsidRPr="00717C35" w14:paraId="1E730FAF" w14:textId="77777777" w:rsidTr="00E60943">
        <w:trPr>
          <w:cantSplit/>
          <w:jc w:val="center"/>
        </w:trPr>
        <w:tc>
          <w:tcPr>
            <w:tcW w:w="3473" w:type="dxa"/>
            <w:noWrap/>
            <w:hideMark/>
          </w:tcPr>
          <w:p w14:paraId="70B4B769" w14:textId="77777777" w:rsidR="002D6E6F" w:rsidRPr="00717C35" w:rsidRDefault="002D6E6F" w:rsidP="00921F13">
            <w:pPr>
              <w:pStyle w:val="TableTextS5"/>
            </w:pPr>
            <w:r w:rsidRPr="00717C35">
              <w:t>1</w:t>
            </w:r>
          </w:p>
        </w:tc>
        <w:tc>
          <w:tcPr>
            <w:tcW w:w="2274" w:type="dxa"/>
            <w:noWrap/>
            <w:hideMark/>
          </w:tcPr>
          <w:p w14:paraId="5FED2BA8" w14:textId="77777777" w:rsidR="002D6E6F" w:rsidRPr="00717C35" w:rsidRDefault="002D6E6F" w:rsidP="00921F13">
            <w:pPr>
              <w:pStyle w:val="TableTextS5"/>
            </w:pPr>
            <w:r w:rsidRPr="00717C35">
              <w:t>113</w:t>
            </w:r>
          </w:p>
        </w:tc>
        <w:tc>
          <w:tcPr>
            <w:tcW w:w="1887" w:type="dxa"/>
            <w:noWrap/>
          </w:tcPr>
          <w:p w14:paraId="28B0B741" w14:textId="77777777" w:rsidR="002D6E6F" w:rsidRPr="00717C35" w:rsidRDefault="002D6E6F" w:rsidP="00921F13">
            <w:pPr>
              <w:pStyle w:val="TableTextS5"/>
            </w:pPr>
            <w:r w:rsidRPr="00717C35">
              <w:t>16.77</w:t>
            </w:r>
          </w:p>
        </w:tc>
      </w:tr>
      <w:tr w:rsidR="002D6E6F" w:rsidRPr="00717C35" w14:paraId="3BF3EAC0" w14:textId="77777777" w:rsidTr="00E60943">
        <w:trPr>
          <w:cantSplit/>
          <w:jc w:val="center"/>
        </w:trPr>
        <w:tc>
          <w:tcPr>
            <w:tcW w:w="3473" w:type="dxa"/>
            <w:noWrap/>
            <w:hideMark/>
          </w:tcPr>
          <w:p w14:paraId="3F2D6299" w14:textId="77777777" w:rsidR="002D6E6F" w:rsidRPr="00717C35" w:rsidRDefault="002D6E6F" w:rsidP="00921F13">
            <w:pPr>
              <w:pStyle w:val="TableTextS5"/>
            </w:pPr>
            <w:r w:rsidRPr="00717C35">
              <w:t>2</w:t>
            </w:r>
          </w:p>
        </w:tc>
        <w:tc>
          <w:tcPr>
            <w:tcW w:w="2274" w:type="dxa"/>
            <w:noWrap/>
            <w:hideMark/>
          </w:tcPr>
          <w:p w14:paraId="4B2C5FFF" w14:textId="77777777" w:rsidR="002D6E6F" w:rsidRPr="00717C35" w:rsidRDefault="002D6E6F" w:rsidP="00921F13">
            <w:pPr>
              <w:pStyle w:val="TableTextS5"/>
            </w:pPr>
            <w:r w:rsidRPr="00717C35">
              <w:t>34</w:t>
            </w:r>
          </w:p>
        </w:tc>
        <w:tc>
          <w:tcPr>
            <w:tcW w:w="1887" w:type="dxa"/>
            <w:noWrap/>
          </w:tcPr>
          <w:p w14:paraId="006BA05E" w14:textId="77777777" w:rsidR="002D6E6F" w:rsidRPr="00717C35" w:rsidRDefault="002D6E6F" w:rsidP="00921F13">
            <w:pPr>
              <w:pStyle w:val="TableTextS5"/>
            </w:pPr>
            <w:r w:rsidRPr="00717C35">
              <w:t>5.04</w:t>
            </w:r>
          </w:p>
        </w:tc>
      </w:tr>
      <w:tr w:rsidR="002D6E6F" w:rsidRPr="00717C35" w14:paraId="04F75222" w14:textId="77777777" w:rsidTr="00E60943">
        <w:trPr>
          <w:cantSplit/>
          <w:jc w:val="center"/>
        </w:trPr>
        <w:tc>
          <w:tcPr>
            <w:tcW w:w="3473" w:type="dxa"/>
            <w:noWrap/>
            <w:hideMark/>
          </w:tcPr>
          <w:p w14:paraId="17818EDC" w14:textId="77777777" w:rsidR="002D6E6F" w:rsidRPr="00717C35" w:rsidRDefault="002D6E6F" w:rsidP="00921F13">
            <w:pPr>
              <w:pStyle w:val="TableTextS5"/>
            </w:pPr>
            <w:r w:rsidRPr="00717C35">
              <w:t>3</w:t>
            </w:r>
          </w:p>
        </w:tc>
        <w:tc>
          <w:tcPr>
            <w:tcW w:w="2274" w:type="dxa"/>
            <w:noWrap/>
            <w:hideMark/>
          </w:tcPr>
          <w:p w14:paraId="60525B52" w14:textId="77777777" w:rsidR="002D6E6F" w:rsidRPr="00717C35" w:rsidRDefault="002D6E6F" w:rsidP="00921F13">
            <w:pPr>
              <w:pStyle w:val="TableTextS5"/>
            </w:pPr>
            <w:r w:rsidRPr="00717C35">
              <w:t>25</w:t>
            </w:r>
          </w:p>
        </w:tc>
        <w:tc>
          <w:tcPr>
            <w:tcW w:w="1887" w:type="dxa"/>
            <w:noWrap/>
          </w:tcPr>
          <w:p w14:paraId="52864AFB" w14:textId="77777777" w:rsidR="002D6E6F" w:rsidRPr="00717C35" w:rsidRDefault="002D6E6F" w:rsidP="00921F13">
            <w:pPr>
              <w:pStyle w:val="TableTextS5"/>
            </w:pPr>
            <w:r w:rsidRPr="00717C35">
              <w:t>3.71</w:t>
            </w:r>
          </w:p>
        </w:tc>
      </w:tr>
      <w:tr w:rsidR="002D6E6F" w:rsidRPr="00717C35" w14:paraId="050800A7" w14:textId="77777777" w:rsidTr="00E60943">
        <w:trPr>
          <w:cantSplit/>
          <w:jc w:val="center"/>
        </w:trPr>
        <w:tc>
          <w:tcPr>
            <w:tcW w:w="3473" w:type="dxa"/>
            <w:noWrap/>
            <w:hideMark/>
          </w:tcPr>
          <w:p w14:paraId="1F1698C0" w14:textId="77777777" w:rsidR="002D6E6F" w:rsidRPr="00717C35" w:rsidRDefault="002D6E6F" w:rsidP="00921F13">
            <w:pPr>
              <w:pStyle w:val="TableTextS5"/>
            </w:pPr>
            <w:r w:rsidRPr="00717C35">
              <w:t>4</w:t>
            </w:r>
          </w:p>
        </w:tc>
        <w:tc>
          <w:tcPr>
            <w:tcW w:w="2274" w:type="dxa"/>
            <w:noWrap/>
            <w:hideMark/>
          </w:tcPr>
          <w:p w14:paraId="40EED2A5" w14:textId="77777777" w:rsidR="002D6E6F" w:rsidRPr="00717C35" w:rsidRDefault="002D6E6F" w:rsidP="00921F13">
            <w:pPr>
              <w:pStyle w:val="TableTextS5"/>
            </w:pPr>
            <w:r w:rsidRPr="00717C35">
              <w:t>7</w:t>
            </w:r>
          </w:p>
        </w:tc>
        <w:tc>
          <w:tcPr>
            <w:tcW w:w="1887" w:type="dxa"/>
            <w:noWrap/>
          </w:tcPr>
          <w:p w14:paraId="2513D611" w14:textId="77777777" w:rsidR="002D6E6F" w:rsidRPr="00717C35" w:rsidRDefault="002D6E6F" w:rsidP="00921F13">
            <w:pPr>
              <w:pStyle w:val="TableTextS5"/>
            </w:pPr>
            <w:r w:rsidRPr="00717C35">
              <w:t>1.04</w:t>
            </w:r>
          </w:p>
        </w:tc>
      </w:tr>
      <w:tr w:rsidR="002D6E6F" w:rsidRPr="00717C35" w14:paraId="2C6A3BCD" w14:textId="77777777" w:rsidTr="00E60943">
        <w:trPr>
          <w:cantSplit/>
          <w:jc w:val="center"/>
        </w:trPr>
        <w:tc>
          <w:tcPr>
            <w:tcW w:w="3473" w:type="dxa"/>
            <w:noWrap/>
            <w:hideMark/>
          </w:tcPr>
          <w:p w14:paraId="1F0DBC2B" w14:textId="77777777" w:rsidR="002D6E6F" w:rsidRPr="00717C35" w:rsidRDefault="002D6E6F" w:rsidP="00921F13">
            <w:pPr>
              <w:pStyle w:val="TableTextS5"/>
            </w:pPr>
            <w:r w:rsidRPr="00717C35">
              <w:t>5</w:t>
            </w:r>
          </w:p>
        </w:tc>
        <w:tc>
          <w:tcPr>
            <w:tcW w:w="2274" w:type="dxa"/>
            <w:noWrap/>
            <w:hideMark/>
          </w:tcPr>
          <w:p w14:paraId="6CF88B9E" w14:textId="77777777" w:rsidR="002D6E6F" w:rsidRPr="00717C35" w:rsidRDefault="002D6E6F" w:rsidP="00921F13">
            <w:pPr>
              <w:pStyle w:val="TableTextS5"/>
            </w:pPr>
            <w:r w:rsidRPr="00717C35">
              <w:t>3</w:t>
            </w:r>
          </w:p>
        </w:tc>
        <w:tc>
          <w:tcPr>
            <w:tcW w:w="1887" w:type="dxa"/>
            <w:noWrap/>
          </w:tcPr>
          <w:p w14:paraId="16112FFA" w14:textId="77777777" w:rsidR="002D6E6F" w:rsidRPr="00717C35" w:rsidRDefault="002D6E6F" w:rsidP="00921F13">
            <w:pPr>
              <w:pStyle w:val="TableTextS5"/>
            </w:pPr>
            <w:r w:rsidRPr="00717C35">
              <w:t>0.45</w:t>
            </w:r>
          </w:p>
        </w:tc>
      </w:tr>
      <w:tr w:rsidR="002D6E6F" w:rsidRPr="00717C35" w14:paraId="0CA9315F" w14:textId="77777777" w:rsidTr="00E60943">
        <w:trPr>
          <w:cantSplit/>
          <w:jc w:val="center"/>
        </w:trPr>
        <w:tc>
          <w:tcPr>
            <w:tcW w:w="3473" w:type="dxa"/>
            <w:noWrap/>
            <w:hideMark/>
          </w:tcPr>
          <w:p w14:paraId="0284E0DF" w14:textId="77777777" w:rsidR="002D6E6F" w:rsidRPr="00717C35" w:rsidRDefault="002D6E6F" w:rsidP="00921F13">
            <w:pPr>
              <w:pStyle w:val="TableTextS5"/>
            </w:pPr>
            <w:r w:rsidRPr="00717C35">
              <w:t>6</w:t>
            </w:r>
          </w:p>
        </w:tc>
        <w:tc>
          <w:tcPr>
            <w:tcW w:w="2274" w:type="dxa"/>
            <w:noWrap/>
            <w:hideMark/>
          </w:tcPr>
          <w:p w14:paraId="3EB383BC" w14:textId="77777777" w:rsidR="002D6E6F" w:rsidRPr="00717C35" w:rsidRDefault="002D6E6F" w:rsidP="00921F13">
            <w:pPr>
              <w:pStyle w:val="TableTextS5"/>
            </w:pPr>
            <w:r w:rsidRPr="00717C35">
              <w:t>5</w:t>
            </w:r>
          </w:p>
        </w:tc>
        <w:tc>
          <w:tcPr>
            <w:tcW w:w="1887" w:type="dxa"/>
            <w:noWrap/>
          </w:tcPr>
          <w:p w14:paraId="07D18A09" w14:textId="77777777" w:rsidR="002D6E6F" w:rsidRPr="00717C35" w:rsidRDefault="002D6E6F" w:rsidP="00921F13">
            <w:pPr>
              <w:pStyle w:val="TableTextS5"/>
            </w:pPr>
            <w:r w:rsidRPr="00717C35">
              <w:t>0.74</w:t>
            </w:r>
          </w:p>
        </w:tc>
      </w:tr>
      <w:tr w:rsidR="002D6E6F" w:rsidRPr="00717C35" w14:paraId="0F9FC38D" w14:textId="77777777" w:rsidTr="00E60943">
        <w:trPr>
          <w:cantSplit/>
          <w:jc w:val="center"/>
        </w:trPr>
        <w:tc>
          <w:tcPr>
            <w:tcW w:w="3473" w:type="dxa"/>
            <w:noWrap/>
            <w:hideMark/>
          </w:tcPr>
          <w:p w14:paraId="51D7C288" w14:textId="77777777" w:rsidR="002D6E6F" w:rsidRPr="00717C35" w:rsidRDefault="002D6E6F" w:rsidP="00921F13">
            <w:pPr>
              <w:pStyle w:val="TableTextS5"/>
            </w:pPr>
            <w:r w:rsidRPr="00717C35">
              <w:t>7</w:t>
            </w:r>
          </w:p>
        </w:tc>
        <w:tc>
          <w:tcPr>
            <w:tcW w:w="2274" w:type="dxa"/>
            <w:noWrap/>
            <w:hideMark/>
          </w:tcPr>
          <w:p w14:paraId="5D4EBE03" w14:textId="77777777" w:rsidR="002D6E6F" w:rsidRPr="00717C35" w:rsidRDefault="002D6E6F" w:rsidP="00921F13">
            <w:pPr>
              <w:pStyle w:val="TableTextS5"/>
            </w:pPr>
            <w:r w:rsidRPr="00717C35">
              <w:t>3</w:t>
            </w:r>
          </w:p>
        </w:tc>
        <w:tc>
          <w:tcPr>
            <w:tcW w:w="1887" w:type="dxa"/>
            <w:noWrap/>
          </w:tcPr>
          <w:p w14:paraId="30DC546E" w14:textId="77777777" w:rsidR="002D6E6F" w:rsidRPr="00717C35" w:rsidRDefault="002D6E6F" w:rsidP="00921F13">
            <w:pPr>
              <w:pStyle w:val="TableTextS5"/>
            </w:pPr>
            <w:r w:rsidRPr="00717C35">
              <w:t>0.45</w:t>
            </w:r>
          </w:p>
        </w:tc>
      </w:tr>
      <w:tr w:rsidR="002D6E6F" w:rsidRPr="00717C35" w14:paraId="59FCBD78" w14:textId="77777777" w:rsidTr="00E60943">
        <w:trPr>
          <w:cantSplit/>
          <w:jc w:val="center"/>
        </w:trPr>
        <w:tc>
          <w:tcPr>
            <w:tcW w:w="3473" w:type="dxa"/>
            <w:noWrap/>
            <w:hideMark/>
          </w:tcPr>
          <w:p w14:paraId="7F1DA58D" w14:textId="77777777" w:rsidR="002D6E6F" w:rsidRPr="00717C35" w:rsidRDefault="002D6E6F" w:rsidP="00921F13">
            <w:pPr>
              <w:pStyle w:val="TableTextS5"/>
            </w:pPr>
            <w:r w:rsidRPr="00717C35">
              <w:t>8</w:t>
            </w:r>
          </w:p>
        </w:tc>
        <w:tc>
          <w:tcPr>
            <w:tcW w:w="2274" w:type="dxa"/>
            <w:noWrap/>
            <w:hideMark/>
          </w:tcPr>
          <w:p w14:paraId="2F650E4E" w14:textId="77777777" w:rsidR="002D6E6F" w:rsidRPr="00717C35" w:rsidRDefault="002D6E6F" w:rsidP="00921F13">
            <w:pPr>
              <w:pStyle w:val="TableTextS5"/>
            </w:pPr>
            <w:r w:rsidRPr="00717C35">
              <w:t>1</w:t>
            </w:r>
          </w:p>
        </w:tc>
        <w:tc>
          <w:tcPr>
            <w:tcW w:w="1887" w:type="dxa"/>
            <w:noWrap/>
          </w:tcPr>
          <w:p w14:paraId="52E29862" w14:textId="77777777" w:rsidR="002D6E6F" w:rsidRPr="00717C35" w:rsidRDefault="002D6E6F" w:rsidP="00921F13">
            <w:pPr>
              <w:pStyle w:val="TableTextS5"/>
            </w:pPr>
            <w:r w:rsidRPr="00717C35">
              <w:t>0.15</w:t>
            </w:r>
          </w:p>
        </w:tc>
      </w:tr>
      <w:tr w:rsidR="002D6E6F" w:rsidRPr="00717C35" w14:paraId="68D61C65" w14:textId="77777777" w:rsidTr="00E60943">
        <w:trPr>
          <w:cantSplit/>
          <w:jc w:val="center"/>
        </w:trPr>
        <w:tc>
          <w:tcPr>
            <w:tcW w:w="3473" w:type="dxa"/>
            <w:noWrap/>
            <w:hideMark/>
          </w:tcPr>
          <w:p w14:paraId="4FFD8494" w14:textId="77777777" w:rsidR="002D6E6F" w:rsidRPr="00717C35" w:rsidRDefault="002D6E6F" w:rsidP="00921F13">
            <w:pPr>
              <w:pStyle w:val="TableTextS5"/>
            </w:pPr>
            <w:r w:rsidRPr="00717C35">
              <w:t>9</w:t>
            </w:r>
          </w:p>
        </w:tc>
        <w:tc>
          <w:tcPr>
            <w:tcW w:w="2274" w:type="dxa"/>
            <w:noWrap/>
            <w:hideMark/>
          </w:tcPr>
          <w:p w14:paraId="4BD3EF64" w14:textId="77777777" w:rsidR="002D6E6F" w:rsidRPr="00717C35" w:rsidRDefault="002D6E6F" w:rsidP="00921F13">
            <w:pPr>
              <w:pStyle w:val="TableTextS5"/>
            </w:pPr>
            <w:r w:rsidRPr="00717C35">
              <w:t>1</w:t>
            </w:r>
          </w:p>
        </w:tc>
        <w:tc>
          <w:tcPr>
            <w:tcW w:w="1887" w:type="dxa"/>
            <w:noWrap/>
          </w:tcPr>
          <w:p w14:paraId="1C93B010" w14:textId="77777777" w:rsidR="002D6E6F" w:rsidRPr="00717C35" w:rsidRDefault="002D6E6F" w:rsidP="00921F13">
            <w:pPr>
              <w:pStyle w:val="TableTextS5"/>
            </w:pPr>
            <w:r w:rsidRPr="00717C35">
              <w:t>0.15</w:t>
            </w:r>
          </w:p>
        </w:tc>
      </w:tr>
      <w:tr w:rsidR="002D6E6F" w:rsidRPr="00717C35" w14:paraId="2D453135" w14:textId="77777777" w:rsidTr="00E60943">
        <w:trPr>
          <w:cantSplit/>
          <w:jc w:val="center"/>
        </w:trPr>
        <w:tc>
          <w:tcPr>
            <w:tcW w:w="3473" w:type="dxa"/>
            <w:noWrap/>
          </w:tcPr>
          <w:p w14:paraId="790C2C93" w14:textId="77777777" w:rsidR="002D6E6F" w:rsidRPr="00717C35" w:rsidRDefault="002D6E6F" w:rsidP="00921F13">
            <w:pPr>
              <w:pStyle w:val="TableTextS5"/>
            </w:pPr>
            <w:r w:rsidRPr="00717C35">
              <w:t>10</w:t>
            </w:r>
          </w:p>
        </w:tc>
        <w:tc>
          <w:tcPr>
            <w:tcW w:w="2274" w:type="dxa"/>
            <w:noWrap/>
          </w:tcPr>
          <w:p w14:paraId="6316F418" w14:textId="77777777" w:rsidR="002D6E6F" w:rsidRPr="00717C35" w:rsidRDefault="002D6E6F" w:rsidP="00921F13">
            <w:pPr>
              <w:pStyle w:val="TableTextS5"/>
            </w:pPr>
            <w:r w:rsidRPr="00717C35">
              <w:t>1</w:t>
            </w:r>
          </w:p>
        </w:tc>
        <w:tc>
          <w:tcPr>
            <w:tcW w:w="1887" w:type="dxa"/>
            <w:noWrap/>
          </w:tcPr>
          <w:p w14:paraId="029F1DC1" w14:textId="77777777" w:rsidR="002D6E6F" w:rsidRPr="00717C35" w:rsidRDefault="002D6E6F" w:rsidP="00921F13">
            <w:pPr>
              <w:pStyle w:val="TableTextS5"/>
            </w:pPr>
            <w:r w:rsidRPr="00717C35">
              <w:t>0.15</w:t>
            </w:r>
          </w:p>
        </w:tc>
      </w:tr>
      <w:tr w:rsidR="002D6E6F" w:rsidRPr="00717C35" w14:paraId="2830EED8" w14:textId="77777777" w:rsidTr="00E60943">
        <w:trPr>
          <w:cantSplit/>
          <w:jc w:val="center"/>
        </w:trPr>
        <w:tc>
          <w:tcPr>
            <w:tcW w:w="3473" w:type="dxa"/>
            <w:noWrap/>
          </w:tcPr>
          <w:p w14:paraId="527D8BA8" w14:textId="77777777" w:rsidR="002D6E6F" w:rsidRPr="00717C35" w:rsidRDefault="002D6E6F" w:rsidP="00921F13">
            <w:pPr>
              <w:pStyle w:val="TableTextS5"/>
            </w:pPr>
            <w:r w:rsidRPr="00717C35">
              <w:t>11</w:t>
            </w:r>
          </w:p>
        </w:tc>
        <w:tc>
          <w:tcPr>
            <w:tcW w:w="2274" w:type="dxa"/>
            <w:noWrap/>
          </w:tcPr>
          <w:p w14:paraId="35638EDD" w14:textId="77777777" w:rsidR="002D6E6F" w:rsidRPr="00717C35" w:rsidRDefault="002D6E6F" w:rsidP="00921F13">
            <w:pPr>
              <w:pStyle w:val="TableTextS5"/>
            </w:pPr>
            <w:r w:rsidRPr="00717C35">
              <w:t>1</w:t>
            </w:r>
          </w:p>
        </w:tc>
        <w:tc>
          <w:tcPr>
            <w:tcW w:w="1887" w:type="dxa"/>
            <w:noWrap/>
          </w:tcPr>
          <w:p w14:paraId="476C7E2A" w14:textId="77777777" w:rsidR="002D6E6F" w:rsidRPr="00717C35" w:rsidRDefault="002D6E6F" w:rsidP="00921F13">
            <w:pPr>
              <w:pStyle w:val="TableTextS5"/>
            </w:pPr>
            <w:r w:rsidRPr="00717C35">
              <w:t>0.15</w:t>
            </w:r>
          </w:p>
        </w:tc>
      </w:tr>
      <w:tr w:rsidR="002D6E6F" w:rsidRPr="00717C35" w14:paraId="31E83D81" w14:textId="77777777" w:rsidTr="00E60943">
        <w:trPr>
          <w:cantSplit/>
          <w:jc w:val="center"/>
        </w:trPr>
        <w:tc>
          <w:tcPr>
            <w:tcW w:w="3473" w:type="dxa"/>
            <w:noWrap/>
          </w:tcPr>
          <w:p w14:paraId="7847A949" w14:textId="77777777" w:rsidR="002D6E6F" w:rsidRPr="00717C35" w:rsidRDefault="002D6E6F" w:rsidP="00921F13">
            <w:pPr>
              <w:pStyle w:val="TableTextS5"/>
            </w:pPr>
            <w:r w:rsidRPr="00717C35">
              <w:t>12</w:t>
            </w:r>
          </w:p>
        </w:tc>
        <w:tc>
          <w:tcPr>
            <w:tcW w:w="2274" w:type="dxa"/>
            <w:noWrap/>
          </w:tcPr>
          <w:p w14:paraId="70364709" w14:textId="77777777" w:rsidR="002D6E6F" w:rsidRPr="00717C35" w:rsidRDefault="002D6E6F" w:rsidP="00921F13">
            <w:pPr>
              <w:pStyle w:val="TableTextS5"/>
            </w:pPr>
            <w:r w:rsidRPr="00717C35">
              <w:t>1</w:t>
            </w:r>
          </w:p>
        </w:tc>
        <w:tc>
          <w:tcPr>
            <w:tcW w:w="1887" w:type="dxa"/>
            <w:noWrap/>
          </w:tcPr>
          <w:p w14:paraId="6D50054D" w14:textId="77777777" w:rsidR="002D6E6F" w:rsidRPr="00717C35" w:rsidRDefault="002D6E6F" w:rsidP="00921F13">
            <w:pPr>
              <w:pStyle w:val="TableTextS5"/>
            </w:pPr>
            <w:r w:rsidRPr="00717C35">
              <w:t>0.15</w:t>
            </w:r>
          </w:p>
        </w:tc>
      </w:tr>
    </w:tbl>
    <w:p w14:paraId="3C0175F2" w14:textId="77777777" w:rsidR="00C3612B" w:rsidRPr="00717C35" w:rsidRDefault="00C3612B" w:rsidP="00C3612B">
      <w:pPr>
        <w:pStyle w:val="Tablefin"/>
      </w:pPr>
    </w:p>
    <w:p w14:paraId="633E6F5F" w14:textId="4C6B38FD" w:rsidR="002D6E6F" w:rsidRPr="00717C35" w:rsidRDefault="002D6E6F" w:rsidP="00DB6454">
      <w:pPr>
        <w:keepNext/>
      </w:pPr>
      <w:r w:rsidRPr="00717C35">
        <w:lastRenderedPageBreak/>
        <w:t>Document 4A/550 presented an analysis of the Resolution</w:t>
      </w:r>
      <w:r w:rsidR="008B62FE" w:rsidRPr="00717C35">
        <w:t> </w:t>
      </w:r>
      <w:r w:rsidRPr="00717C35">
        <w:rPr>
          <w:b/>
          <w:bCs/>
        </w:rPr>
        <w:t>40 (Rev.WRC</w:t>
      </w:r>
      <w:r w:rsidR="008B62FE" w:rsidRPr="00717C35">
        <w:rPr>
          <w:b/>
          <w:bCs/>
        </w:rPr>
        <w:noBreakHyphen/>
      </w:r>
      <w:r w:rsidRPr="00717C35">
        <w:rPr>
          <w:b/>
          <w:bCs/>
        </w:rPr>
        <w:t>19)</w:t>
      </w:r>
      <w:r w:rsidRPr="00717C35">
        <w:t xml:space="preserve"> data from the BR indicates the following: </w:t>
      </w:r>
    </w:p>
    <w:p w14:paraId="6D438512" w14:textId="390AE2C6" w:rsidR="002D6E6F" w:rsidRPr="00717C35" w:rsidRDefault="00600DB2" w:rsidP="00C3612B">
      <w:pPr>
        <w:pStyle w:val="enumlev1"/>
      </w:pPr>
      <w:r w:rsidRPr="00717C35">
        <w:t>a)</w:t>
      </w:r>
      <w:r w:rsidRPr="00717C35">
        <w:tab/>
      </w:r>
      <w:r w:rsidR="002D6E6F" w:rsidRPr="00717C35">
        <w:t>It should be noted that there is a case of a single space station being used to bring into use (BIU), or bring back into use (BBIU), frequency assignments at twelve orbital locations, As shown in the figure, one single space station has been used to BIU or BBIU frequency assignments at twelve orbital locations and has been maintained for the period from 91</w:t>
      </w:r>
      <w:r w:rsidR="008B62FE" w:rsidRPr="00717C35">
        <w:t> </w:t>
      </w:r>
      <w:r w:rsidR="002D6E6F" w:rsidRPr="00717C35">
        <w:t xml:space="preserve">days to 193 days at an orbital position before the space station moved to other orbit, and in the case of 7 out of 11, the space station has been maintained at an orbital position just before moving to </w:t>
      </w:r>
      <w:r w:rsidR="008B62FE" w:rsidRPr="00717C35">
        <w:t>an</w:t>
      </w:r>
      <w:r w:rsidR="002D6E6F" w:rsidRPr="00717C35">
        <w:t>other orbital position, for only around 90</w:t>
      </w:r>
      <w:r w:rsidR="008B62FE" w:rsidRPr="00717C35">
        <w:t> </w:t>
      </w:r>
      <w:r w:rsidR="002D6E6F" w:rsidRPr="00717C35">
        <w:t>days</w:t>
      </w:r>
      <w:r w:rsidR="008B62FE" w:rsidRPr="00717C35">
        <w:t>,</w:t>
      </w:r>
      <w:r w:rsidR="002D6E6F" w:rsidRPr="00717C35">
        <w:t xml:space="preserve"> which are minimum continuous period required under RR Nos. </w:t>
      </w:r>
      <w:r w:rsidR="002D6E6F" w:rsidRPr="00717C35">
        <w:rPr>
          <w:rStyle w:val="Appref"/>
          <w:b/>
          <w:bCs/>
        </w:rPr>
        <w:t>11.44B</w:t>
      </w:r>
      <w:r w:rsidR="002D6E6F" w:rsidRPr="00717C35">
        <w:t xml:space="preserve"> and </w:t>
      </w:r>
      <w:r w:rsidR="002D6E6F" w:rsidRPr="00717C35">
        <w:rPr>
          <w:rStyle w:val="Appref"/>
          <w:b/>
          <w:bCs/>
        </w:rPr>
        <w:t>11.49.1</w:t>
      </w:r>
      <w:r w:rsidR="002D6E6F" w:rsidRPr="00717C35">
        <w:t>.</w:t>
      </w:r>
    </w:p>
    <w:p w14:paraId="52550384" w14:textId="77777777" w:rsidR="002D6E6F" w:rsidRPr="00717C35" w:rsidRDefault="002D6E6F" w:rsidP="008B62FE">
      <w:pPr>
        <w:pStyle w:val="Figure"/>
      </w:pPr>
      <w:r w:rsidRPr="00717C35">
        <w:drawing>
          <wp:inline distT="0" distB="0" distL="0" distR="0" wp14:anchorId="6C9D3FD1" wp14:editId="67A6332E">
            <wp:extent cx="4972087" cy="3596640"/>
            <wp:effectExtent l="0" t="0" r="6350" b="0"/>
            <wp:docPr id="1" name="그림 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2" descr="A graph with numbers and lines&#10;&#10;Description automatically generated"/>
                    <pic:cNvPicPr/>
                  </pic:nvPicPr>
                  <pic:blipFill rotWithShape="1">
                    <a:blip r:embed="rId15" cstate="print">
                      <a:extLst>
                        <a:ext uri="{28A0092B-C50C-407E-A947-70E740481C1C}">
                          <a14:useLocalDpi xmlns:a14="http://schemas.microsoft.com/office/drawing/2010/main" val="0"/>
                        </a:ext>
                      </a:extLst>
                    </a:blip>
                    <a:srcRect t="3322" b="2148"/>
                    <a:stretch/>
                  </pic:blipFill>
                  <pic:spPr bwMode="auto">
                    <a:xfrm>
                      <a:off x="0" y="0"/>
                      <a:ext cx="5055486" cy="3656968"/>
                    </a:xfrm>
                    <a:prstGeom prst="rect">
                      <a:avLst/>
                    </a:prstGeom>
                    <a:ln>
                      <a:noFill/>
                    </a:ln>
                    <a:extLst>
                      <a:ext uri="{53640926-AAD7-44D8-BBD7-CCE9431645EC}">
                        <a14:shadowObscured xmlns:a14="http://schemas.microsoft.com/office/drawing/2010/main"/>
                      </a:ext>
                    </a:extLst>
                  </pic:spPr>
                </pic:pic>
              </a:graphicData>
            </a:graphic>
          </wp:inline>
        </w:drawing>
      </w:r>
    </w:p>
    <w:p w14:paraId="2274C216" w14:textId="54DAA7B4" w:rsidR="002D6E6F" w:rsidRPr="00717C35" w:rsidRDefault="00600DB2" w:rsidP="00F7737B">
      <w:pPr>
        <w:pStyle w:val="enumlev1"/>
        <w:rPr>
          <w:bCs/>
        </w:rPr>
      </w:pPr>
      <w:r w:rsidRPr="00717C35">
        <w:t>b)</w:t>
      </w:r>
      <w:r w:rsidRPr="00717C35">
        <w:tab/>
      </w:r>
      <w:r w:rsidR="002D6E6F" w:rsidRPr="00717C35">
        <w:t>As reported by the Bureau at WRC</w:t>
      </w:r>
      <w:r w:rsidR="008B62FE" w:rsidRPr="00717C35">
        <w:noBreakHyphen/>
      </w:r>
      <w:r w:rsidR="002D6E6F" w:rsidRPr="00717C35">
        <w:t>19, it should also</w:t>
      </w:r>
      <w:r w:rsidR="008B62FE" w:rsidRPr="00717C35">
        <w:t xml:space="preserve"> be</w:t>
      </w:r>
      <w:r w:rsidR="002D6E6F" w:rsidRPr="00717C35">
        <w:t xml:space="preserve"> noted that there is an example of a satellite bringing into use, or bringing back into use after suspension, frequency assignments at 8</w:t>
      </w:r>
      <w:r w:rsidR="008B62FE" w:rsidRPr="00717C35">
        <w:t> </w:t>
      </w:r>
      <w:r w:rsidR="002D6E6F" w:rsidRPr="00717C35">
        <w:t>different orbital positions within 4</w:t>
      </w:r>
      <w:r w:rsidR="008B62FE" w:rsidRPr="00717C35">
        <w:t> </w:t>
      </w:r>
      <w:r w:rsidR="002D6E6F" w:rsidRPr="00717C35">
        <w:t>years since November</w:t>
      </w:r>
      <w:r w:rsidR="008B62FE" w:rsidRPr="00717C35">
        <w:t> </w:t>
      </w:r>
      <w:r w:rsidR="002D6E6F" w:rsidRPr="00717C35">
        <w:t>2015 as shown in Figure</w:t>
      </w:r>
      <w:r w:rsidR="008B62FE" w:rsidRPr="00717C35">
        <w:t> </w:t>
      </w:r>
      <w:r w:rsidR="002D6E6F" w:rsidRPr="00717C35">
        <w:t xml:space="preserve">4/7/8.2-1. </w:t>
      </w:r>
      <w:r w:rsidR="002D6E6F" w:rsidRPr="00717C35">
        <w:rPr>
          <w:bCs/>
        </w:rPr>
        <w:t xml:space="preserve">While recognizing that there must be a certain legitimate reason to </w:t>
      </w:r>
      <w:r w:rsidR="002D6E6F" w:rsidRPr="00717C35">
        <w:t xml:space="preserve">need to move a spacecraft from one orbital position to a new orbital position, this situation shows that </w:t>
      </w:r>
      <w:r w:rsidR="002D6E6F" w:rsidRPr="00717C35">
        <w:rPr>
          <w:bCs/>
        </w:rPr>
        <w:t>the provisions of the Radio Regulations including Nos.</w:t>
      </w:r>
      <w:r w:rsidR="008B62FE" w:rsidRPr="00717C35">
        <w:rPr>
          <w:bCs/>
        </w:rPr>
        <w:t> </w:t>
      </w:r>
      <w:r w:rsidR="002D6E6F" w:rsidRPr="00717C35">
        <w:rPr>
          <w:rStyle w:val="Appref"/>
          <w:b/>
          <w:bCs/>
        </w:rPr>
        <w:t>11.44B</w:t>
      </w:r>
      <w:r w:rsidR="002D6E6F" w:rsidRPr="00717C35">
        <w:rPr>
          <w:bCs/>
        </w:rPr>
        <w:t xml:space="preserve"> and</w:t>
      </w:r>
      <w:r w:rsidR="008B62FE" w:rsidRPr="00717C35">
        <w:rPr>
          <w:bCs/>
        </w:rPr>
        <w:t> </w:t>
      </w:r>
      <w:r w:rsidR="002D6E6F" w:rsidRPr="00717C35">
        <w:rPr>
          <w:rStyle w:val="Appref"/>
          <w:b/>
          <w:bCs/>
        </w:rPr>
        <w:t>11.49</w:t>
      </w:r>
      <w:r w:rsidR="002D6E6F" w:rsidRPr="00717C35">
        <w:rPr>
          <w:bCs/>
        </w:rPr>
        <w:t xml:space="preserve"> and Resolution </w:t>
      </w:r>
      <w:r w:rsidR="002D6E6F" w:rsidRPr="00717C35">
        <w:rPr>
          <w:b/>
          <w:bCs/>
        </w:rPr>
        <w:t>40</w:t>
      </w:r>
      <w:r w:rsidR="008B62FE" w:rsidRPr="00717C35">
        <w:rPr>
          <w:b/>
          <w:bCs/>
        </w:rPr>
        <w:t> </w:t>
      </w:r>
      <w:r w:rsidR="002D6E6F" w:rsidRPr="00717C35">
        <w:rPr>
          <w:b/>
        </w:rPr>
        <w:t>(Rev.WRC</w:t>
      </w:r>
      <w:r w:rsidR="008B62FE" w:rsidRPr="00717C35">
        <w:rPr>
          <w:b/>
        </w:rPr>
        <w:noBreakHyphen/>
      </w:r>
      <w:r w:rsidR="002D6E6F" w:rsidRPr="00717C35">
        <w:rPr>
          <w:b/>
        </w:rPr>
        <w:t xml:space="preserve">19) </w:t>
      </w:r>
      <w:r w:rsidR="002D6E6F" w:rsidRPr="00717C35">
        <w:rPr>
          <w:bCs/>
        </w:rPr>
        <w:t>were excessively used to reserve satellite orbit and spectrum resources and concerns have been raised about the situation based on No.</w:t>
      </w:r>
      <w:r w:rsidR="008B62FE" w:rsidRPr="00717C35">
        <w:rPr>
          <w:bCs/>
        </w:rPr>
        <w:t> </w:t>
      </w:r>
      <w:r w:rsidR="002D6E6F" w:rsidRPr="00717C35">
        <w:t>196</w:t>
      </w:r>
      <w:r w:rsidR="002D6E6F" w:rsidRPr="00717C35">
        <w:rPr>
          <w:b/>
          <w:bCs/>
        </w:rPr>
        <w:t xml:space="preserve"> </w:t>
      </w:r>
      <w:r w:rsidR="002D6E6F" w:rsidRPr="00717C35">
        <w:rPr>
          <w:bCs/>
        </w:rPr>
        <w:t xml:space="preserve">of the Constitution. </w:t>
      </w:r>
    </w:p>
    <w:p w14:paraId="74468561" w14:textId="77777777" w:rsidR="002D6E6F" w:rsidRPr="00717C35" w:rsidRDefault="002D6E6F" w:rsidP="00F7737B">
      <w:pPr>
        <w:pStyle w:val="FigureNo"/>
      </w:pPr>
      <w:r w:rsidRPr="00717C35">
        <w:lastRenderedPageBreak/>
        <w:t>Figure 4/7/8.2-1</w:t>
      </w:r>
    </w:p>
    <w:p w14:paraId="5077CDB4" w14:textId="77777777" w:rsidR="002D6E6F" w:rsidRPr="00717C35" w:rsidRDefault="002D6E6F" w:rsidP="00600DB2">
      <w:pPr>
        <w:pStyle w:val="Figuretitle"/>
        <w:rPr>
          <w:bCs/>
        </w:rPr>
      </w:pPr>
      <w:r w:rsidRPr="00717C35">
        <w:rPr>
          <w:bCs/>
        </w:rPr>
        <w:t xml:space="preserve">Approximate situation showing a satellite </w:t>
      </w:r>
      <w:r w:rsidRPr="00717C35">
        <w:t>bringing into use, or bringing back into use after suspension, frequency assignments at 8 different orbital positions</w:t>
      </w:r>
    </w:p>
    <w:p w14:paraId="1F1B48C9" w14:textId="77777777" w:rsidR="002D6E6F" w:rsidRPr="00717C35" w:rsidRDefault="002D6E6F" w:rsidP="008B62FE">
      <w:pPr>
        <w:pStyle w:val="Figure"/>
      </w:pPr>
      <w:r w:rsidRPr="00717C35">
        <w:drawing>
          <wp:inline distT="0" distB="0" distL="0" distR="0" wp14:anchorId="6E064818" wp14:editId="0208BF80">
            <wp:extent cx="5376545" cy="2947978"/>
            <wp:effectExtent l="0" t="0" r="0" b="0"/>
            <wp:docPr id="2" name="그림 4" descr="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p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9759" cy="2982639"/>
                    </a:xfrm>
                    <a:prstGeom prst="rect">
                      <a:avLst/>
                    </a:prstGeom>
                    <a:noFill/>
                    <a:ln>
                      <a:noFill/>
                    </a:ln>
                  </pic:spPr>
                </pic:pic>
              </a:graphicData>
            </a:graphic>
          </wp:inline>
        </w:drawing>
      </w:r>
    </w:p>
    <w:p w14:paraId="74C40B0D" w14:textId="6BC06334" w:rsidR="002D6E6F" w:rsidRPr="00717C35" w:rsidRDefault="002D6E6F" w:rsidP="00C537D7">
      <w:pPr>
        <w:pStyle w:val="Heading1"/>
      </w:pPr>
      <w:r w:rsidRPr="00717C35">
        <w:t>3</w:t>
      </w:r>
      <w:r w:rsidRPr="00717C35">
        <w:tab/>
        <w:t>Proposal</w:t>
      </w:r>
    </w:p>
    <w:p w14:paraId="1FE8EF3B" w14:textId="153A7A11" w:rsidR="002D6E6F" w:rsidRPr="00717C35" w:rsidRDefault="002D6E6F" w:rsidP="00600DB2">
      <w:r w:rsidRPr="00717C35">
        <w:t xml:space="preserve">The African administrations would like to emphasise that this approach turned satellite operators that had in-orbit satellites available for leasing only. Even if the cases occur at a </w:t>
      </w:r>
      <w:r w:rsidR="008B62FE" w:rsidRPr="00717C35">
        <w:t>low</w:t>
      </w:r>
      <w:r w:rsidRPr="00717C35">
        <w:t xml:space="preserve"> rate, the use of satellite network resources by other administrations could be restricted. Therefore, it would be </w:t>
      </w:r>
      <w:r w:rsidR="008B62FE" w:rsidRPr="00717C35">
        <w:t>necessary</w:t>
      </w:r>
      <w:r w:rsidRPr="00717C35">
        <w:t xml:space="preserve"> to develop appropriate regulatory measures to prevent further cases of excessive use of the relevant regulatory provisions in the future and to ensure the rational, efficient and economical use of and equitable access to radio frequencies and the geostationary-satellite orbit;</w:t>
      </w:r>
    </w:p>
    <w:p w14:paraId="462E6780" w14:textId="70EDA934" w:rsidR="002D6E6F" w:rsidRPr="00717C35" w:rsidRDefault="002D6E6F" w:rsidP="00600DB2">
      <w:r w:rsidRPr="00717C35">
        <w:t>ATU support</w:t>
      </w:r>
      <w:r w:rsidR="008B62FE" w:rsidRPr="00717C35">
        <w:t>s</w:t>
      </w:r>
      <w:r w:rsidRPr="00717C35">
        <w:t xml:space="preserve"> RRB proposal to further limit spectrum reservation practices</w:t>
      </w:r>
      <w:r w:rsidR="008B62FE" w:rsidRPr="00717C35">
        <w:t>;</w:t>
      </w:r>
      <w:r w:rsidRPr="00717C35">
        <w:t xml:space="preserve"> WRC</w:t>
      </w:r>
      <w:r w:rsidR="008B62FE" w:rsidRPr="00717C35">
        <w:noBreakHyphen/>
      </w:r>
      <w:r w:rsidRPr="00717C35">
        <w:t>23 is invited to request the ITU</w:t>
      </w:r>
      <w:r w:rsidR="008B62FE" w:rsidRPr="00717C35">
        <w:noBreakHyphen/>
      </w:r>
      <w:r w:rsidRPr="00717C35">
        <w:t>R to study possible measures to restrain the use of the same satellite or different satellites to repeatedly bring into use and bring back into use the same frequency assignments of a satellite network or system for a short period of time only for consideration at a future competent WRC.</w:t>
      </w:r>
    </w:p>
    <w:p w14:paraId="7D4574C2" w14:textId="7F84BC86" w:rsidR="002D6E6F" w:rsidRPr="00717C35" w:rsidRDefault="002D6E6F" w:rsidP="00600DB2">
      <w:r w:rsidRPr="00717C35">
        <w:t>ATU are in the view that modifications to RR</w:t>
      </w:r>
      <w:r w:rsidR="008B62FE" w:rsidRPr="00717C35">
        <w:t> </w:t>
      </w:r>
      <w:r w:rsidRPr="00717C35">
        <w:t>Article</w:t>
      </w:r>
      <w:r w:rsidR="008B62FE" w:rsidRPr="00717C35">
        <w:t> </w:t>
      </w:r>
      <w:r w:rsidRPr="00717C35">
        <w:rPr>
          <w:b/>
        </w:rPr>
        <w:t>11</w:t>
      </w:r>
      <w:r w:rsidRPr="00717C35">
        <w:t xml:space="preserve"> could be </w:t>
      </w:r>
      <w:r w:rsidR="008B62FE" w:rsidRPr="00717C35">
        <w:t>enacted</w:t>
      </w:r>
      <w:r w:rsidRPr="00717C35">
        <w:t xml:space="preserve"> to apply continuous period requirement differently according to the number of times a space station has previously been used to bring into use (BIU) or bring back into use (BBIU) frequency assignments</w:t>
      </w:r>
      <w:r w:rsidR="008B62FE" w:rsidRPr="00717C35">
        <w:t>;</w:t>
      </w:r>
      <w:r w:rsidRPr="00717C35">
        <w:t xml:space="preserve"> this requirement could be strict</w:t>
      </w:r>
      <w:r w:rsidR="008B62FE" w:rsidRPr="00717C35">
        <w:t>er</w:t>
      </w:r>
      <w:r w:rsidRPr="00717C35">
        <w:t xml:space="preserve"> in case</w:t>
      </w:r>
      <w:r w:rsidR="008B62FE" w:rsidRPr="00717C35">
        <w:t>s</w:t>
      </w:r>
      <w:r w:rsidRPr="00717C35">
        <w:t xml:space="preserve"> where a space station has been used alternatively only in two orbital positions separated less than 1</w:t>
      </w:r>
      <w:r w:rsidR="008B62FE" w:rsidRPr="00717C35">
        <w:t> </w:t>
      </w:r>
      <w:r w:rsidRPr="00717C35">
        <w:t>degree.</w:t>
      </w:r>
    </w:p>
    <w:p w14:paraId="570E214D" w14:textId="77777777" w:rsidR="005D1C73" w:rsidRPr="00717C35" w:rsidRDefault="005D1C73" w:rsidP="00600DB2">
      <w:pPr>
        <w:pStyle w:val="Headingb"/>
        <w:rPr>
          <w:lang w:val="en-GB"/>
        </w:rPr>
      </w:pPr>
      <w:r w:rsidRPr="00717C35">
        <w:rPr>
          <w:lang w:val="en-GB"/>
        </w:rPr>
        <w:t>Introduction</w:t>
      </w:r>
    </w:p>
    <w:p w14:paraId="54206229" w14:textId="26C34EA8" w:rsidR="005D1C73" w:rsidRPr="00717C35" w:rsidRDefault="005D1C73" w:rsidP="00600DB2">
      <w:r w:rsidRPr="00717C35">
        <w:t>In accordance with Resolution</w:t>
      </w:r>
      <w:r w:rsidR="008B62FE" w:rsidRPr="00717C35">
        <w:t> </w:t>
      </w:r>
      <w:r w:rsidRPr="00717C35">
        <w:rPr>
          <w:b/>
          <w:bCs/>
        </w:rPr>
        <w:t>559 (WRC</w:t>
      </w:r>
      <w:r w:rsidR="008B62FE" w:rsidRPr="00717C35">
        <w:rPr>
          <w:b/>
          <w:bCs/>
        </w:rPr>
        <w:noBreakHyphen/>
      </w:r>
      <w:r w:rsidRPr="00717C35">
        <w:rPr>
          <w:b/>
          <w:bCs/>
        </w:rPr>
        <w:t>19)</w:t>
      </w:r>
      <w:r w:rsidRPr="00717C35">
        <w:t xml:space="preserve"> and the associated instructions to the Bureau (BR) from WRC</w:t>
      </w:r>
      <w:r w:rsidR="008B62FE" w:rsidRPr="00717C35">
        <w:noBreakHyphen/>
      </w:r>
      <w:r w:rsidRPr="00717C35">
        <w:t>19, the Bureau has identified 55</w:t>
      </w:r>
      <w:r w:rsidR="0009256F" w:rsidRPr="00717C35">
        <w:t> </w:t>
      </w:r>
      <w:r w:rsidRPr="00717C35">
        <w:t>Administrations eligible to apply the Special Procedure described in the said Resolution. These 55</w:t>
      </w:r>
      <w:r w:rsidR="0009256F" w:rsidRPr="00717C35">
        <w:t> </w:t>
      </w:r>
      <w:r w:rsidRPr="00717C35">
        <w:t>Administrations have been listed in Circular Letter</w:t>
      </w:r>
      <w:r w:rsidR="0009256F" w:rsidRPr="00717C35">
        <w:t> </w:t>
      </w:r>
      <w:r w:rsidRPr="00717C35">
        <w:t>CR/455 of 21</w:t>
      </w:r>
      <w:r w:rsidR="0009256F" w:rsidRPr="00717C35">
        <w:t> </w:t>
      </w:r>
      <w:r w:rsidRPr="00717C35">
        <w:t>February</w:t>
      </w:r>
      <w:r w:rsidR="0009256F" w:rsidRPr="00717C35">
        <w:t> </w:t>
      </w:r>
      <w:r w:rsidRPr="00717C35">
        <w:t>2020 on the implementation of Resolution</w:t>
      </w:r>
      <w:r w:rsidR="0009256F" w:rsidRPr="00717C35">
        <w:t> </w:t>
      </w:r>
      <w:r w:rsidRPr="00717C35">
        <w:rPr>
          <w:b/>
          <w:bCs/>
        </w:rPr>
        <w:t>559 (WRC</w:t>
      </w:r>
      <w:r w:rsidR="0009256F" w:rsidRPr="00717C35">
        <w:rPr>
          <w:b/>
          <w:bCs/>
        </w:rPr>
        <w:noBreakHyphen/>
      </w:r>
      <w:r w:rsidRPr="00717C35">
        <w:rPr>
          <w:b/>
          <w:bCs/>
        </w:rPr>
        <w:t>19)</w:t>
      </w:r>
      <w:r w:rsidRPr="00717C35">
        <w:t>.</w:t>
      </w:r>
    </w:p>
    <w:p w14:paraId="79629AE7" w14:textId="2D975C54" w:rsidR="005D1C73" w:rsidRPr="00717C35" w:rsidRDefault="005D1C73" w:rsidP="00600DB2">
      <w:r w:rsidRPr="00717C35">
        <w:lastRenderedPageBreak/>
        <w:t>45</w:t>
      </w:r>
      <w:r w:rsidR="0009256F" w:rsidRPr="00717C35">
        <w:t> </w:t>
      </w:r>
      <w:r w:rsidRPr="00717C35">
        <w:t>Administrations out of the 55</w:t>
      </w:r>
      <w:r w:rsidR="0009256F" w:rsidRPr="00717C35">
        <w:t> </w:t>
      </w:r>
      <w:r w:rsidRPr="00717C35">
        <w:t>eligible Administrations applied the above-mentioned Special Procedure by sending a request together with a submission</w:t>
      </w:r>
      <w:r w:rsidRPr="00717C35">
        <w:rPr>
          <w:rStyle w:val="FootnoteReference"/>
        </w:rPr>
        <w:footnoteReference w:id="1"/>
      </w:r>
      <w:r w:rsidRPr="00717C35">
        <w:t>, consisting of one notice for downlink and another notice for feeder-link.</w:t>
      </w:r>
    </w:p>
    <w:p w14:paraId="56DD9238" w14:textId="08597A2B" w:rsidR="005D1C73" w:rsidRPr="00717C35" w:rsidRDefault="005D1C73" w:rsidP="00600DB2">
      <w:r w:rsidRPr="00717C35">
        <w:t>90</w:t>
      </w:r>
      <w:r w:rsidR="0009256F" w:rsidRPr="00717C35">
        <w:t> </w:t>
      </w:r>
      <w:r w:rsidRPr="00717C35">
        <w:t>Part</w:t>
      </w:r>
      <w:r w:rsidR="0009256F" w:rsidRPr="00717C35">
        <w:t> </w:t>
      </w:r>
      <w:r w:rsidRPr="00717C35">
        <w:t>A Special Sections corresponding to the 45</w:t>
      </w:r>
      <w:r w:rsidR="0009256F" w:rsidRPr="00717C35">
        <w:t> </w:t>
      </w:r>
      <w:r w:rsidRPr="00717C35">
        <w:t>Res</w:t>
      </w:r>
      <w:r w:rsidR="0009256F" w:rsidRPr="00717C35">
        <w:t>olution </w:t>
      </w:r>
      <w:r w:rsidRPr="00717C35">
        <w:rPr>
          <w:b/>
          <w:bCs/>
        </w:rPr>
        <w:t>559</w:t>
      </w:r>
      <w:r w:rsidRPr="00717C35">
        <w:t xml:space="preserve"> submissions were published by the Bureau in BR</w:t>
      </w:r>
      <w:r w:rsidR="0009256F" w:rsidRPr="00717C35">
        <w:t> </w:t>
      </w:r>
      <w:r w:rsidRPr="00717C35">
        <w:t>IFIC</w:t>
      </w:r>
      <w:r w:rsidR="0009256F" w:rsidRPr="00717C35">
        <w:t> </w:t>
      </w:r>
      <w:r w:rsidRPr="00717C35">
        <w:t>2932 of 27</w:t>
      </w:r>
      <w:r w:rsidR="0009256F" w:rsidRPr="00717C35">
        <w:t> </w:t>
      </w:r>
      <w:r w:rsidRPr="00717C35">
        <w:t>October</w:t>
      </w:r>
      <w:r w:rsidR="0009256F" w:rsidRPr="00717C35">
        <w:t> </w:t>
      </w:r>
      <w:r w:rsidRPr="00717C35">
        <w:t>2020.</w:t>
      </w:r>
    </w:p>
    <w:p w14:paraId="0D3F4364" w14:textId="32EE9038" w:rsidR="005D1C73" w:rsidRPr="00717C35" w:rsidRDefault="005D1C73" w:rsidP="00600DB2">
      <w:r w:rsidRPr="00717C35">
        <w:t>The coordination process with affected Administrations begun on 27</w:t>
      </w:r>
      <w:r w:rsidR="0009256F" w:rsidRPr="00717C35">
        <w:t> </w:t>
      </w:r>
      <w:r w:rsidRPr="00717C35">
        <w:t>February</w:t>
      </w:r>
      <w:r w:rsidR="0009256F" w:rsidRPr="00717C35">
        <w:t> </w:t>
      </w:r>
      <w:r w:rsidRPr="00717C35">
        <w:t>2021 after the end of the four</w:t>
      </w:r>
      <w:r w:rsidR="0009256F" w:rsidRPr="00717C35">
        <w:noBreakHyphen/>
      </w:r>
      <w:r w:rsidRPr="00717C35">
        <w:t>month commenting period.</w:t>
      </w:r>
    </w:p>
    <w:p w14:paraId="4F090D06" w14:textId="4EB87FEB" w:rsidR="005D1C73" w:rsidRPr="00717C35" w:rsidRDefault="005D1C73" w:rsidP="00600DB2">
      <w:proofErr w:type="gramStart"/>
      <w:r w:rsidRPr="00717C35">
        <w:t>In order to</w:t>
      </w:r>
      <w:proofErr w:type="gramEnd"/>
      <w:r w:rsidRPr="00717C35">
        <w:t xml:space="preserve"> be on time for consideration </w:t>
      </w:r>
      <w:r w:rsidR="0009256F" w:rsidRPr="00717C35">
        <w:t>by</w:t>
      </w:r>
      <w:r w:rsidRPr="00717C35">
        <w:t xml:space="preserve"> WRC</w:t>
      </w:r>
      <w:r w:rsidR="0009256F" w:rsidRPr="00717C35">
        <w:noBreakHyphen/>
      </w:r>
      <w:r w:rsidRPr="00717C35">
        <w:t>23, 41</w:t>
      </w:r>
      <w:r w:rsidR="00117B20">
        <w:t xml:space="preserve"> </w:t>
      </w:r>
      <w:r w:rsidRPr="00717C35">
        <w:t>out</w:t>
      </w:r>
      <w:r w:rsidR="0009256F" w:rsidRPr="00717C35">
        <w:t xml:space="preserve"> of</w:t>
      </w:r>
      <w:r w:rsidRPr="00717C35">
        <w:t xml:space="preserve"> the 45</w:t>
      </w:r>
      <w:r w:rsidR="0009256F" w:rsidRPr="00717C35">
        <w:t> </w:t>
      </w:r>
      <w:r w:rsidRPr="00717C35">
        <w:t>Administrations have submitted Part</w:t>
      </w:r>
      <w:r w:rsidR="0009256F" w:rsidRPr="00717C35">
        <w:t> </w:t>
      </w:r>
      <w:r w:rsidRPr="00717C35">
        <w:t>B of their Res</w:t>
      </w:r>
      <w:r w:rsidR="0009256F" w:rsidRPr="00717C35">
        <w:t>olution </w:t>
      </w:r>
      <w:r w:rsidR="0009256F" w:rsidRPr="00717C35">
        <w:rPr>
          <w:b/>
          <w:bCs/>
        </w:rPr>
        <w:t>559</w:t>
      </w:r>
      <w:r w:rsidRPr="00717C35">
        <w:t xml:space="preserve"> submissions before end of January</w:t>
      </w:r>
      <w:r w:rsidR="0009256F" w:rsidRPr="00717C35">
        <w:t> </w:t>
      </w:r>
      <w:r w:rsidRPr="00717C35">
        <w:t>2023. 82</w:t>
      </w:r>
      <w:r w:rsidR="0009256F" w:rsidRPr="00717C35">
        <w:t> </w:t>
      </w:r>
      <w:r w:rsidRPr="00717C35">
        <w:t>Part</w:t>
      </w:r>
      <w:r w:rsidR="0009256F" w:rsidRPr="00717C35">
        <w:t> </w:t>
      </w:r>
      <w:r w:rsidRPr="00717C35">
        <w:t>B Special Sections were published by the Bureau in BR</w:t>
      </w:r>
      <w:r w:rsidR="0009256F" w:rsidRPr="00717C35">
        <w:t> </w:t>
      </w:r>
      <w:r w:rsidRPr="00717C35">
        <w:t>IFIC</w:t>
      </w:r>
      <w:r w:rsidR="0009256F" w:rsidRPr="00717C35">
        <w:t> </w:t>
      </w:r>
      <w:r w:rsidRPr="00717C35">
        <w:t>2993 of 4</w:t>
      </w:r>
      <w:r w:rsidR="0009256F" w:rsidRPr="00717C35">
        <w:t> </w:t>
      </w:r>
      <w:r w:rsidRPr="00717C35">
        <w:t>April</w:t>
      </w:r>
      <w:r w:rsidR="0009256F" w:rsidRPr="00717C35">
        <w:t> </w:t>
      </w:r>
      <w:r w:rsidRPr="00717C35">
        <w:t>2023 for the inclusion of frequency assignments of these Res</w:t>
      </w:r>
      <w:r w:rsidR="0009256F" w:rsidRPr="00717C35">
        <w:t>olution </w:t>
      </w:r>
      <w:r w:rsidR="0009256F" w:rsidRPr="00717C35">
        <w:rPr>
          <w:b/>
          <w:bCs/>
        </w:rPr>
        <w:t>559</w:t>
      </w:r>
      <w:r w:rsidRPr="00717C35">
        <w:t xml:space="preserve"> submissions in the List of additional uses of </w:t>
      </w:r>
      <w:r w:rsidR="00166FA2" w:rsidRPr="00717C35">
        <w:t xml:space="preserve">RR </w:t>
      </w:r>
      <w:r w:rsidRPr="00717C35">
        <w:t>Appendices</w:t>
      </w:r>
      <w:r w:rsidR="0009256F" w:rsidRPr="00717C35">
        <w:t> </w:t>
      </w:r>
      <w:r w:rsidRPr="00717C35">
        <w:rPr>
          <w:rStyle w:val="Appref"/>
          <w:b/>
          <w:bCs/>
        </w:rPr>
        <w:t>30</w:t>
      </w:r>
      <w:r w:rsidRPr="00717C35">
        <w:t xml:space="preserve"> and</w:t>
      </w:r>
      <w:r w:rsidR="0009256F" w:rsidRPr="00717C35">
        <w:t> </w:t>
      </w:r>
      <w:r w:rsidRPr="00717C35">
        <w:rPr>
          <w:rStyle w:val="Appref"/>
          <w:b/>
          <w:bCs/>
        </w:rPr>
        <w:t>30A</w:t>
      </w:r>
      <w:r w:rsidRPr="00717C35">
        <w:t>.</w:t>
      </w:r>
    </w:p>
    <w:p w14:paraId="294573C7" w14:textId="6672940C" w:rsidR="005D1C73" w:rsidRPr="00717C35" w:rsidRDefault="005D1C73" w:rsidP="00600DB2">
      <w:pPr>
        <w:pStyle w:val="Headingb"/>
        <w:rPr>
          <w:lang w:val="en-GB"/>
        </w:rPr>
      </w:pPr>
      <w:r w:rsidRPr="00717C35">
        <w:rPr>
          <w:lang w:val="en-GB"/>
        </w:rPr>
        <w:t>Frequency Coordination of Res</w:t>
      </w:r>
      <w:r w:rsidR="0009256F" w:rsidRPr="00717C35">
        <w:rPr>
          <w:lang w:val="en-GB"/>
        </w:rPr>
        <w:t>olution </w:t>
      </w:r>
      <w:r w:rsidRPr="00717C35">
        <w:rPr>
          <w:lang w:val="en-GB"/>
        </w:rPr>
        <w:t>559 submissions</w:t>
      </w:r>
    </w:p>
    <w:p w14:paraId="68774F8A" w14:textId="74E07890" w:rsidR="005D1C73" w:rsidRPr="00717C35" w:rsidRDefault="005D1C73" w:rsidP="00600DB2">
      <w:r w:rsidRPr="00717C35">
        <w:t>Based on the technical examination of the Bureau as published in the Part</w:t>
      </w:r>
      <w:r w:rsidR="0009256F" w:rsidRPr="00717C35">
        <w:t> </w:t>
      </w:r>
      <w:r w:rsidRPr="00717C35">
        <w:t>A Special Sections in BR</w:t>
      </w:r>
      <w:r w:rsidR="0009256F" w:rsidRPr="00717C35">
        <w:t> </w:t>
      </w:r>
      <w:r w:rsidRPr="00717C35">
        <w:t>IFIC</w:t>
      </w:r>
      <w:r w:rsidR="0009256F" w:rsidRPr="00717C35">
        <w:t> </w:t>
      </w:r>
      <w:r w:rsidRPr="00717C35">
        <w:t>2932 of</w:t>
      </w:r>
      <w:r w:rsidR="0009256F" w:rsidRPr="00717C35">
        <w:t xml:space="preserve"> </w:t>
      </w:r>
      <w:r w:rsidRPr="00717C35">
        <w:t>27</w:t>
      </w:r>
      <w:r w:rsidR="0009256F" w:rsidRPr="00717C35">
        <w:t> </w:t>
      </w:r>
      <w:r w:rsidRPr="00717C35">
        <w:t>October</w:t>
      </w:r>
      <w:r w:rsidR="0009256F" w:rsidRPr="00717C35">
        <w:t> </w:t>
      </w:r>
      <w:r w:rsidRPr="00717C35">
        <w:t>2020, there are</w:t>
      </w:r>
      <w:r w:rsidR="0009256F" w:rsidRPr="00717C35">
        <w:t xml:space="preserve"> a</w:t>
      </w:r>
      <w:r w:rsidRPr="00717C35">
        <w:t xml:space="preserve"> total of 100</w:t>
      </w:r>
      <w:r w:rsidR="0009256F" w:rsidRPr="00717C35">
        <w:t> </w:t>
      </w:r>
      <w:r w:rsidRPr="00717C35">
        <w:t>potentially affected Administrations involving 1</w:t>
      </w:r>
      <w:r w:rsidR="00717C35" w:rsidRPr="00717C35">
        <w:t> </w:t>
      </w:r>
      <w:r w:rsidRPr="00717C35">
        <w:t>459</w:t>
      </w:r>
      <w:r w:rsidR="0009256F" w:rsidRPr="00717C35">
        <w:t> </w:t>
      </w:r>
      <w:r w:rsidRPr="00717C35">
        <w:t>frequency coordination cases.</w:t>
      </w:r>
    </w:p>
    <w:p w14:paraId="44334E74" w14:textId="1DC28CDC" w:rsidR="005D1C73" w:rsidRPr="00717C35" w:rsidRDefault="005D1C73" w:rsidP="00600DB2">
      <w:r w:rsidRPr="00717C35">
        <w:t>The Res</w:t>
      </w:r>
      <w:r w:rsidR="0009256F" w:rsidRPr="00717C35">
        <w:t>olution </w:t>
      </w:r>
      <w:r w:rsidR="0009256F" w:rsidRPr="00717C35">
        <w:rPr>
          <w:b/>
          <w:bCs/>
        </w:rPr>
        <w:t>559</w:t>
      </w:r>
      <w:r w:rsidRPr="00717C35">
        <w:t xml:space="preserve"> Administrations have not only actively carried out the frequency coordination but also submitted various proposals to the Radio Regulations Board (RRB) and ITU</w:t>
      </w:r>
      <w:r w:rsidR="0009256F" w:rsidRPr="00717C35">
        <w:noBreakHyphen/>
      </w:r>
      <w:r w:rsidRPr="00717C35">
        <w:t>R Working Party</w:t>
      </w:r>
      <w:r w:rsidR="0009256F" w:rsidRPr="00717C35">
        <w:t> </w:t>
      </w:r>
      <w:r w:rsidRPr="00717C35">
        <w:t>4A</w:t>
      </w:r>
      <w:r w:rsidR="0009256F" w:rsidRPr="00717C35">
        <w:t> </w:t>
      </w:r>
      <w:r w:rsidRPr="00717C35">
        <w:t xml:space="preserve">(WP4A) </w:t>
      </w:r>
      <w:proofErr w:type="gramStart"/>
      <w:r w:rsidRPr="00717C35">
        <w:t>in order to</w:t>
      </w:r>
      <w:proofErr w:type="gramEnd"/>
      <w:r w:rsidRPr="00717C35">
        <w:t xml:space="preserve"> facilitate the required frequency coordination. </w:t>
      </w:r>
    </w:p>
    <w:p w14:paraId="7F559280" w14:textId="02E8720A" w:rsidR="005D1C73" w:rsidRPr="00717C35" w:rsidRDefault="005D1C73" w:rsidP="00844CE5">
      <w:r w:rsidRPr="00717C35">
        <w:t>For the 41</w:t>
      </w:r>
      <w:r w:rsidR="0009256F" w:rsidRPr="00717C35">
        <w:t> </w:t>
      </w:r>
      <w:r w:rsidRPr="00717C35">
        <w:t>Res</w:t>
      </w:r>
      <w:r w:rsidR="0009256F" w:rsidRPr="00717C35">
        <w:t>olution </w:t>
      </w:r>
      <w:r w:rsidR="0009256F" w:rsidRPr="00717C35">
        <w:rPr>
          <w:b/>
          <w:bCs/>
        </w:rPr>
        <w:t>559</w:t>
      </w:r>
      <w:r w:rsidRPr="00717C35">
        <w:t xml:space="preserve"> submissions for which Part</w:t>
      </w:r>
      <w:r w:rsidR="0009256F" w:rsidRPr="00717C35">
        <w:t> </w:t>
      </w:r>
      <w:r w:rsidRPr="00717C35">
        <w:t>B ha</w:t>
      </w:r>
      <w:r w:rsidR="0009256F" w:rsidRPr="00717C35">
        <w:t>s</w:t>
      </w:r>
      <w:r w:rsidRPr="00717C35">
        <w:t xml:space="preserve"> been submitted, there are a total of 1393</w:t>
      </w:r>
      <w:r w:rsidR="0009256F" w:rsidRPr="00717C35">
        <w:t> </w:t>
      </w:r>
      <w:r w:rsidRPr="00717C35">
        <w:t>frequency coordination cases involved. Thanks to the decisions of RRB, the technical advice of WP4A, the active roles of Res</w:t>
      </w:r>
      <w:r w:rsidR="0009256F" w:rsidRPr="00717C35">
        <w:t>olution </w:t>
      </w:r>
      <w:r w:rsidR="0009256F" w:rsidRPr="00717C35">
        <w:rPr>
          <w:b/>
          <w:bCs/>
        </w:rPr>
        <w:t>559</w:t>
      </w:r>
      <w:r w:rsidRPr="00717C35">
        <w:t xml:space="preserve"> Administrations and the assistance of the Bureau, 87.08% of the frequency coordination cases have been completed. Nevertheless, there are 180</w:t>
      </w:r>
      <w:r w:rsidR="0009256F" w:rsidRPr="00717C35">
        <w:t> </w:t>
      </w:r>
      <w:r w:rsidRPr="00717C35">
        <w:t>frequency coordination cases which are yet to be completed. Statistics of major remaining coordination cases are as follows:</w:t>
      </w:r>
    </w:p>
    <w:p w14:paraId="0B9D550A" w14:textId="77777777" w:rsidR="00844CE5" w:rsidRPr="00717C35" w:rsidRDefault="00844CE5" w:rsidP="00844CE5"/>
    <w:tbl>
      <w:tblPr>
        <w:tblStyle w:val="TableGrid"/>
        <w:tblW w:w="0" w:type="auto"/>
        <w:jc w:val="center"/>
        <w:tblLayout w:type="fixed"/>
        <w:tblLook w:val="04A0" w:firstRow="1" w:lastRow="0" w:firstColumn="1" w:lastColumn="0" w:noHBand="0" w:noVBand="1"/>
      </w:tblPr>
      <w:tblGrid>
        <w:gridCol w:w="1269"/>
        <w:gridCol w:w="2393"/>
        <w:gridCol w:w="2393"/>
        <w:gridCol w:w="2393"/>
      </w:tblGrid>
      <w:tr w:rsidR="005D1C73" w:rsidRPr="00717C35" w14:paraId="14AEE87D" w14:textId="77777777" w:rsidTr="00E60943">
        <w:trPr>
          <w:jc w:val="center"/>
        </w:trPr>
        <w:tc>
          <w:tcPr>
            <w:tcW w:w="1269" w:type="dxa"/>
            <w:vAlign w:val="center"/>
          </w:tcPr>
          <w:p w14:paraId="51FC5F42" w14:textId="77777777" w:rsidR="005D1C73" w:rsidRPr="00717C35" w:rsidRDefault="005D1C73" w:rsidP="00600DB2">
            <w:pPr>
              <w:pStyle w:val="Tablehead"/>
            </w:pPr>
            <w:r w:rsidRPr="00717C35">
              <w:t>Total</w:t>
            </w:r>
          </w:p>
        </w:tc>
        <w:tc>
          <w:tcPr>
            <w:tcW w:w="2393" w:type="dxa"/>
            <w:vAlign w:val="center"/>
          </w:tcPr>
          <w:p w14:paraId="59DF3ECB" w14:textId="77777777" w:rsidR="005D1C73" w:rsidRPr="00717C35" w:rsidRDefault="005D1C73" w:rsidP="00600DB2">
            <w:pPr>
              <w:pStyle w:val="Tablehead"/>
            </w:pPr>
            <w:r w:rsidRPr="00717C35">
              <w:t>Coordination under</w:t>
            </w:r>
          </w:p>
          <w:p w14:paraId="6478C716" w14:textId="77777777" w:rsidR="005D1C73" w:rsidRPr="00717C35" w:rsidRDefault="005D1C73" w:rsidP="00600DB2">
            <w:pPr>
              <w:pStyle w:val="Tablehead"/>
            </w:pPr>
            <w:r w:rsidRPr="00717C35">
              <w:t>A30#4.1.1b)</w:t>
            </w:r>
          </w:p>
        </w:tc>
        <w:tc>
          <w:tcPr>
            <w:tcW w:w="2393" w:type="dxa"/>
            <w:vAlign w:val="center"/>
          </w:tcPr>
          <w:p w14:paraId="087A92ED" w14:textId="77777777" w:rsidR="005D1C73" w:rsidRPr="00717C35" w:rsidRDefault="005D1C73" w:rsidP="00600DB2">
            <w:pPr>
              <w:pStyle w:val="Tablehead"/>
            </w:pPr>
            <w:r w:rsidRPr="00717C35">
              <w:t>Coordination under</w:t>
            </w:r>
          </w:p>
          <w:p w14:paraId="61635235" w14:textId="77777777" w:rsidR="005D1C73" w:rsidRPr="00717C35" w:rsidRDefault="005D1C73" w:rsidP="00600DB2">
            <w:pPr>
              <w:pStyle w:val="Tablehead"/>
            </w:pPr>
            <w:r w:rsidRPr="00717C35">
              <w:t>A30#4.1.1e)</w:t>
            </w:r>
          </w:p>
        </w:tc>
        <w:tc>
          <w:tcPr>
            <w:tcW w:w="2393" w:type="dxa"/>
            <w:vAlign w:val="center"/>
          </w:tcPr>
          <w:p w14:paraId="3A55995D" w14:textId="77777777" w:rsidR="005D1C73" w:rsidRPr="00717C35" w:rsidRDefault="005D1C73" w:rsidP="00600DB2">
            <w:pPr>
              <w:pStyle w:val="Tablehead"/>
            </w:pPr>
            <w:r w:rsidRPr="00717C35">
              <w:t>Coordination under</w:t>
            </w:r>
          </w:p>
          <w:p w14:paraId="00E96406" w14:textId="77777777" w:rsidR="005D1C73" w:rsidRPr="00717C35" w:rsidRDefault="005D1C73" w:rsidP="00600DB2">
            <w:pPr>
              <w:pStyle w:val="Tablehead"/>
            </w:pPr>
            <w:r w:rsidRPr="00717C35">
              <w:t>A30A#4.1.1b)</w:t>
            </w:r>
          </w:p>
        </w:tc>
      </w:tr>
      <w:tr w:rsidR="005D1C73" w:rsidRPr="00717C35" w14:paraId="60B76814" w14:textId="77777777" w:rsidTr="00E60943">
        <w:trPr>
          <w:jc w:val="center"/>
        </w:trPr>
        <w:tc>
          <w:tcPr>
            <w:tcW w:w="1269" w:type="dxa"/>
          </w:tcPr>
          <w:p w14:paraId="1519C0A1" w14:textId="77777777" w:rsidR="005D1C73" w:rsidRPr="00717C35" w:rsidRDefault="005D1C73" w:rsidP="00946785">
            <w:pPr>
              <w:pStyle w:val="TableTextS5"/>
            </w:pPr>
            <w:r w:rsidRPr="00717C35">
              <w:t>180</w:t>
            </w:r>
          </w:p>
        </w:tc>
        <w:tc>
          <w:tcPr>
            <w:tcW w:w="2393" w:type="dxa"/>
          </w:tcPr>
          <w:p w14:paraId="17FFAED4" w14:textId="77777777" w:rsidR="005D1C73" w:rsidRPr="00717C35" w:rsidRDefault="005D1C73" w:rsidP="00946785">
            <w:pPr>
              <w:pStyle w:val="TableTextS5"/>
            </w:pPr>
            <w:r w:rsidRPr="00717C35">
              <w:t>87</w:t>
            </w:r>
          </w:p>
        </w:tc>
        <w:tc>
          <w:tcPr>
            <w:tcW w:w="2393" w:type="dxa"/>
          </w:tcPr>
          <w:p w14:paraId="46E2BE0A" w14:textId="77777777" w:rsidR="005D1C73" w:rsidRPr="00717C35" w:rsidRDefault="005D1C73" w:rsidP="00946785">
            <w:pPr>
              <w:pStyle w:val="TableTextS5"/>
            </w:pPr>
            <w:r w:rsidRPr="00717C35">
              <w:t>60</w:t>
            </w:r>
          </w:p>
        </w:tc>
        <w:tc>
          <w:tcPr>
            <w:tcW w:w="2393" w:type="dxa"/>
          </w:tcPr>
          <w:p w14:paraId="03A15E9D" w14:textId="77777777" w:rsidR="005D1C73" w:rsidRPr="00717C35" w:rsidRDefault="005D1C73" w:rsidP="00946785">
            <w:pPr>
              <w:pStyle w:val="TableTextS5"/>
            </w:pPr>
            <w:r w:rsidRPr="00717C35">
              <w:t>26</w:t>
            </w:r>
          </w:p>
        </w:tc>
      </w:tr>
      <w:tr w:rsidR="005D1C73" w:rsidRPr="00717C35" w14:paraId="5AEFBBC3" w14:textId="77777777" w:rsidTr="00E60943">
        <w:trPr>
          <w:jc w:val="center"/>
        </w:trPr>
        <w:tc>
          <w:tcPr>
            <w:tcW w:w="1269" w:type="dxa"/>
          </w:tcPr>
          <w:p w14:paraId="7720A632" w14:textId="77777777" w:rsidR="005D1C73" w:rsidRPr="00717C35" w:rsidRDefault="005D1C73" w:rsidP="00946785">
            <w:pPr>
              <w:pStyle w:val="TableTextS5"/>
            </w:pPr>
            <w:r w:rsidRPr="00717C35">
              <w:t>Percentage</w:t>
            </w:r>
          </w:p>
        </w:tc>
        <w:tc>
          <w:tcPr>
            <w:tcW w:w="2393" w:type="dxa"/>
          </w:tcPr>
          <w:p w14:paraId="3A94D1B0" w14:textId="77777777" w:rsidR="005D1C73" w:rsidRPr="00717C35" w:rsidRDefault="005D1C73" w:rsidP="00946785">
            <w:pPr>
              <w:pStyle w:val="TableTextS5"/>
            </w:pPr>
            <w:r w:rsidRPr="00717C35">
              <w:t>48.3%</w:t>
            </w:r>
          </w:p>
        </w:tc>
        <w:tc>
          <w:tcPr>
            <w:tcW w:w="2393" w:type="dxa"/>
          </w:tcPr>
          <w:p w14:paraId="7A3D1AC9" w14:textId="77777777" w:rsidR="005D1C73" w:rsidRPr="00717C35" w:rsidRDefault="005D1C73" w:rsidP="00946785">
            <w:pPr>
              <w:pStyle w:val="TableTextS5"/>
            </w:pPr>
            <w:r w:rsidRPr="00717C35">
              <w:t>33.3%</w:t>
            </w:r>
          </w:p>
        </w:tc>
        <w:tc>
          <w:tcPr>
            <w:tcW w:w="2393" w:type="dxa"/>
          </w:tcPr>
          <w:p w14:paraId="153986A9" w14:textId="77777777" w:rsidR="005D1C73" w:rsidRPr="00717C35" w:rsidRDefault="005D1C73" w:rsidP="00946785">
            <w:pPr>
              <w:pStyle w:val="TableTextS5"/>
            </w:pPr>
            <w:r w:rsidRPr="00717C35">
              <w:t>14.4%</w:t>
            </w:r>
          </w:p>
        </w:tc>
      </w:tr>
    </w:tbl>
    <w:p w14:paraId="0BDC5F4A" w14:textId="77777777" w:rsidR="00844CE5" w:rsidRPr="00717C35" w:rsidRDefault="00844CE5" w:rsidP="00844CE5">
      <w:pPr>
        <w:pStyle w:val="Tablefin"/>
      </w:pPr>
    </w:p>
    <w:p w14:paraId="234140E8" w14:textId="70310559" w:rsidR="005D1C73" w:rsidRPr="00717C35" w:rsidRDefault="005D1C73" w:rsidP="00600DB2">
      <w:r w:rsidRPr="00717C35">
        <w:t xml:space="preserve">With respect to the remaining coordination cases under A30A#4.1.1b), the issue is </w:t>
      </w:r>
      <w:proofErr w:type="gramStart"/>
      <w:r w:rsidRPr="00717C35">
        <w:t>due to the fact that</w:t>
      </w:r>
      <w:proofErr w:type="gramEnd"/>
      <w:r w:rsidRPr="00717C35">
        <w:t xml:space="preserve"> the potentially affected </w:t>
      </w:r>
      <w:r w:rsidR="00844CE5" w:rsidRPr="00717C35">
        <w:t xml:space="preserve">RR </w:t>
      </w:r>
      <w:r w:rsidRPr="00717C35">
        <w:t>Appendix</w:t>
      </w:r>
      <w:r w:rsidR="0009256F" w:rsidRPr="00717C35">
        <w:t> </w:t>
      </w:r>
      <w:r w:rsidRPr="00717C35">
        <w:rPr>
          <w:rStyle w:val="Appref"/>
          <w:b/>
          <w:bCs/>
        </w:rPr>
        <w:t>30A</w:t>
      </w:r>
      <w:r w:rsidRPr="00717C35">
        <w:t xml:space="preserve"> Article</w:t>
      </w:r>
      <w:r w:rsidR="0009256F" w:rsidRPr="00717C35">
        <w:t> </w:t>
      </w:r>
      <w:r w:rsidRPr="00717C35">
        <w:t>4 submissions have global coverage leading to very high receiving sensitivity over the national territories of the concerned Res</w:t>
      </w:r>
      <w:r w:rsidR="0009256F" w:rsidRPr="00717C35">
        <w:t>olution </w:t>
      </w:r>
      <w:r w:rsidRPr="00717C35">
        <w:rPr>
          <w:b/>
          <w:bCs/>
        </w:rPr>
        <w:t>559</w:t>
      </w:r>
      <w:r w:rsidRPr="00717C35">
        <w:t xml:space="preserve"> Administrations. This issue is being addressed under Topic</w:t>
      </w:r>
      <w:r w:rsidR="0009256F" w:rsidRPr="00717C35">
        <w:t> </w:t>
      </w:r>
      <w:r w:rsidRPr="00717C35">
        <w:t>F of Agenda item</w:t>
      </w:r>
      <w:r w:rsidR="0009256F" w:rsidRPr="00717C35">
        <w:t> </w:t>
      </w:r>
      <w:r w:rsidRPr="00717C35">
        <w:t>7 of WRC</w:t>
      </w:r>
      <w:r w:rsidR="0009256F" w:rsidRPr="00717C35">
        <w:noBreakHyphen/>
      </w:r>
      <w:r w:rsidRPr="00717C35">
        <w:t>23.</w:t>
      </w:r>
    </w:p>
    <w:p w14:paraId="1963CE9D" w14:textId="7070F45F" w:rsidR="005D1C73" w:rsidRPr="00717C35" w:rsidRDefault="005D1C73" w:rsidP="00600DB2">
      <w:r w:rsidRPr="00717C35">
        <w:t>With respect to remaining coordination cases under A30#4.1.1b) and A30#4.1.e), the main issue relat</w:t>
      </w:r>
      <w:r w:rsidR="0009256F" w:rsidRPr="00717C35">
        <w:t>es</w:t>
      </w:r>
      <w:r w:rsidRPr="00717C35">
        <w:t xml:space="preserve"> to two Administrations, which account for 64.4 % of the total number of frequency coordination cases.</w:t>
      </w:r>
    </w:p>
    <w:p w14:paraId="24FA17B5" w14:textId="77777777" w:rsidR="005D1C73" w:rsidRPr="00717C35" w:rsidRDefault="005D1C73" w:rsidP="00600DB2">
      <w:pPr>
        <w:pStyle w:val="Headingb"/>
        <w:rPr>
          <w:lang w:val="en-GB"/>
        </w:rPr>
      </w:pPr>
      <w:r w:rsidRPr="00717C35">
        <w:rPr>
          <w:lang w:val="en-GB"/>
        </w:rPr>
        <w:lastRenderedPageBreak/>
        <w:t>Proposals</w:t>
      </w:r>
    </w:p>
    <w:p w14:paraId="296C36D9" w14:textId="68AC18F4" w:rsidR="005D1C73" w:rsidRPr="00717C35" w:rsidRDefault="005D1C73" w:rsidP="00600DB2">
      <w:r w:rsidRPr="00717C35">
        <w:t>In view of the above and noting the intention of WRC</w:t>
      </w:r>
      <w:r w:rsidR="0009256F" w:rsidRPr="00717C35">
        <w:noBreakHyphen/>
      </w:r>
      <w:r w:rsidRPr="00717C35">
        <w:t xml:space="preserve">19 </w:t>
      </w:r>
      <w:r w:rsidR="0009256F" w:rsidRPr="00717C35">
        <w:t>in</w:t>
      </w:r>
      <w:r w:rsidRPr="00717C35">
        <w:t xml:space="preserve"> adopting Resolution</w:t>
      </w:r>
      <w:r w:rsidR="0009256F" w:rsidRPr="00717C35">
        <w:t> </w:t>
      </w:r>
      <w:r w:rsidRPr="00717C35">
        <w:rPr>
          <w:b/>
          <w:bCs/>
        </w:rPr>
        <w:t>559 (WRC-19)</w:t>
      </w:r>
      <w:r w:rsidRPr="00717C35">
        <w:t xml:space="preserve">, the following proposals are submitted for consideration </w:t>
      </w:r>
      <w:r w:rsidR="0009256F" w:rsidRPr="00717C35">
        <w:t>by</w:t>
      </w:r>
      <w:r w:rsidRPr="00717C35">
        <w:t xml:space="preserve"> WRC</w:t>
      </w:r>
      <w:r w:rsidR="0009256F" w:rsidRPr="00717C35">
        <w:noBreakHyphen/>
      </w:r>
      <w:r w:rsidRPr="00717C35">
        <w:t>23.</w:t>
      </w:r>
    </w:p>
    <w:p w14:paraId="3780F03C" w14:textId="58FD4488" w:rsidR="005D1C73" w:rsidRPr="00717C35" w:rsidRDefault="005D1C73" w:rsidP="008B0AC1">
      <w:pPr>
        <w:pStyle w:val="enumlev1"/>
      </w:pPr>
      <w:r w:rsidRPr="00717C35">
        <w:t>1</w:t>
      </w:r>
      <w:r w:rsidRPr="00717C35">
        <w:tab/>
        <w:t>The submitting Administrations propose WRC</w:t>
      </w:r>
      <w:r w:rsidR="0009256F" w:rsidRPr="00717C35">
        <w:noBreakHyphen/>
      </w:r>
      <w:r w:rsidRPr="00717C35">
        <w:t>23 to endorse all the suggestions made by RRB and BR relating to the implementation of Resolution</w:t>
      </w:r>
      <w:r w:rsidR="0009256F" w:rsidRPr="00717C35">
        <w:t> </w:t>
      </w:r>
      <w:r w:rsidRPr="00717C35">
        <w:rPr>
          <w:b/>
          <w:bCs/>
        </w:rPr>
        <w:t>559 (WRC</w:t>
      </w:r>
      <w:r w:rsidR="0009256F" w:rsidRPr="00717C35">
        <w:rPr>
          <w:b/>
          <w:bCs/>
        </w:rPr>
        <w:noBreakHyphen/>
      </w:r>
      <w:r w:rsidRPr="00717C35">
        <w:rPr>
          <w:b/>
          <w:bCs/>
        </w:rPr>
        <w:t>19)</w:t>
      </w:r>
      <w:r w:rsidRPr="00717C35">
        <w:t xml:space="preserve"> as contained in their reports to WRC</w:t>
      </w:r>
      <w:r w:rsidR="0009256F" w:rsidRPr="00717C35">
        <w:noBreakHyphen/>
      </w:r>
      <w:r w:rsidRPr="00717C35">
        <w:t>23;</w:t>
      </w:r>
    </w:p>
    <w:p w14:paraId="688CF99F" w14:textId="1471FFCB" w:rsidR="005D1C73" w:rsidRPr="00717C35" w:rsidRDefault="005D1C73" w:rsidP="008B0AC1">
      <w:pPr>
        <w:pStyle w:val="enumlev1"/>
      </w:pPr>
      <w:r w:rsidRPr="00717C35">
        <w:t>2</w:t>
      </w:r>
      <w:r w:rsidRPr="00717C35">
        <w:tab/>
        <w:t>With respect to the remaining coordination cases under §</w:t>
      </w:r>
      <w:r w:rsidR="0009256F" w:rsidRPr="00717C35">
        <w:t> </w:t>
      </w:r>
      <w:r w:rsidRPr="00717C35">
        <w:t>4.1.1</w:t>
      </w:r>
      <w:r w:rsidR="0009256F" w:rsidRPr="00717C35">
        <w:t> </w:t>
      </w:r>
      <w:r w:rsidRPr="00717C35">
        <w:t xml:space="preserve">b) of </w:t>
      </w:r>
      <w:r w:rsidR="0065249E" w:rsidRPr="00717C35">
        <w:t xml:space="preserve">RR </w:t>
      </w:r>
      <w:r w:rsidRPr="00717C35">
        <w:t>Appendix</w:t>
      </w:r>
      <w:r w:rsidR="0009256F" w:rsidRPr="00717C35">
        <w:t> </w:t>
      </w:r>
      <w:r w:rsidRPr="00717C35">
        <w:rPr>
          <w:rStyle w:val="Appref"/>
          <w:b/>
          <w:bCs/>
        </w:rPr>
        <w:t>30</w:t>
      </w:r>
      <w:r w:rsidRPr="00717C35">
        <w:t>, the submitting Administrations propose WRC</w:t>
      </w:r>
      <w:r w:rsidR="0009256F" w:rsidRPr="00717C35">
        <w:noBreakHyphen/>
      </w:r>
      <w:r w:rsidRPr="00717C35">
        <w:t>23 to approve the following measures/proposals:</w:t>
      </w:r>
    </w:p>
    <w:p w14:paraId="03514213" w14:textId="199EE265" w:rsidR="005D1C73" w:rsidRPr="00717C35" w:rsidRDefault="005D1C73" w:rsidP="00503511">
      <w:pPr>
        <w:pStyle w:val="enumlev2"/>
      </w:pPr>
      <w:r w:rsidRPr="00717C35">
        <w:t>a)</w:t>
      </w:r>
      <w:r w:rsidRPr="00717C35">
        <w:tab/>
        <w:t>The notifying Administration of an additional use (i.e. assignments in the List and/or pending Article</w:t>
      </w:r>
      <w:r w:rsidR="0009256F" w:rsidRPr="00717C35">
        <w:t> </w:t>
      </w:r>
      <w:r w:rsidRPr="00717C35">
        <w:t xml:space="preserve">4 networks) to accept possible interference produced to its test-points located within </w:t>
      </w:r>
      <w:r w:rsidR="00717C35" w:rsidRPr="00717C35">
        <w:t>−</w:t>
      </w:r>
      <w:r w:rsidRPr="00717C35">
        <w:t>3</w:t>
      </w:r>
      <w:r w:rsidR="0009256F" w:rsidRPr="00717C35">
        <w:t> </w:t>
      </w:r>
      <w:r w:rsidRPr="00717C35">
        <w:t>dB antenna gain contour of the Res</w:t>
      </w:r>
      <w:r w:rsidR="001F29E9" w:rsidRPr="00717C35">
        <w:t>olution</w:t>
      </w:r>
      <w:r w:rsidR="0009256F" w:rsidRPr="00717C35">
        <w:t> </w:t>
      </w:r>
      <w:r w:rsidRPr="00717C35">
        <w:rPr>
          <w:b/>
          <w:bCs/>
        </w:rPr>
        <w:t xml:space="preserve">559 </w:t>
      </w:r>
      <w:r w:rsidR="005D7D0D" w:rsidRPr="00717C35">
        <w:rPr>
          <w:b/>
          <w:bCs/>
        </w:rPr>
        <w:t>(WRC</w:t>
      </w:r>
      <w:r w:rsidR="0009256F" w:rsidRPr="00717C35">
        <w:rPr>
          <w:b/>
          <w:bCs/>
        </w:rPr>
        <w:noBreakHyphen/>
      </w:r>
      <w:r w:rsidR="005D7D0D" w:rsidRPr="00717C35">
        <w:rPr>
          <w:b/>
          <w:bCs/>
        </w:rPr>
        <w:t>19)</w:t>
      </w:r>
      <w:r w:rsidR="005D7D0D" w:rsidRPr="00717C35">
        <w:t xml:space="preserve"> </w:t>
      </w:r>
      <w:r w:rsidRPr="00717C35">
        <w:t xml:space="preserve">submission concerned </w:t>
      </w:r>
      <w:proofErr w:type="gramStart"/>
      <w:r w:rsidRPr="00717C35">
        <w:t>due to the fact that</w:t>
      </w:r>
      <w:proofErr w:type="gramEnd"/>
      <w:r w:rsidRPr="00717C35">
        <w:t xml:space="preserve"> the ellipse is already the minimum one validated by the Bureau;</w:t>
      </w:r>
    </w:p>
    <w:p w14:paraId="5F60894C" w14:textId="20EBF802" w:rsidR="005D1C73" w:rsidRPr="00717C35" w:rsidRDefault="005D1C73" w:rsidP="00503511">
      <w:pPr>
        <w:pStyle w:val="enumlev2"/>
      </w:pPr>
      <w:r w:rsidRPr="00717C35">
        <w:t>b)</w:t>
      </w:r>
      <w:r w:rsidRPr="00717C35">
        <w:tab/>
        <w:t>The notifying Administration of an additional use (i.e. assignments in the List and/or pending Article</w:t>
      </w:r>
      <w:r w:rsidR="0009256F" w:rsidRPr="00717C35">
        <w:t> </w:t>
      </w:r>
      <w:r w:rsidRPr="00717C35">
        <w:t xml:space="preserve">4 networks) to accept possible interference produced to its test-points located beyond </w:t>
      </w:r>
      <w:r w:rsidR="00717C35" w:rsidRPr="00717C35">
        <w:t>−</w:t>
      </w:r>
      <w:r w:rsidRPr="00717C35">
        <w:t>20</w:t>
      </w:r>
      <w:r w:rsidR="0009256F" w:rsidRPr="00717C35">
        <w:t> </w:t>
      </w:r>
      <w:r w:rsidRPr="00717C35">
        <w:t xml:space="preserve">dB antenna gain contour of the </w:t>
      </w:r>
      <w:r w:rsidR="005D7D0D" w:rsidRPr="00717C35">
        <w:t>Resolution</w:t>
      </w:r>
      <w:r w:rsidR="0009256F" w:rsidRPr="00717C35">
        <w:t> </w:t>
      </w:r>
      <w:r w:rsidR="005D7D0D" w:rsidRPr="00717C35">
        <w:rPr>
          <w:b/>
          <w:bCs/>
        </w:rPr>
        <w:t>559 (WRC</w:t>
      </w:r>
      <w:r w:rsidR="0009256F" w:rsidRPr="00717C35">
        <w:rPr>
          <w:b/>
          <w:bCs/>
        </w:rPr>
        <w:noBreakHyphen/>
      </w:r>
      <w:r w:rsidR="005D7D0D" w:rsidRPr="00717C35">
        <w:rPr>
          <w:b/>
          <w:bCs/>
        </w:rPr>
        <w:t xml:space="preserve">19) </w:t>
      </w:r>
      <w:r w:rsidRPr="00717C35">
        <w:t>submission concerned;</w:t>
      </w:r>
    </w:p>
    <w:p w14:paraId="158023DF" w14:textId="76087F17" w:rsidR="005D1C73" w:rsidRPr="00717C35" w:rsidRDefault="005D1C73" w:rsidP="00503511">
      <w:pPr>
        <w:pStyle w:val="enumlev2"/>
      </w:pPr>
      <w:r w:rsidRPr="00717C35">
        <w:t>c)</w:t>
      </w:r>
      <w:r w:rsidRPr="00717C35">
        <w:tab/>
        <w:t xml:space="preserve">If the Equivalent protection margin (EPM) of a test-point of an additional use network is less than </w:t>
      </w:r>
      <w:r w:rsidR="00717C35" w:rsidRPr="00717C35">
        <w:t>−</w:t>
      </w:r>
      <w:r w:rsidRPr="00717C35">
        <w:t>10</w:t>
      </w:r>
      <w:r w:rsidR="0009256F" w:rsidRPr="00717C35">
        <w:t> </w:t>
      </w:r>
      <w:r w:rsidRPr="00717C35">
        <w:t>dB at the time of examination by the Bureau of Part</w:t>
      </w:r>
      <w:r w:rsidR="0009256F" w:rsidRPr="00717C35">
        <w:t> </w:t>
      </w:r>
      <w:r w:rsidRPr="00717C35">
        <w:t xml:space="preserve">A of </w:t>
      </w:r>
      <w:r w:rsidR="005D7D0D" w:rsidRPr="00717C35">
        <w:t>Resolution</w:t>
      </w:r>
      <w:r w:rsidR="0009256F" w:rsidRPr="00717C35">
        <w:t> </w:t>
      </w:r>
      <w:r w:rsidR="005D7D0D" w:rsidRPr="00717C35">
        <w:rPr>
          <w:b/>
          <w:bCs/>
        </w:rPr>
        <w:t>559 (WRC</w:t>
      </w:r>
      <w:r w:rsidR="0009256F" w:rsidRPr="00717C35">
        <w:rPr>
          <w:b/>
          <w:bCs/>
        </w:rPr>
        <w:noBreakHyphen/>
      </w:r>
      <w:r w:rsidR="005D7D0D" w:rsidRPr="00717C35">
        <w:rPr>
          <w:b/>
          <w:bCs/>
        </w:rPr>
        <w:t>19)</w:t>
      </w:r>
      <w:r w:rsidRPr="00717C35">
        <w:t xml:space="preserve"> submissions, that test-point should not be considered by the Bureau in reviewing the finding</w:t>
      </w:r>
      <w:r w:rsidR="002359F4" w:rsidRPr="00717C35">
        <w:t>s</w:t>
      </w:r>
      <w:r w:rsidRPr="00717C35">
        <w:t xml:space="preserve"> of the </w:t>
      </w:r>
      <w:r w:rsidR="005D7D0D" w:rsidRPr="00717C35">
        <w:t>Resolution</w:t>
      </w:r>
      <w:r w:rsidR="002359F4" w:rsidRPr="00717C35">
        <w:t> </w:t>
      </w:r>
      <w:r w:rsidR="005D7D0D" w:rsidRPr="00717C35">
        <w:rPr>
          <w:b/>
          <w:bCs/>
        </w:rPr>
        <w:t>559 (WRC</w:t>
      </w:r>
      <w:r w:rsidR="002359F4" w:rsidRPr="00717C35">
        <w:rPr>
          <w:b/>
          <w:bCs/>
        </w:rPr>
        <w:noBreakHyphen/>
      </w:r>
      <w:r w:rsidR="005D7D0D" w:rsidRPr="00717C35">
        <w:rPr>
          <w:b/>
          <w:bCs/>
        </w:rPr>
        <w:t xml:space="preserve">19) </w:t>
      </w:r>
      <w:r w:rsidRPr="00717C35">
        <w:t>submission concerned;</w:t>
      </w:r>
    </w:p>
    <w:p w14:paraId="6FECE4C5" w14:textId="11191DFD" w:rsidR="005D1C73" w:rsidRPr="00717C35" w:rsidRDefault="005D1C73" w:rsidP="00503511">
      <w:pPr>
        <w:pStyle w:val="enumlev2"/>
      </w:pPr>
      <w:r w:rsidRPr="00717C35">
        <w:t>d)</w:t>
      </w:r>
      <w:r w:rsidRPr="00717C35">
        <w:tab/>
        <w:t>A coordination is deemed to be completed if the nominal orbital separation between a Res</w:t>
      </w:r>
      <w:r w:rsidR="002359F4" w:rsidRPr="00717C35">
        <w:t>olution </w:t>
      </w:r>
      <w:r w:rsidRPr="00717C35">
        <w:rPr>
          <w:b/>
          <w:bCs/>
        </w:rPr>
        <w:t>559</w:t>
      </w:r>
      <w:r w:rsidRPr="00717C35">
        <w:t xml:space="preserve"> submission and an additional use network is equal to or greater than 6</w:t>
      </w:r>
      <w:r w:rsidR="002359F4" w:rsidRPr="00717C35">
        <w:t> </w:t>
      </w:r>
      <w:r w:rsidRPr="00717C35">
        <w:t>degrees;</w:t>
      </w:r>
    </w:p>
    <w:p w14:paraId="6E1153B2" w14:textId="6461B087" w:rsidR="005D1C73" w:rsidRPr="00717C35" w:rsidRDefault="005D1C73" w:rsidP="00503511">
      <w:pPr>
        <w:pStyle w:val="enumlev1"/>
      </w:pPr>
      <w:r w:rsidRPr="00717C35">
        <w:t>3</w:t>
      </w:r>
      <w:r w:rsidRPr="00717C35">
        <w:tab/>
        <w:t>With respect to the remaining coordination cases under §</w:t>
      </w:r>
      <w:r w:rsidR="002359F4" w:rsidRPr="00717C35">
        <w:t> </w:t>
      </w:r>
      <w:r w:rsidRPr="00717C35">
        <w:t>4.1.1</w:t>
      </w:r>
      <w:r w:rsidR="002359F4" w:rsidRPr="00717C35">
        <w:t> </w:t>
      </w:r>
      <w:r w:rsidRPr="00717C35">
        <w:t xml:space="preserve">e) of </w:t>
      </w:r>
      <w:r w:rsidR="0065249E" w:rsidRPr="00717C35">
        <w:t xml:space="preserve">RR </w:t>
      </w:r>
      <w:r w:rsidRPr="00717C35">
        <w:t>Appendix</w:t>
      </w:r>
      <w:r w:rsidR="002359F4" w:rsidRPr="00717C35">
        <w:t> </w:t>
      </w:r>
      <w:r w:rsidRPr="00717C35">
        <w:rPr>
          <w:b/>
          <w:bCs/>
        </w:rPr>
        <w:t>30</w:t>
      </w:r>
      <w:r w:rsidRPr="00717C35">
        <w:t>, the submitting Administrations propose WRC</w:t>
      </w:r>
      <w:r w:rsidR="002359F4" w:rsidRPr="00717C35">
        <w:noBreakHyphen/>
      </w:r>
      <w:r w:rsidRPr="00717C35">
        <w:t>23 to approve the following measures/proposals:</w:t>
      </w:r>
    </w:p>
    <w:p w14:paraId="29C4D6DD" w14:textId="09515A16" w:rsidR="005D1C73" w:rsidRPr="00717C35" w:rsidRDefault="005D1C73" w:rsidP="00503511">
      <w:pPr>
        <w:pStyle w:val="enumlev2"/>
      </w:pPr>
      <w:r w:rsidRPr="00717C35">
        <w:t>a)</w:t>
      </w:r>
      <w:r w:rsidRPr="00717C35">
        <w:tab/>
        <w:t xml:space="preserve">A coordination is deemed to be completed if the nominal orbital separation between a </w:t>
      </w:r>
      <w:r w:rsidR="003B3D62" w:rsidRPr="00717C35">
        <w:t>Resolution</w:t>
      </w:r>
      <w:r w:rsidR="002359F4" w:rsidRPr="00717C35">
        <w:t> </w:t>
      </w:r>
      <w:r w:rsidR="003B3D62" w:rsidRPr="00717C35">
        <w:rPr>
          <w:b/>
          <w:bCs/>
        </w:rPr>
        <w:t>559</w:t>
      </w:r>
      <w:r w:rsidR="002359F4" w:rsidRPr="00717C35">
        <w:rPr>
          <w:b/>
          <w:bCs/>
        </w:rPr>
        <w:t xml:space="preserve"> </w:t>
      </w:r>
      <w:r w:rsidR="003B3D62" w:rsidRPr="00717C35">
        <w:rPr>
          <w:b/>
          <w:bCs/>
        </w:rPr>
        <w:t>(WRC</w:t>
      </w:r>
      <w:r w:rsidR="002359F4" w:rsidRPr="00717C35">
        <w:rPr>
          <w:b/>
          <w:bCs/>
        </w:rPr>
        <w:noBreakHyphen/>
      </w:r>
      <w:r w:rsidR="003B3D62" w:rsidRPr="00717C35">
        <w:rPr>
          <w:b/>
          <w:bCs/>
        </w:rPr>
        <w:t>19)</w:t>
      </w:r>
      <w:r w:rsidRPr="00717C35">
        <w:t xml:space="preserve"> submission and non-planned satellite network concerned is equal to or greater than 6</w:t>
      </w:r>
      <w:r w:rsidR="002359F4" w:rsidRPr="00717C35">
        <w:t> </w:t>
      </w:r>
      <w:r w:rsidRPr="00717C35">
        <w:t>degrees;</w:t>
      </w:r>
    </w:p>
    <w:p w14:paraId="7F73B838" w14:textId="75045981" w:rsidR="005D1C73" w:rsidRPr="00717C35" w:rsidRDefault="005D1C73" w:rsidP="00503511">
      <w:pPr>
        <w:pStyle w:val="enumlev2"/>
      </w:pPr>
      <w:r w:rsidRPr="00717C35">
        <w:t>b)</w:t>
      </w:r>
      <w:r w:rsidRPr="00717C35">
        <w:tab/>
        <w:t xml:space="preserve">The service area of a non-planned satellite network to be considered shall be on land and located within </w:t>
      </w:r>
      <w:r w:rsidR="00717C35" w:rsidRPr="00717C35">
        <w:t>−</w:t>
      </w:r>
      <w:r w:rsidRPr="00717C35">
        <w:t>3</w:t>
      </w:r>
      <w:r w:rsidR="002359F4" w:rsidRPr="00717C35">
        <w:t> </w:t>
      </w:r>
      <w:r w:rsidRPr="00717C35">
        <w:t xml:space="preserve">dB antenna gain contour of that non-planned satellite network instead of the submitted service area which may include the area with very low relative antenna gain contour. It is noted that the non-planned satellite network only protects a </w:t>
      </w:r>
      <w:r w:rsidR="003B3D62" w:rsidRPr="00717C35">
        <w:t>Resolution</w:t>
      </w:r>
      <w:r w:rsidR="002359F4" w:rsidRPr="00717C35">
        <w:t> </w:t>
      </w:r>
      <w:r w:rsidR="003B3D62" w:rsidRPr="00717C35">
        <w:rPr>
          <w:b/>
          <w:bCs/>
        </w:rPr>
        <w:t>559 (WRC</w:t>
      </w:r>
      <w:r w:rsidR="002359F4" w:rsidRPr="00717C35">
        <w:rPr>
          <w:b/>
          <w:bCs/>
        </w:rPr>
        <w:noBreakHyphen/>
      </w:r>
      <w:r w:rsidR="003B3D62" w:rsidRPr="00717C35">
        <w:rPr>
          <w:b/>
          <w:bCs/>
        </w:rPr>
        <w:t xml:space="preserve">19) </w:t>
      </w:r>
      <w:r w:rsidRPr="00717C35">
        <w:t xml:space="preserve">submission in a service area on land and situated within its </w:t>
      </w:r>
      <w:r w:rsidR="00717C35" w:rsidRPr="00717C35">
        <w:t>−</w:t>
      </w:r>
      <w:r w:rsidRPr="00717C35">
        <w:t>3</w:t>
      </w:r>
      <w:r w:rsidR="002359F4" w:rsidRPr="00717C35">
        <w:t> </w:t>
      </w:r>
      <w:r w:rsidRPr="00717C35">
        <w:t>dB antenna gain contour;</w:t>
      </w:r>
    </w:p>
    <w:p w14:paraId="156F37AE" w14:textId="65592D43" w:rsidR="005D1C73" w:rsidRPr="00717C35" w:rsidRDefault="005D1C73" w:rsidP="00503511">
      <w:pPr>
        <w:pStyle w:val="enumlev2"/>
      </w:pPr>
      <w:r w:rsidRPr="00717C35">
        <w:t>c)</w:t>
      </w:r>
      <w:r w:rsidRPr="00717C35">
        <w:tab/>
        <w:t>If an Administration agrees not to protect the area, situated inside its national territory, in which the pfd (power</w:t>
      </w:r>
      <w:r w:rsidR="00717C35">
        <w:t xml:space="preserve"> </w:t>
      </w:r>
      <w:r w:rsidRPr="00717C35">
        <w:t>flux</w:t>
      </w:r>
      <w:r w:rsidR="00717C35">
        <w:t>-</w:t>
      </w:r>
      <w:r w:rsidRPr="00717C35">
        <w:t xml:space="preserve">density) limit is exceeded, that part of the service area shall not be considered by the Bureau in reviewing the remaining coordination requirements of a </w:t>
      </w:r>
      <w:r w:rsidR="003B3D62" w:rsidRPr="00717C35">
        <w:t>Resolution</w:t>
      </w:r>
      <w:r w:rsidR="002359F4" w:rsidRPr="00717C35">
        <w:t> </w:t>
      </w:r>
      <w:r w:rsidR="003B3D62" w:rsidRPr="00717C35">
        <w:rPr>
          <w:b/>
          <w:bCs/>
        </w:rPr>
        <w:t>559 (WRC</w:t>
      </w:r>
      <w:r w:rsidR="002359F4" w:rsidRPr="00717C35">
        <w:rPr>
          <w:b/>
          <w:bCs/>
        </w:rPr>
        <w:noBreakHyphen/>
      </w:r>
      <w:r w:rsidR="003B3D62" w:rsidRPr="00717C35">
        <w:rPr>
          <w:b/>
          <w:bCs/>
        </w:rPr>
        <w:t>19)</w:t>
      </w:r>
      <w:r w:rsidRPr="00717C35">
        <w:t xml:space="preserve"> submission;</w:t>
      </w:r>
    </w:p>
    <w:p w14:paraId="66B7C116" w14:textId="3B832E47" w:rsidR="005D1C73" w:rsidRPr="00717C35" w:rsidRDefault="005D1C73" w:rsidP="00503511">
      <w:pPr>
        <w:pStyle w:val="enumlev2"/>
      </w:pPr>
      <w:r w:rsidRPr="00717C35">
        <w:t>d)</w:t>
      </w:r>
      <w:r w:rsidRPr="00717C35">
        <w:tab/>
        <w:t xml:space="preserve">The notifying Administration of a non-planned satellite network to accept possible interference produced to its service area located beyond </w:t>
      </w:r>
      <w:r w:rsidR="00717C35" w:rsidRPr="00717C35">
        <w:t>−</w:t>
      </w:r>
      <w:r w:rsidRPr="00717C35">
        <w:t>20</w:t>
      </w:r>
      <w:r w:rsidR="002359F4" w:rsidRPr="00717C35">
        <w:t> </w:t>
      </w:r>
      <w:r w:rsidRPr="00717C35">
        <w:t>dB antenna gain</w:t>
      </w:r>
      <w:r w:rsidR="002359F4" w:rsidRPr="00717C35">
        <w:t>s</w:t>
      </w:r>
      <w:r w:rsidRPr="00717C35">
        <w:t xml:space="preserve"> contour of the </w:t>
      </w:r>
      <w:r w:rsidR="003B3D62" w:rsidRPr="00717C35">
        <w:t>Resolution</w:t>
      </w:r>
      <w:r w:rsidR="002359F4" w:rsidRPr="00717C35">
        <w:t> </w:t>
      </w:r>
      <w:r w:rsidR="003B3D62" w:rsidRPr="00717C35">
        <w:rPr>
          <w:b/>
          <w:bCs/>
        </w:rPr>
        <w:t>559 (WRC</w:t>
      </w:r>
      <w:r w:rsidR="002359F4" w:rsidRPr="00717C35">
        <w:rPr>
          <w:b/>
          <w:bCs/>
        </w:rPr>
        <w:noBreakHyphen/>
      </w:r>
      <w:r w:rsidR="003B3D62" w:rsidRPr="00717C35">
        <w:rPr>
          <w:b/>
          <w:bCs/>
        </w:rPr>
        <w:t>19)</w:t>
      </w:r>
      <w:r w:rsidRPr="00717C35">
        <w:t xml:space="preserve"> submission concerned;</w:t>
      </w:r>
    </w:p>
    <w:p w14:paraId="32774FA5" w14:textId="03AEED90" w:rsidR="005D1C73" w:rsidRPr="00717C35" w:rsidRDefault="005D1C73" w:rsidP="00503511">
      <w:pPr>
        <w:pStyle w:val="enumlev1"/>
      </w:pPr>
      <w:r w:rsidRPr="00717C35">
        <w:lastRenderedPageBreak/>
        <w:t>4</w:t>
      </w:r>
      <w:r w:rsidRPr="00717C35">
        <w:tab/>
        <w:t>With respect to the remaining coordination cases under §</w:t>
      </w:r>
      <w:r w:rsidR="002359F4" w:rsidRPr="00717C35">
        <w:t> </w:t>
      </w:r>
      <w:r w:rsidRPr="00717C35">
        <w:t>4.1.1</w:t>
      </w:r>
      <w:r w:rsidR="002359F4" w:rsidRPr="00717C35">
        <w:t> </w:t>
      </w:r>
      <w:r w:rsidRPr="00717C35">
        <w:t>b) of</w:t>
      </w:r>
      <w:r w:rsidR="0065249E" w:rsidRPr="00717C35">
        <w:t xml:space="preserve"> RR </w:t>
      </w:r>
      <w:r w:rsidRPr="00717C35">
        <w:t>Appendix</w:t>
      </w:r>
      <w:r w:rsidR="002359F4" w:rsidRPr="00717C35">
        <w:t> </w:t>
      </w:r>
      <w:r w:rsidRPr="00717C35">
        <w:rPr>
          <w:rStyle w:val="Appref"/>
          <w:b/>
          <w:bCs/>
        </w:rPr>
        <w:t>30A</w:t>
      </w:r>
      <w:r w:rsidRPr="00717C35">
        <w:t>, the submitting Administrations propose WRC</w:t>
      </w:r>
      <w:r w:rsidR="002359F4" w:rsidRPr="00717C35">
        <w:noBreakHyphen/>
      </w:r>
      <w:r w:rsidRPr="00717C35">
        <w:t xml:space="preserve">23 approve that the remaining coordination cases are deemed to be completed </w:t>
      </w:r>
      <w:proofErr w:type="gramStart"/>
      <w:r w:rsidRPr="00717C35">
        <w:t>due to the fact that</w:t>
      </w:r>
      <w:proofErr w:type="gramEnd"/>
      <w:r w:rsidRPr="00717C35">
        <w:t>:</w:t>
      </w:r>
    </w:p>
    <w:p w14:paraId="263740F0" w14:textId="3FD1284E" w:rsidR="005D1C73" w:rsidRPr="00717C35" w:rsidRDefault="005D1C73" w:rsidP="00503511">
      <w:pPr>
        <w:pStyle w:val="enumlev2"/>
      </w:pPr>
      <w:r w:rsidRPr="00717C35">
        <w:t>a)</w:t>
      </w:r>
      <w:r w:rsidRPr="00717C35">
        <w:tab/>
        <w:t>The Article</w:t>
      </w:r>
      <w:r w:rsidR="002359F4" w:rsidRPr="00717C35">
        <w:t> </w:t>
      </w:r>
      <w:r w:rsidRPr="00717C35">
        <w:t xml:space="preserve">4 satellite networks have very large coverage with very high receiving sensitivity over the national territory of the </w:t>
      </w:r>
      <w:r w:rsidR="003B3D62" w:rsidRPr="00717C35">
        <w:t>Resolution</w:t>
      </w:r>
      <w:r w:rsidR="002359F4" w:rsidRPr="00717C35">
        <w:t> </w:t>
      </w:r>
      <w:r w:rsidR="003B3D62" w:rsidRPr="00717C35">
        <w:rPr>
          <w:b/>
          <w:bCs/>
        </w:rPr>
        <w:t>559 (WRC</w:t>
      </w:r>
      <w:r w:rsidR="002359F4" w:rsidRPr="00717C35">
        <w:rPr>
          <w:b/>
          <w:bCs/>
        </w:rPr>
        <w:noBreakHyphen/>
      </w:r>
      <w:r w:rsidR="003B3D62" w:rsidRPr="00717C35">
        <w:rPr>
          <w:b/>
          <w:bCs/>
        </w:rPr>
        <w:t>19)</w:t>
      </w:r>
      <w:r w:rsidRPr="00717C35">
        <w:t xml:space="preserve"> Administration concerned;</w:t>
      </w:r>
    </w:p>
    <w:p w14:paraId="30C3026B" w14:textId="0C000769" w:rsidR="005D1C73" w:rsidRPr="00717C35" w:rsidRDefault="005D1C73" w:rsidP="00503511">
      <w:pPr>
        <w:pStyle w:val="enumlev2"/>
      </w:pPr>
      <w:r w:rsidRPr="00717C35">
        <w:t>b)</w:t>
      </w:r>
      <w:r w:rsidRPr="00717C35">
        <w:tab/>
        <w:t>The coverage areas of those Article</w:t>
      </w:r>
      <w:r w:rsidR="002359F4" w:rsidRPr="00717C35">
        <w:t> </w:t>
      </w:r>
      <w:r w:rsidRPr="00717C35">
        <w:t xml:space="preserve">4 satellite networks extend far beyond the national territory of the notifying Administrations whereas feeder-link earth stations of the </w:t>
      </w:r>
      <w:r w:rsidR="00860CFC" w:rsidRPr="00717C35">
        <w:t>Resolution</w:t>
      </w:r>
      <w:r w:rsidR="002359F4" w:rsidRPr="00717C35">
        <w:t> </w:t>
      </w:r>
      <w:r w:rsidR="00860CFC" w:rsidRPr="00717C35">
        <w:rPr>
          <w:b/>
          <w:bCs/>
        </w:rPr>
        <w:t>559 (WRC</w:t>
      </w:r>
      <w:r w:rsidR="002359F4" w:rsidRPr="00717C35">
        <w:rPr>
          <w:b/>
          <w:bCs/>
        </w:rPr>
        <w:noBreakHyphen/>
      </w:r>
      <w:r w:rsidR="00860CFC" w:rsidRPr="00717C35">
        <w:rPr>
          <w:b/>
          <w:bCs/>
        </w:rPr>
        <w:t xml:space="preserve">19) </w:t>
      </w:r>
      <w:r w:rsidRPr="00717C35">
        <w:t>submission concerned are only located inside the national territory and that cannot be further reduced;</w:t>
      </w:r>
    </w:p>
    <w:p w14:paraId="4440846F" w14:textId="7B4A6724" w:rsidR="005D1C73" w:rsidRPr="00717C35" w:rsidRDefault="005D1C73" w:rsidP="00503511">
      <w:pPr>
        <w:pStyle w:val="enumlev2"/>
      </w:pPr>
      <w:r w:rsidRPr="00717C35">
        <w:t>c)</w:t>
      </w:r>
      <w:r w:rsidRPr="00717C35">
        <w:tab/>
        <w:t>The objective of Resolution</w:t>
      </w:r>
      <w:r w:rsidR="002359F4" w:rsidRPr="00717C35">
        <w:t> </w:t>
      </w:r>
      <w:r w:rsidRPr="00717C35">
        <w:rPr>
          <w:b/>
          <w:bCs/>
        </w:rPr>
        <w:t>2 (Rev.WRC</w:t>
      </w:r>
      <w:r w:rsidR="002359F4" w:rsidRPr="00717C35">
        <w:rPr>
          <w:b/>
          <w:bCs/>
        </w:rPr>
        <w:noBreakHyphen/>
      </w:r>
      <w:r w:rsidRPr="00717C35">
        <w:rPr>
          <w:b/>
          <w:bCs/>
        </w:rPr>
        <w:t>03)</w:t>
      </w:r>
      <w:r w:rsidRPr="00717C35">
        <w:t xml:space="preserve"> and Topic</w:t>
      </w:r>
      <w:r w:rsidR="002359F4" w:rsidRPr="00717C35">
        <w:t> </w:t>
      </w:r>
      <w:r w:rsidRPr="00717C35">
        <w:t>F of WRC</w:t>
      </w:r>
      <w:r w:rsidR="002359F4" w:rsidRPr="00717C35">
        <w:noBreakHyphen/>
      </w:r>
      <w:r w:rsidRPr="00717C35">
        <w:t>23 Agenda item</w:t>
      </w:r>
      <w:r w:rsidR="002359F4" w:rsidRPr="00717C35">
        <w:t> </w:t>
      </w:r>
      <w:r w:rsidRPr="00717C35">
        <w:t>7.</w:t>
      </w:r>
    </w:p>
    <w:p w14:paraId="7A256DB0" w14:textId="1321BA56" w:rsidR="005D1C73" w:rsidRPr="00717C35" w:rsidRDefault="005D1C73" w:rsidP="00503511">
      <w:pPr>
        <w:pStyle w:val="enumlev1"/>
      </w:pPr>
      <w:r w:rsidRPr="00717C35">
        <w:t>5</w:t>
      </w:r>
      <w:r w:rsidRPr="00717C35">
        <w:tab/>
        <w:t>With respect to the remaining coordination cases under §</w:t>
      </w:r>
      <w:r w:rsidR="002359F4" w:rsidRPr="00717C35">
        <w:t> </w:t>
      </w:r>
      <w:r w:rsidRPr="00717C35">
        <w:t>4.1.1</w:t>
      </w:r>
      <w:r w:rsidR="002359F4" w:rsidRPr="00717C35">
        <w:t> </w:t>
      </w:r>
      <w:r w:rsidRPr="00717C35">
        <w:t xml:space="preserve">a) of </w:t>
      </w:r>
      <w:r w:rsidR="0065249E" w:rsidRPr="00717C35">
        <w:t xml:space="preserve">RR </w:t>
      </w:r>
      <w:r w:rsidRPr="00717C35">
        <w:t>Appendices</w:t>
      </w:r>
      <w:r w:rsidR="002359F4" w:rsidRPr="00717C35">
        <w:t> </w:t>
      </w:r>
      <w:r w:rsidRPr="00717C35">
        <w:rPr>
          <w:rStyle w:val="Appref"/>
          <w:b/>
          <w:bCs/>
        </w:rPr>
        <w:t>30</w:t>
      </w:r>
      <w:r w:rsidRPr="00717C35">
        <w:rPr>
          <w:b/>
          <w:bCs/>
        </w:rPr>
        <w:t xml:space="preserve"> </w:t>
      </w:r>
      <w:r w:rsidRPr="00717C35">
        <w:t>and</w:t>
      </w:r>
      <w:r w:rsidR="002359F4" w:rsidRPr="00717C35">
        <w:t> </w:t>
      </w:r>
      <w:r w:rsidRPr="00717C35">
        <w:rPr>
          <w:rStyle w:val="Appref"/>
          <w:b/>
          <w:bCs/>
        </w:rPr>
        <w:t>30A</w:t>
      </w:r>
      <w:r w:rsidRPr="00717C35">
        <w:t>, the submitting Administrations propose WRC</w:t>
      </w:r>
      <w:r w:rsidR="002359F4" w:rsidRPr="00717C35">
        <w:noBreakHyphen/>
      </w:r>
      <w:r w:rsidRPr="00717C35">
        <w:t>23 approve the following measures/proposals:</w:t>
      </w:r>
    </w:p>
    <w:p w14:paraId="08EDF133" w14:textId="335F2DA6" w:rsidR="005D1C73" w:rsidRPr="00717C35" w:rsidRDefault="005D1C73" w:rsidP="00946785">
      <w:pPr>
        <w:ind w:left="1134" w:hanging="1134"/>
      </w:pPr>
      <w:r w:rsidRPr="00717C35">
        <w:t>a)</w:t>
      </w:r>
      <w:r w:rsidRPr="00717C35">
        <w:tab/>
        <w:t>For multi-beam Plan assignments, if downlink single-entry C/I</w:t>
      </w:r>
      <w:r w:rsidR="002359F4" w:rsidRPr="00717C35">
        <w:t xml:space="preserve"> </w:t>
      </w:r>
      <w:r w:rsidRPr="00717C35">
        <w:t>values are above 21</w:t>
      </w:r>
      <w:r w:rsidR="002359F4" w:rsidRPr="00717C35">
        <w:t> </w:t>
      </w:r>
      <w:r w:rsidRPr="00717C35">
        <w:t>dB except for one test-point where single-entry C/I is greater than 18</w:t>
      </w:r>
      <w:r w:rsidR="002359F4" w:rsidRPr="00717C35">
        <w:t> </w:t>
      </w:r>
      <w:r w:rsidRPr="00717C35">
        <w:t xml:space="preserve">dB, </w:t>
      </w:r>
      <w:r w:rsidR="00670529" w:rsidRPr="00717C35">
        <w:t>Resolution</w:t>
      </w:r>
      <w:r w:rsidR="002359F4" w:rsidRPr="00717C35">
        <w:t> </w:t>
      </w:r>
      <w:r w:rsidR="00670529" w:rsidRPr="00717C35">
        <w:rPr>
          <w:b/>
          <w:bCs/>
        </w:rPr>
        <w:t>559 (WRC</w:t>
      </w:r>
      <w:r w:rsidR="002359F4" w:rsidRPr="00717C35">
        <w:rPr>
          <w:b/>
          <w:bCs/>
        </w:rPr>
        <w:noBreakHyphen/>
      </w:r>
      <w:r w:rsidR="00670529" w:rsidRPr="00717C35">
        <w:rPr>
          <w:b/>
          <w:bCs/>
        </w:rPr>
        <w:t>19)</w:t>
      </w:r>
      <w:r w:rsidRPr="00717C35">
        <w:t xml:space="preserve"> submissions and the corresponding Regions</w:t>
      </w:r>
      <w:r w:rsidR="002359F4" w:rsidRPr="00717C35">
        <w:t> </w:t>
      </w:r>
      <w:r w:rsidRPr="00717C35">
        <w:t>1 and</w:t>
      </w:r>
      <w:r w:rsidR="002359F4" w:rsidRPr="00717C35">
        <w:t> </w:t>
      </w:r>
      <w:r w:rsidRPr="00717C35">
        <w:t xml:space="preserve">3 Plan frequency assignments are considered compatible. </w:t>
      </w:r>
      <w:proofErr w:type="gramStart"/>
      <w:r w:rsidRPr="00717C35">
        <w:t>In order to</w:t>
      </w:r>
      <w:proofErr w:type="gramEnd"/>
      <w:r w:rsidRPr="00717C35">
        <w:t xml:space="preserve"> preserve the same level of protection for such compatible cases of those Regions</w:t>
      </w:r>
      <w:r w:rsidR="002359F4" w:rsidRPr="00717C35">
        <w:t> </w:t>
      </w:r>
      <w:r w:rsidRPr="00717C35">
        <w:t>1 and</w:t>
      </w:r>
      <w:r w:rsidR="002359F4" w:rsidRPr="00717C35">
        <w:t> </w:t>
      </w:r>
      <w:r w:rsidRPr="00717C35">
        <w:t>3 Plan frequency assignments from incoming Article</w:t>
      </w:r>
      <w:r w:rsidR="002359F4" w:rsidRPr="00717C35">
        <w:t> </w:t>
      </w:r>
      <w:r w:rsidRPr="00717C35">
        <w:t>4 submissions, the reference situation of those Regions</w:t>
      </w:r>
      <w:r w:rsidR="002359F4" w:rsidRPr="00717C35">
        <w:t> </w:t>
      </w:r>
      <w:r w:rsidRPr="00717C35">
        <w:t>1 and</w:t>
      </w:r>
      <w:r w:rsidR="002359F4" w:rsidRPr="00717C35">
        <w:t> </w:t>
      </w:r>
      <w:r w:rsidRPr="00717C35">
        <w:t xml:space="preserve">3 Plan frequency assignments shall not be updated when the </w:t>
      </w:r>
      <w:r w:rsidR="002A0169" w:rsidRPr="00717C35">
        <w:t>Resolution</w:t>
      </w:r>
      <w:r w:rsidR="002359F4" w:rsidRPr="00717C35">
        <w:t> </w:t>
      </w:r>
      <w:r w:rsidR="002A0169" w:rsidRPr="00717C35">
        <w:rPr>
          <w:b/>
          <w:bCs/>
        </w:rPr>
        <w:t>559 (WRC</w:t>
      </w:r>
      <w:r w:rsidR="002359F4" w:rsidRPr="00717C35">
        <w:rPr>
          <w:b/>
          <w:bCs/>
        </w:rPr>
        <w:noBreakHyphen/>
      </w:r>
      <w:r w:rsidR="002A0169" w:rsidRPr="00717C35">
        <w:rPr>
          <w:b/>
          <w:bCs/>
        </w:rPr>
        <w:t>19)</w:t>
      </w:r>
      <w:r w:rsidRPr="00717C35">
        <w:t xml:space="preserve"> frequency assignments in the List are included in the Plans;</w:t>
      </w:r>
    </w:p>
    <w:p w14:paraId="2B4AF989" w14:textId="65671B16" w:rsidR="005D1C73" w:rsidRPr="00717C35" w:rsidRDefault="005D1C73" w:rsidP="00946785">
      <w:pPr>
        <w:ind w:left="1134" w:hanging="1134"/>
      </w:pPr>
      <w:r w:rsidRPr="00717C35">
        <w:t>b)</w:t>
      </w:r>
      <w:r w:rsidRPr="00717C35">
        <w:tab/>
        <w:t>For multi-beam Plan assignments, if feeder-link single-entry C/I values are above 27</w:t>
      </w:r>
      <w:r w:rsidR="00670529" w:rsidRPr="00717C35">
        <w:t> </w:t>
      </w:r>
      <w:r w:rsidRPr="00717C35">
        <w:t xml:space="preserve">dB, </w:t>
      </w:r>
      <w:r w:rsidR="00670529" w:rsidRPr="00717C35">
        <w:t>Resolution</w:t>
      </w:r>
      <w:r w:rsidR="002359F4" w:rsidRPr="00717C35">
        <w:t> </w:t>
      </w:r>
      <w:r w:rsidR="00670529" w:rsidRPr="00717C35">
        <w:rPr>
          <w:b/>
          <w:bCs/>
        </w:rPr>
        <w:t>559 (WRC</w:t>
      </w:r>
      <w:r w:rsidR="002359F4" w:rsidRPr="00717C35">
        <w:rPr>
          <w:b/>
          <w:bCs/>
        </w:rPr>
        <w:noBreakHyphen/>
      </w:r>
      <w:r w:rsidR="00670529" w:rsidRPr="00717C35">
        <w:rPr>
          <w:b/>
          <w:bCs/>
        </w:rPr>
        <w:t>19)</w:t>
      </w:r>
      <w:r w:rsidRPr="00717C35">
        <w:t xml:space="preserve"> submissions and the corresponding Regions</w:t>
      </w:r>
      <w:r w:rsidR="002359F4" w:rsidRPr="00717C35">
        <w:t> </w:t>
      </w:r>
      <w:r w:rsidRPr="00717C35">
        <w:t>1 and</w:t>
      </w:r>
      <w:r w:rsidR="002359F4" w:rsidRPr="00717C35">
        <w:t> </w:t>
      </w:r>
      <w:r w:rsidRPr="00717C35">
        <w:t>3</w:t>
      </w:r>
      <w:r w:rsidR="002359F4" w:rsidRPr="00717C35">
        <w:t xml:space="preserve"> </w:t>
      </w:r>
      <w:r w:rsidRPr="00717C35">
        <w:t xml:space="preserve">Plan frequency assignments are considered compatible. </w:t>
      </w:r>
      <w:proofErr w:type="gramStart"/>
      <w:r w:rsidRPr="00717C35">
        <w:t>In order to</w:t>
      </w:r>
      <w:proofErr w:type="gramEnd"/>
      <w:r w:rsidRPr="00717C35">
        <w:t xml:space="preserve"> preserve the same level of protection for such compatible cases of those Regions</w:t>
      </w:r>
      <w:r w:rsidR="002359F4" w:rsidRPr="00717C35">
        <w:t> </w:t>
      </w:r>
      <w:r w:rsidRPr="00717C35">
        <w:t>1 and</w:t>
      </w:r>
      <w:r w:rsidR="002359F4" w:rsidRPr="00717C35">
        <w:t> </w:t>
      </w:r>
      <w:r w:rsidRPr="00717C35">
        <w:t>3 Plan frequency assignments from incoming Article</w:t>
      </w:r>
      <w:r w:rsidR="002359F4" w:rsidRPr="00717C35">
        <w:t> </w:t>
      </w:r>
      <w:r w:rsidRPr="00717C35">
        <w:t>4 submissions, the reference situation of those Regions</w:t>
      </w:r>
      <w:r w:rsidR="002359F4" w:rsidRPr="00717C35">
        <w:t> </w:t>
      </w:r>
      <w:r w:rsidRPr="00717C35">
        <w:t>1 and</w:t>
      </w:r>
      <w:r w:rsidR="002359F4" w:rsidRPr="00717C35">
        <w:t> </w:t>
      </w:r>
      <w:r w:rsidRPr="00717C35">
        <w:t xml:space="preserve">3 Plan frequency assignments shall not be updated when the </w:t>
      </w:r>
      <w:r w:rsidR="00670529" w:rsidRPr="00717C35">
        <w:t>Resolution</w:t>
      </w:r>
      <w:r w:rsidR="002359F4" w:rsidRPr="00717C35">
        <w:t> </w:t>
      </w:r>
      <w:r w:rsidR="00670529" w:rsidRPr="00717C35">
        <w:rPr>
          <w:b/>
          <w:bCs/>
        </w:rPr>
        <w:t>559 (WRC</w:t>
      </w:r>
      <w:r w:rsidR="002359F4" w:rsidRPr="00717C35">
        <w:rPr>
          <w:b/>
          <w:bCs/>
        </w:rPr>
        <w:noBreakHyphen/>
      </w:r>
      <w:r w:rsidR="00670529" w:rsidRPr="00717C35">
        <w:rPr>
          <w:b/>
          <w:bCs/>
        </w:rPr>
        <w:t>19)</w:t>
      </w:r>
      <w:r w:rsidRPr="00717C35">
        <w:t xml:space="preserve"> frequency assignments in the List are included in the Plans;</w:t>
      </w:r>
    </w:p>
    <w:p w14:paraId="7653C599" w14:textId="77777777" w:rsidR="005D1C73" w:rsidRPr="00717C35" w:rsidRDefault="005D1C73" w:rsidP="00503511">
      <w:pPr>
        <w:pStyle w:val="enumlev1"/>
      </w:pPr>
      <w:r w:rsidRPr="00717C35">
        <w:t>6</w:t>
      </w:r>
      <w:r w:rsidRPr="00717C35">
        <w:tab/>
        <w:t>The Bureau shall:</w:t>
      </w:r>
    </w:p>
    <w:p w14:paraId="06D06DB4" w14:textId="37A7BE56" w:rsidR="005D1C73" w:rsidRPr="00717C35" w:rsidRDefault="005D1C73" w:rsidP="00503511">
      <w:pPr>
        <w:pStyle w:val="enumlev2"/>
      </w:pPr>
      <w:r w:rsidRPr="00717C35">
        <w:t>a)</w:t>
      </w:r>
      <w:r w:rsidRPr="00717C35">
        <w:tab/>
        <w:t xml:space="preserve">review the status of all the remaining coordination cases </w:t>
      </w:r>
      <w:proofErr w:type="gramStart"/>
      <w:r w:rsidRPr="00717C35">
        <w:t>taking into account</w:t>
      </w:r>
      <w:proofErr w:type="gramEnd"/>
      <w:r w:rsidRPr="00717C35">
        <w:t xml:space="preserve"> all the above-mentioned proposals including those of the RRB and BR. In this connection, for the remaining coordination cases under §</w:t>
      </w:r>
      <w:r w:rsidR="002359F4" w:rsidRPr="00717C35">
        <w:t> </w:t>
      </w:r>
      <w:r w:rsidRPr="00717C35">
        <w:t>4.1.1</w:t>
      </w:r>
      <w:r w:rsidR="002359F4" w:rsidRPr="00717C35">
        <w:t> </w:t>
      </w:r>
      <w:r w:rsidRPr="00717C35">
        <w:t xml:space="preserve">b) of </w:t>
      </w:r>
      <w:r w:rsidR="0065249E" w:rsidRPr="00717C35">
        <w:t xml:space="preserve">RR </w:t>
      </w:r>
      <w:r w:rsidRPr="00717C35">
        <w:t>Appendix </w:t>
      </w:r>
      <w:r w:rsidRPr="00717C35">
        <w:rPr>
          <w:rStyle w:val="Appref"/>
          <w:b/>
          <w:bCs/>
        </w:rPr>
        <w:t>30</w:t>
      </w:r>
      <w:r w:rsidRPr="00717C35">
        <w:t xml:space="preserve">, if after </w:t>
      </w:r>
      <w:proofErr w:type="gramStart"/>
      <w:r w:rsidRPr="00717C35">
        <w:t>taking into account</w:t>
      </w:r>
      <w:proofErr w:type="gramEnd"/>
      <w:r w:rsidRPr="00717C35">
        <w:t xml:space="preserve"> all the above-mentioned proposals, there is only one remaining test-point potentially affected, the coordination is deemed to be completed</w:t>
      </w:r>
      <w:r w:rsidR="00717C35" w:rsidRPr="00717C35">
        <w:t>;</w:t>
      </w:r>
    </w:p>
    <w:p w14:paraId="050D5442" w14:textId="5210C422" w:rsidR="005D1C73" w:rsidRPr="00717C35" w:rsidRDefault="005D1C73" w:rsidP="00503511">
      <w:pPr>
        <w:pStyle w:val="enumlev2"/>
      </w:pPr>
      <w:r w:rsidRPr="00717C35">
        <w:t>b)</w:t>
      </w:r>
      <w:r w:rsidRPr="00717C35">
        <w:tab/>
        <w:t>apply all the measures endorsed by WRC</w:t>
      </w:r>
      <w:r w:rsidR="002359F4" w:rsidRPr="00717C35">
        <w:noBreakHyphen/>
      </w:r>
      <w:r w:rsidRPr="00717C35">
        <w:t>23 to the Res</w:t>
      </w:r>
      <w:r w:rsidR="002359F4" w:rsidRPr="00717C35">
        <w:t>olution </w:t>
      </w:r>
      <w:r w:rsidRPr="00717C35">
        <w:rPr>
          <w:b/>
          <w:bCs/>
        </w:rPr>
        <w:t>559</w:t>
      </w:r>
      <w:r w:rsidRPr="00717C35">
        <w:t xml:space="preserve"> submissions of the Administrations of AFG, GNE, MLT and SEY and to the future applications of §</w:t>
      </w:r>
      <w:r w:rsidR="002359F4" w:rsidRPr="00717C35">
        <w:t> </w:t>
      </w:r>
      <w:r w:rsidRPr="00717C35">
        <w:t>4.1.26 or §</w:t>
      </w:r>
      <w:r w:rsidR="002359F4" w:rsidRPr="00717C35">
        <w:t> </w:t>
      </w:r>
      <w:r w:rsidRPr="00717C35">
        <w:t>4.1.27 of Article</w:t>
      </w:r>
      <w:r w:rsidR="002359F4" w:rsidRPr="00717C35">
        <w:t> </w:t>
      </w:r>
      <w:r w:rsidRPr="00717C35">
        <w:t xml:space="preserve">4 of </w:t>
      </w:r>
      <w:r w:rsidR="0065249E" w:rsidRPr="00717C35">
        <w:t xml:space="preserve">RR </w:t>
      </w:r>
      <w:r w:rsidRPr="00717C35">
        <w:t>Appendices</w:t>
      </w:r>
      <w:r w:rsidR="002359F4" w:rsidRPr="00717C35">
        <w:t> </w:t>
      </w:r>
      <w:r w:rsidRPr="00717C35">
        <w:rPr>
          <w:rStyle w:val="Appref"/>
          <w:b/>
          <w:bCs/>
        </w:rPr>
        <w:t>30</w:t>
      </w:r>
      <w:r w:rsidRPr="00717C35">
        <w:t xml:space="preserve"> and</w:t>
      </w:r>
      <w:r w:rsidR="002359F4" w:rsidRPr="00717C35">
        <w:t> </w:t>
      </w:r>
      <w:r w:rsidRPr="00717C35">
        <w:rPr>
          <w:rStyle w:val="Appref"/>
          <w:b/>
          <w:bCs/>
        </w:rPr>
        <w:t>30A</w:t>
      </w:r>
      <w:r w:rsidRPr="00717C35">
        <w:t xml:space="preserve">, which </w:t>
      </w:r>
      <w:r w:rsidR="002359F4" w:rsidRPr="00717C35">
        <w:t>have</w:t>
      </w:r>
      <w:r w:rsidRPr="00717C35">
        <w:t xml:space="preserve"> the same nature as Resolution</w:t>
      </w:r>
      <w:r w:rsidR="002359F4" w:rsidRPr="00717C35">
        <w:t> </w:t>
      </w:r>
      <w:r w:rsidRPr="00717C35">
        <w:rPr>
          <w:b/>
          <w:bCs/>
        </w:rPr>
        <w:t>559 (WRC</w:t>
      </w:r>
      <w:r w:rsidR="002359F4" w:rsidRPr="00717C35">
        <w:rPr>
          <w:b/>
          <w:bCs/>
        </w:rPr>
        <w:noBreakHyphen/>
      </w:r>
      <w:r w:rsidRPr="00717C35">
        <w:rPr>
          <w:b/>
          <w:bCs/>
        </w:rPr>
        <w:t>19)</w:t>
      </w:r>
      <w:r w:rsidRPr="00717C35">
        <w:t>.</w:t>
      </w:r>
    </w:p>
    <w:p w14:paraId="090EFE35" w14:textId="77777777" w:rsidR="002734C6" w:rsidRPr="00717C35" w:rsidRDefault="002734C6" w:rsidP="00717C35"/>
    <w:p w14:paraId="1A95FD44" w14:textId="4A699DC7" w:rsidR="005D1C73" w:rsidRDefault="005D1C73" w:rsidP="005D1C73">
      <w:pPr>
        <w:jc w:val="center"/>
      </w:pPr>
      <w:r>
        <w:t>______________</w:t>
      </w:r>
    </w:p>
    <w:sectPr w:rsidR="005D1C73">
      <w:headerReference w:type="default" r:id="rId17"/>
      <w:footerReference w:type="even" r:id="rId18"/>
      <w:footerReference w:type="default" r:id="rId19"/>
      <w:footerReference w:type="first" r:id="rId2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C004" w14:textId="77777777" w:rsidR="00DF4547" w:rsidRDefault="00DF4547">
      <w:r>
        <w:separator/>
      </w:r>
    </w:p>
  </w:endnote>
  <w:endnote w:type="continuationSeparator" w:id="0">
    <w:p w14:paraId="0D09D219" w14:textId="77777777" w:rsidR="00DF4547" w:rsidRDefault="00DF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B9B6" w14:textId="77777777" w:rsidR="00E45D05" w:rsidRDefault="00E45D05">
    <w:pPr>
      <w:framePr w:wrap="around" w:vAnchor="text" w:hAnchor="margin" w:xAlign="right" w:y="1"/>
    </w:pPr>
    <w:r>
      <w:fldChar w:fldCharType="begin"/>
    </w:r>
    <w:r>
      <w:instrText xml:space="preserve">PAGE  </w:instrText>
    </w:r>
    <w:r>
      <w:fldChar w:fldCharType="end"/>
    </w:r>
  </w:p>
  <w:p w14:paraId="35D13377" w14:textId="5CF0C45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17C35">
      <w:rPr>
        <w:noProof/>
      </w:rPr>
      <w:t>27.10.23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3D1C" w14:textId="46B8F7C2" w:rsidR="00E45D05" w:rsidRDefault="00E45D05" w:rsidP="009B1EA1">
    <w:pPr>
      <w:pStyle w:val="Footer"/>
    </w:pPr>
    <w:r>
      <w:fldChar w:fldCharType="begin"/>
    </w:r>
    <w:r w:rsidRPr="0041348E">
      <w:rPr>
        <w:lang w:val="en-US"/>
      </w:rPr>
      <w:instrText xml:space="preserve"> FILENAME \p  \* MERGEFORMAT </w:instrText>
    </w:r>
    <w:r>
      <w:fldChar w:fldCharType="separate"/>
    </w:r>
    <w:r w:rsidR="002A32D4">
      <w:rPr>
        <w:lang w:val="en-US"/>
      </w:rPr>
      <w:t>P:\ENG\ITU-R\CONF-R\CMR23\000\087ADD26E.docx</w:t>
    </w:r>
    <w:r>
      <w:fldChar w:fldCharType="end"/>
    </w:r>
    <w:r w:rsidR="002A32D4">
      <w:t xml:space="preserve"> (530018)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521A" w14:textId="438CAD4D" w:rsidR="002A32D4" w:rsidRDefault="002A32D4">
    <w:pPr>
      <w:pStyle w:val="Footer"/>
    </w:pPr>
    <w:r>
      <w:fldChar w:fldCharType="begin"/>
    </w:r>
    <w:r w:rsidRPr="0041348E">
      <w:rPr>
        <w:lang w:val="en-US"/>
      </w:rPr>
      <w:instrText xml:space="preserve"> FILENAME \p  \* MERGEFORMAT </w:instrText>
    </w:r>
    <w:r>
      <w:fldChar w:fldCharType="separate"/>
    </w:r>
    <w:r>
      <w:rPr>
        <w:lang w:val="en-US"/>
      </w:rPr>
      <w:t>P:\ENG\ITU-R\CONF-R\CMR23\000\087ADD26E.docx</w:t>
    </w:r>
    <w:r>
      <w:fldChar w:fldCharType="end"/>
    </w:r>
    <w:r>
      <w:t xml:space="preserve"> (530018)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6DE5" w14:textId="77777777" w:rsidR="00DF4547" w:rsidRDefault="00DF4547">
      <w:r>
        <w:rPr>
          <w:b/>
        </w:rPr>
        <w:t>_______________</w:t>
      </w:r>
    </w:p>
  </w:footnote>
  <w:footnote w:type="continuationSeparator" w:id="0">
    <w:p w14:paraId="051A138B" w14:textId="77777777" w:rsidR="00DF4547" w:rsidRDefault="00DF4547">
      <w:r>
        <w:continuationSeparator/>
      </w:r>
    </w:p>
  </w:footnote>
  <w:footnote w:id="1">
    <w:p w14:paraId="6B660E7D" w14:textId="57DF09F9" w:rsidR="005D1C73" w:rsidRPr="00D31FC0" w:rsidRDefault="005D1C73" w:rsidP="005D1C73">
      <w:pPr>
        <w:pStyle w:val="FootnoteText"/>
        <w:rPr>
          <w:lang w:val="en-US"/>
        </w:rPr>
      </w:pPr>
      <w:r>
        <w:rPr>
          <w:rStyle w:val="FootnoteReference"/>
        </w:rPr>
        <w:footnoteRef/>
      </w:r>
      <w:r w:rsidR="009D7647">
        <w:tab/>
      </w:r>
      <w:r w:rsidRPr="00D31FC0">
        <w:t xml:space="preserve">Submissions under Resolution </w:t>
      </w:r>
      <w:r w:rsidRPr="00717C35">
        <w:rPr>
          <w:b/>
          <w:bCs/>
        </w:rPr>
        <w:t>559 (WRC</w:t>
      </w:r>
      <w:r w:rsidR="0009256F" w:rsidRPr="00717C35">
        <w:rPr>
          <w:b/>
          <w:bCs/>
        </w:rPr>
        <w:noBreakHyphen/>
      </w:r>
      <w:r w:rsidRPr="00717C35">
        <w:rPr>
          <w:b/>
          <w:bCs/>
        </w:rPr>
        <w:t>19)</w:t>
      </w:r>
      <w:r w:rsidRPr="00D31FC0">
        <w:t xml:space="preserve"> and under Article</w:t>
      </w:r>
      <w:r w:rsidR="0009256F">
        <w:t> </w:t>
      </w:r>
      <w:r w:rsidRPr="00717C35">
        <w:t>4</w:t>
      </w:r>
      <w:r w:rsidRPr="00D31FC0">
        <w:t xml:space="preserve"> of RR Appendices</w:t>
      </w:r>
      <w:r w:rsidR="0009256F">
        <w:t> </w:t>
      </w:r>
      <w:r w:rsidRPr="00717C35">
        <w:rPr>
          <w:b/>
          <w:bCs/>
        </w:rPr>
        <w:t>30</w:t>
      </w:r>
      <w:r w:rsidRPr="00D31FC0">
        <w:t xml:space="preserve"> and</w:t>
      </w:r>
      <w:r w:rsidR="0009256F">
        <w:t> </w:t>
      </w:r>
      <w:r w:rsidR="0009256F" w:rsidRPr="00717C35">
        <w:rPr>
          <w:b/>
          <w:bCs/>
        </w:rPr>
        <w:t>3</w:t>
      </w:r>
      <w:r w:rsidRPr="00717C35">
        <w:rPr>
          <w:b/>
          <w:bCs/>
        </w:rPr>
        <w:t>0A</w:t>
      </w:r>
      <w:r w:rsidRPr="00D31FC0">
        <w:t xml:space="preserve"> from the Administrations of Mauritius</w:t>
      </w:r>
      <w:r>
        <w:t>,</w:t>
      </w:r>
      <w:r w:rsidRPr="00B54427">
        <w:t xml:space="preserve"> </w:t>
      </w:r>
      <w:r w:rsidRPr="00D31FC0">
        <w:t>Madagascar</w:t>
      </w:r>
      <w:r>
        <w:t xml:space="preserve"> and</w:t>
      </w:r>
      <w:r w:rsidRPr="00D31FC0">
        <w:t xml:space="preserve"> Seychelles</w:t>
      </w:r>
      <w:r>
        <w:t>. They are referred to as Res</w:t>
      </w:r>
      <w:r w:rsidR="0009256F">
        <w:t>olution </w:t>
      </w:r>
      <w:r w:rsidR="0009256F">
        <w:rPr>
          <w:b/>
          <w:bCs/>
        </w:rPr>
        <w:t>559</w:t>
      </w:r>
      <w:r>
        <w:t xml:space="preserve"> submissions.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275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4951E49" w14:textId="77777777" w:rsidR="00A066F1" w:rsidRPr="00A066F1" w:rsidRDefault="00BC75DE" w:rsidP="00241FA2">
    <w:pPr>
      <w:pStyle w:val="Header"/>
    </w:pPr>
    <w:r>
      <w:t>WRC</w:t>
    </w:r>
    <w:r w:rsidR="006D70B0">
      <w:t>23</w:t>
    </w:r>
    <w:r w:rsidR="00A066F1">
      <w:t>/</w:t>
    </w:r>
    <w:bookmarkStart w:id="16" w:name="OLE_LINK1"/>
    <w:bookmarkStart w:id="17" w:name="OLE_LINK2"/>
    <w:bookmarkStart w:id="18" w:name="OLE_LINK3"/>
    <w:r w:rsidR="00EB55C6">
      <w:t>87(Add.26)</w:t>
    </w:r>
    <w:bookmarkEnd w:id="16"/>
    <w:bookmarkEnd w:id="17"/>
    <w:bookmarkEnd w:id="1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3166CE9"/>
    <w:multiLevelType w:val="hybridMultilevel"/>
    <w:tmpl w:val="1D7C73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614175">
    <w:abstractNumId w:val="0"/>
  </w:num>
  <w:num w:numId="2" w16cid:durableId="13826792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2027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256F"/>
    <w:rsid w:val="0009706C"/>
    <w:rsid w:val="000D154B"/>
    <w:rsid w:val="000D2DAF"/>
    <w:rsid w:val="000E463E"/>
    <w:rsid w:val="000F65F2"/>
    <w:rsid w:val="000F73FF"/>
    <w:rsid w:val="00112ACD"/>
    <w:rsid w:val="00114CF7"/>
    <w:rsid w:val="00116C7A"/>
    <w:rsid w:val="00117B20"/>
    <w:rsid w:val="00123B68"/>
    <w:rsid w:val="00126F2E"/>
    <w:rsid w:val="00146F6F"/>
    <w:rsid w:val="00161F26"/>
    <w:rsid w:val="00166FA2"/>
    <w:rsid w:val="00187BD9"/>
    <w:rsid w:val="00190B55"/>
    <w:rsid w:val="0019489D"/>
    <w:rsid w:val="001B62D2"/>
    <w:rsid w:val="001C3B5F"/>
    <w:rsid w:val="001D058F"/>
    <w:rsid w:val="001D75C9"/>
    <w:rsid w:val="001F29E9"/>
    <w:rsid w:val="002009EA"/>
    <w:rsid w:val="00202756"/>
    <w:rsid w:val="00202CA0"/>
    <w:rsid w:val="00216B6D"/>
    <w:rsid w:val="0022757F"/>
    <w:rsid w:val="002359F4"/>
    <w:rsid w:val="00241FA2"/>
    <w:rsid w:val="002637FE"/>
    <w:rsid w:val="00271316"/>
    <w:rsid w:val="002734C6"/>
    <w:rsid w:val="002A0169"/>
    <w:rsid w:val="002A32D4"/>
    <w:rsid w:val="002B349C"/>
    <w:rsid w:val="002D58BE"/>
    <w:rsid w:val="002D6E6F"/>
    <w:rsid w:val="002F4747"/>
    <w:rsid w:val="00302605"/>
    <w:rsid w:val="00361B37"/>
    <w:rsid w:val="00377BD3"/>
    <w:rsid w:val="00384088"/>
    <w:rsid w:val="003852CE"/>
    <w:rsid w:val="0039169B"/>
    <w:rsid w:val="003A7F8C"/>
    <w:rsid w:val="003B2284"/>
    <w:rsid w:val="003B3D62"/>
    <w:rsid w:val="003B532E"/>
    <w:rsid w:val="003D0F8B"/>
    <w:rsid w:val="003E0DB6"/>
    <w:rsid w:val="0041348E"/>
    <w:rsid w:val="00420873"/>
    <w:rsid w:val="0045156F"/>
    <w:rsid w:val="00492075"/>
    <w:rsid w:val="004969AD"/>
    <w:rsid w:val="004A26C4"/>
    <w:rsid w:val="004B13CB"/>
    <w:rsid w:val="004B45D3"/>
    <w:rsid w:val="004C608A"/>
    <w:rsid w:val="004D26EA"/>
    <w:rsid w:val="004D2BFB"/>
    <w:rsid w:val="004D5D5C"/>
    <w:rsid w:val="004F3DC0"/>
    <w:rsid w:val="0050139F"/>
    <w:rsid w:val="00503511"/>
    <w:rsid w:val="0055140B"/>
    <w:rsid w:val="005529F4"/>
    <w:rsid w:val="0058443B"/>
    <w:rsid w:val="005861D7"/>
    <w:rsid w:val="00591957"/>
    <w:rsid w:val="005964AB"/>
    <w:rsid w:val="00596B35"/>
    <w:rsid w:val="005A3133"/>
    <w:rsid w:val="005B2124"/>
    <w:rsid w:val="005C099A"/>
    <w:rsid w:val="005C31A5"/>
    <w:rsid w:val="005D1C73"/>
    <w:rsid w:val="005D7D0D"/>
    <w:rsid w:val="005E10C9"/>
    <w:rsid w:val="005E290B"/>
    <w:rsid w:val="005E61DD"/>
    <w:rsid w:val="005F04D8"/>
    <w:rsid w:val="005F20B1"/>
    <w:rsid w:val="00600DB2"/>
    <w:rsid w:val="006023DF"/>
    <w:rsid w:val="00615426"/>
    <w:rsid w:val="00616219"/>
    <w:rsid w:val="0062300C"/>
    <w:rsid w:val="00645B7D"/>
    <w:rsid w:val="0065249E"/>
    <w:rsid w:val="00657DE0"/>
    <w:rsid w:val="00670529"/>
    <w:rsid w:val="00685313"/>
    <w:rsid w:val="00692833"/>
    <w:rsid w:val="006A6E9B"/>
    <w:rsid w:val="006B7C2A"/>
    <w:rsid w:val="006C23DA"/>
    <w:rsid w:val="006D70B0"/>
    <w:rsid w:val="006E12DD"/>
    <w:rsid w:val="006E3D45"/>
    <w:rsid w:val="0070607A"/>
    <w:rsid w:val="007149F9"/>
    <w:rsid w:val="0071703B"/>
    <w:rsid w:val="00717C35"/>
    <w:rsid w:val="00733A30"/>
    <w:rsid w:val="00745AEE"/>
    <w:rsid w:val="00750F10"/>
    <w:rsid w:val="007742CA"/>
    <w:rsid w:val="00784878"/>
    <w:rsid w:val="00790D70"/>
    <w:rsid w:val="007A6F1F"/>
    <w:rsid w:val="007D5320"/>
    <w:rsid w:val="00800972"/>
    <w:rsid w:val="00804475"/>
    <w:rsid w:val="00811633"/>
    <w:rsid w:val="00814037"/>
    <w:rsid w:val="00841216"/>
    <w:rsid w:val="00842AF0"/>
    <w:rsid w:val="00844CE5"/>
    <w:rsid w:val="00860CFC"/>
    <w:rsid w:val="0086171E"/>
    <w:rsid w:val="00872FC8"/>
    <w:rsid w:val="008845D0"/>
    <w:rsid w:val="00884D60"/>
    <w:rsid w:val="00896E56"/>
    <w:rsid w:val="008A2FD0"/>
    <w:rsid w:val="008B0AC1"/>
    <w:rsid w:val="008B43F2"/>
    <w:rsid w:val="008B62FE"/>
    <w:rsid w:val="008B6CFF"/>
    <w:rsid w:val="008E55C8"/>
    <w:rsid w:val="00921F13"/>
    <w:rsid w:val="00927033"/>
    <w:rsid w:val="009274B4"/>
    <w:rsid w:val="00934EA2"/>
    <w:rsid w:val="00944A5C"/>
    <w:rsid w:val="00946785"/>
    <w:rsid w:val="00952A66"/>
    <w:rsid w:val="009B1EA1"/>
    <w:rsid w:val="009B7C9A"/>
    <w:rsid w:val="009C56E5"/>
    <w:rsid w:val="009C7716"/>
    <w:rsid w:val="009D7647"/>
    <w:rsid w:val="009E1035"/>
    <w:rsid w:val="009E5FC8"/>
    <w:rsid w:val="009E687A"/>
    <w:rsid w:val="009F236F"/>
    <w:rsid w:val="00A066F1"/>
    <w:rsid w:val="00A141AF"/>
    <w:rsid w:val="00A16D29"/>
    <w:rsid w:val="00A30305"/>
    <w:rsid w:val="00A31D2D"/>
    <w:rsid w:val="00A3388F"/>
    <w:rsid w:val="00A4600A"/>
    <w:rsid w:val="00A538A6"/>
    <w:rsid w:val="00A54C25"/>
    <w:rsid w:val="00A710E7"/>
    <w:rsid w:val="00A7372E"/>
    <w:rsid w:val="00A8284C"/>
    <w:rsid w:val="00A93B85"/>
    <w:rsid w:val="00AA0B18"/>
    <w:rsid w:val="00AA3C65"/>
    <w:rsid w:val="00AA538D"/>
    <w:rsid w:val="00AA666F"/>
    <w:rsid w:val="00AD7914"/>
    <w:rsid w:val="00AE514B"/>
    <w:rsid w:val="00B40888"/>
    <w:rsid w:val="00B4097F"/>
    <w:rsid w:val="00B639E9"/>
    <w:rsid w:val="00B817CD"/>
    <w:rsid w:val="00B81A7D"/>
    <w:rsid w:val="00B91EF7"/>
    <w:rsid w:val="00B94AD0"/>
    <w:rsid w:val="00BB19F1"/>
    <w:rsid w:val="00BB3A95"/>
    <w:rsid w:val="00BC75DE"/>
    <w:rsid w:val="00BD6CCE"/>
    <w:rsid w:val="00C0018F"/>
    <w:rsid w:val="00C16A5A"/>
    <w:rsid w:val="00C17D5C"/>
    <w:rsid w:val="00C20466"/>
    <w:rsid w:val="00C214ED"/>
    <w:rsid w:val="00C234E6"/>
    <w:rsid w:val="00C324A8"/>
    <w:rsid w:val="00C3612B"/>
    <w:rsid w:val="00C44179"/>
    <w:rsid w:val="00C537D7"/>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2415"/>
    <w:rsid w:val="00D14CE0"/>
    <w:rsid w:val="00D255D4"/>
    <w:rsid w:val="00D268B3"/>
    <w:rsid w:val="00D52FD6"/>
    <w:rsid w:val="00D54009"/>
    <w:rsid w:val="00D5651D"/>
    <w:rsid w:val="00D57A34"/>
    <w:rsid w:val="00D6214C"/>
    <w:rsid w:val="00D74898"/>
    <w:rsid w:val="00D801ED"/>
    <w:rsid w:val="00D936BC"/>
    <w:rsid w:val="00D96530"/>
    <w:rsid w:val="00DA1CB1"/>
    <w:rsid w:val="00DB6454"/>
    <w:rsid w:val="00DD44AF"/>
    <w:rsid w:val="00DE2AC3"/>
    <w:rsid w:val="00DE5692"/>
    <w:rsid w:val="00DE6300"/>
    <w:rsid w:val="00DF4547"/>
    <w:rsid w:val="00DF4AA7"/>
    <w:rsid w:val="00DF4BC6"/>
    <w:rsid w:val="00DF4F61"/>
    <w:rsid w:val="00DF78E0"/>
    <w:rsid w:val="00E0150E"/>
    <w:rsid w:val="00E03C94"/>
    <w:rsid w:val="00E205BC"/>
    <w:rsid w:val="00E26226"/>
    <w:rsid w:val="00E45D05"/>
    <w:rsid w:val="00E46493"/>
    <w:rsid w:val="00E55816"/>
    <w:rsid w:val="00E55AEF"/>
    <w:rsid w:val="00E80AB1"/>
    <w:rsid w:val="00E976C1"/>
    <w:rsid w:val="00EA12E5"/>
    <w:rsid w:val="00EB0812"/>
    <w:rsid w:val="00EB54B2"/>
    <w:rsid w:val="00EB55C6"/>
    <w:rsid w:val="00EF1932"/>
    <w:rsid w:val="00EF71B6"/>
    <w:rsid w:val="00F02766"/>
    <w:rsid w:val="00F05BD4"/>
    <w:rsid w:val="00F06473"/>
    <w:rsid w:val="00F11D68"/>
    <w:rsid w:val="00F25ED0"/>
    <w:rsid w:val="00F320AA"/>
    <w:rsid w:val="00F6155B"/>
    <w:rsid w:val="00F65C19"/>
    <w:rsid w:val="00F7052C"/>
    <w:rsid w:val="00F7737B"/>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8DF2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ECC Footnote,fn,ft"/>
    <w:basedOn w:val="Normal"/>
    <w:link w:val="FootnoteTextChar"/>
    <w:qFormat/>
    <w:rsid w:val="00745AEE"/>
    <w:pPr>
      <w:keepLines/>
      <w:tabs>
        <w:tab w:val="left" w:pos="255"/>
      </w:tabs>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rsid w:val="002D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6E6F"/>
    <w:rPr>
      <w:color w:val="605E5C"/>
      <w:shd w:val="clear" w:color="auto" w:fill="E1DFDD"/>
    </w:rPr>
  </w:style>
  <w:style w:type="character" w:styleId="CommentReference">
    <w:name w:val="annotation reference"/>
    <w:basedOn w:val="DefaultParagraphFont"/>
    <w:semiHidden/>
    <w:unhideWhenUsed/>
    <w:rsid w:val="00DF4AA7"/>
    <w:rPr>
      <w:sz w:val="16"/>
      <w:szCs w:val="16"/>
    </w:rPr>
  </w:style>
  <w:style w:type="paragraph" w:styleId="CommentText">
    <w:name w:val="annotation text"/>
    <w:basedOn w:val="Normal"/>
    <w:link w:val="CommentTextChar"/>
    <w:unhideWhenUsed/>
    <w:rsid w:val="00DF4AA7"/>
    <w:rPr>
      <w:sz w:val="20"/>
    </w:rPr>
  </w:style>
  <w:style w:type="character" w:customStyle="1" w:styleId="CommentTextChar">
    <w:name w:val="Comment Text Char"/>
    <w:basedOn w:val="DefaultParagraphFont"/>
    <w:link w:val="CommentText"/>
    <w:rsid w:val="00DF4AA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F4AA7"/>
    <w:rPr>
      <w:b/>
      <w:bCs/>
    </w:rPr>
  </w:style>
  <w:style w:type="character" w:customStyle="1" w:styleId="CommentSubjectChar">
    <w:name w:val="Comment Subject Char"/>
    <w:basedOn w:val="CommentTextChar"/>
    <w:link w:val="CommentSubject"/>
    <w:semiHidden/>
    <w:rsid w:val="00DF4AA7"/>
    <w:rPr>
      <w:rFonts w:ascii="Times New Roman" w:hAnsi="Times New Roman"/>
      <w:b/>
      <w:bCs/>
      <w:lang w:val="en-GB" w:eastAsia="en-US"/>
    </w:rPr>
  </w:style>
  <w:style w:type="paragraph" w:styleId="Revision">
    <w:name w:val="Revision"/>
    <w:hidden/>
    <w:uiPriority w:val="99"/>
    <w:semiHidden/>
    <w:rsid w:val="00E80AB1"/>
    <w:rPr>
      <w:rFonts w:ascii="Times New Roman" w:hAnsi="Times New Roman"/>
      <w:sz w:val="24"/>
      <w:lang w:val="en-GB" w:eastAsia="en-US"/>
    </w:rPr>
  </w:style>
  <w:style w:type="character" w:styleId="FollowedHyperlink">
    <w:name w:val="FollowedHyperlink"/>
    <w:basedOn w:val="DefaultParagraphFont"/>
    <w:semiHidden/>
    <w:unhideWhenUsed/>
    <w:rsid w:val="00717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4A-C-0402/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R23-WRC23-C-0087!A26!MSW-E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3BF2-F911-48BF-A099-0F3E21E24A2B}">
  <ds:schemaRefs>
    <ds:schemaRef ds:uri="http://schemas.microsoft.com/sharepoint/events"/>
  </ds:schemaRefs>
</ds:datastoreItem>
</file>

<file path=customXml/itemProps2.xml><?xml version="1.0" encoding="utf-8"?>
<ds:datastoreItem xmlns:ds="http://schemas.openxmlformats.org/officeDocument/2006/customXml" ds:itemID="{75B2D6BE-C355-4DD7-AEF4-D8EA5663F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265CC-B1D5-495D-A74F-0448302DFA19}">
  <ds:schemaRefs>
    <ds:schemaRef ds:uri="http://schemas.microsoft.com/sharepoint/v3/contenttype/forms"/>
  </ds:schemaRefs>
</ds:datastoreItem>
</file>

<file path=customXml/itemProps4.xml><?xml version="1.0" encoding="utf-8"?>
<ds:datastoreItem xmlns:ds="http://schemas.openxmlformats.org/officeDocument/2006/customXml" ds:itemID="{6B7C216F-3138-4DF0-B5A5-F53D5561FF4D}">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30FD1FA8-E5F6-4816-86C9-66CBE6C7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2992</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R23-WRC23-C-0087!A26!MSW-E</vt:lpstr>
    </vt:vector>
  </TitlesOfParts>
  <Manager>General Secretariat - Pool</Manager>
  <Company>International Telecommunication Union (ITU)</Company>
  <LinksUpToDate>false</LinksUpToDate>
  <CharactersWithSpaces>18796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R23-WRC23-C-0087!A26!MSW-E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2023-10-27T12:31:00Z</dcterms:created>
  <dcterms:modified xsi:type="dcterms:W3CDTF">2023-10-30T06:21:00Z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