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36ED324" w14:textId="77777777" w:rsidTr="0080079E">
        <w:trPr>
          <w:cantSplit/>
        </w:trPr>
        <w:tc>
          <w:tcPr>
            <w:tcW w:w="1418" w:type="dxa"/>
            <w:vAlign w:val="center"/>
          </w:tcPr>
          <w:p w14:paraId="36BBBC59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A7C697" wp14:editId="737A6B1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B356252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A09C246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A6B4233" wp14:editId="3FD76748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5280F0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DA6F281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8B2245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58D4BD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CD4F341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084E68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06A97342" w14:textId="77777777" w:rsidTr="0090121B">
        <w:trPr>
          <w:cantSplit/>
        </w:trPr>
        <w:tc>
          <w:tcPr>
            <w:tcW w:w="6911" w:type="dxa"/>
            <w:gridSpan w:val="2"/>
          </w:tcPr>
          <w:p w14:paraId="68A38624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45E09C3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94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6E192C9D" w14:textId="77777777" w:rsidTr="0090121B">
        <w:trPr>
          <w:cantSplit/>
        </w:trPr>
        <w:tc>
          <w:tcPr>
            <w:tcW w:w="6911" w:type="dxa"/>
            <w:gridSpan w:val="2"/>
          </w:tcPr>
          <w:p w14:paraId="2DB7504B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C901241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27 de octubre de 2023</w:t>
            </w:r>
          </w:p>
        </w:tc>
      </w:tr>
      <w:tr w:rsidR="000A5B9A" w:rsidRPr="0002785D" w14:paraId="0CD710F4" w14:textId="77777777" w:rsidTr="0090121B">
        <w:trPr>
          <w:cantSplit/>
        </w:trPr>
        <w:tc>
          <w:tcPr>
            <w:tcW w:w="6911" w:type="dxa"/>
            <w:gridSpan w:val="2"/>
          </w:tcPr>
          <w:p w14:paraId="56D17D8B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DCA16B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16DA5EA9" w14:textId="77777777" w:rsidTr="006744FC">
        <w:trPr>
          <w:cantSplit/>
        </w:trPr>
        <w:tc>
          <w:tcPr>
            <w:tcW w:w="10031" w:type="dxa"/>
            <w:gridSpan w:val="4"/>
          </w:tcPr>
          <w:p w14:paraId="31B20E46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9D8A05E" w14:textId="77777777" w:rsidTr="0050008E">
        <w:trPr>
          <w:cantSplit/>
        </w:trPr>
        <w:tc>
          <w:tcPr>
            <w:tcW w:w="10031" w:type="dxa"/>
            <w:gridSpan w:val="4"/>
          </w:tcPr>
          <w:p w14:paraId="526E3AF5" w14:textId="77777777" w:rsidR="000A5B9A" w:rsidRPr="00591857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591857">
              <w:rPr>
                <w:lang w:val="es-ES"/>
              </w:rPr>
              <w:t>Canadá/Estados Unidos de América/México</w:t>
            </w:r>
          </w:p>
        </w:tc>
      </w:tr>
      <w:tr w:rsidR="000A5B9A" w:rsidRPr="00591857" w14:paraId="613A3A13" w14:textId="77777777" w:rsidTr="0050008E">
        <w:trPr>
          <w:cantSplit/>
        </w:trPr>
        <w:tc>
          <w:tcPr>
            <w:tcW w:w="10031" w:type="dxa"/>
            <w:gridSpan w:val="4"/>
          </w:tcPr>
          <w:p w14:paraId="368D2E69" w14:textId="0AD742E2" w:rsidR="000A5B9A" w:rsidRPr="00704896" w:rsidRDefault="00704896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704896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591857" w14:paraId="5FFA65DD" w14:textId="77777777" w:rsidTr="0050008E">
        <w:trPr>
          <w:cantSplit/>
        </w:trPr>
        <w:tc>
          <w:tcPr>
            <w:tcW w:w="10031" w:type="dxa"/>
            <w:gridSpan w:val="4"/>
          </w:tcPr>
          <w:p w14:paraId="11D2D321" w14:textId="77777777" w:rsidR="000A5B9A" w:rsidRPr="00704896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62D5AA3E" w14:textId="77777777" w:rsidTr="0050008E">
        <w:trPr>
          <w:cantSplit/>
        </w:trPr>
        <w:tc>
          <w:tcPr>
            <w:tcW w:w="10031" w:type="dxa"/>
            <w:gridSpan w:val="4"/>
          </w:tcPr>
          <w:p w14:paraId="2422B710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7(H) del orden del día</w:t>
            </w:r>
          </w:p>
        </w:tc>
      </w:tr>
    </w:tbl>
    <w:bookmarkEnd w:id="4"/>
    <w:p w14:paraId="39F0E6AA" w14:textId="77777777" w:rsidR="00CA2965" w:rsidRPr="00F3193C" w:rsidRDefault="00591857" w:rsidP="008354D4">
      <w:pPr>
        <w:pStyle w:val="Normalaftertitle"/>
      </w:pPr>
      <w:r w:rsidRPr="00F3193C">
        <w:t>7</w:t>
      </w:r>
      <w:r w:rsidRPr="00F3193C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F3193C">
        <w:rPr>
          <w:b/>
          <w:bCs/>
        </w:rPr>
        <w:t>86 (Rev.CMR-07</w:t>
      </w:r>
      <w:r w:rsidRPr="00F3193C">
        <w:rPr>
          <w:b/>
        </w:rPr>
        <w:t>)</w:t>
      </w:r>
      <w:r w:rsidRPr="002B6579">
        <w:t>,</w:t>
      </w:r>
      <w:r w:rsidRPr="00F3193C">
        <w:rPr>
          <w:b/>
          <w:bCs/>
        </w:rPr>
        <w:t xml:space="preserve"> </w:t>
      </w:r>
      <w:r w:rsidRPr="00F3193C">
        <w:t>para facilitar el uso</w:t>
      </w:r>
      <w:r w:rsidRPr="00F3193C">
        <w:rPr>
          <w:b/>
          <w:bCs/>
        </w:rPr>
        <w:t xml:space="preserve"> </w:t>
      </w:r>
      <w:r w:rsidRPr="00F3193C">
        <w:t>racional, eficiente y económico de las radiofrecuencias y órbitas asociadas, incluida la órbita de los satélites geoestacionarios;</w:t>
      </w:r>
    </w:p>
    <w:p w14:paraId="69CDCEF0" w14:textId="77777777" w:rsidR="001A3FC4" w:rsidRPr="00852EC4" w:rsidRDefault="00591857" w:rsidP="0041312A">
      <w:r w:rsidRPr="00852EC4">
        <w:t>7(H)</w:t>
      </w:r>
      <w:r w:rsidRPr="00852EC4">
        <w:tab/>
        <w:t xml:space="preserve">Tema H – Protección mejorada de los Apéndices </w:t>
      </w:r>
      <w:r w:rsidRPr="00852EC4">
        <w:rPr>
          <w:b/>
          <w:bCs/>
        </w:rPr>
        <w:t>30/30A</w:t>
      </w:r>
      <w:r w:rsidRPr="00852EC4">
        <w:t xml:space="preserve"> del RR en las Regiones 1 y 3 y del Apéndice </w:t>
      </w:r>
      <w:r w:rsidRPr="00852EC4">
        <w:rPr>
          <w:b/>
          <w:bCs/>
        </w:rPr>
        <w:t>30B</w:t>
      </w:r>
      <w:r w:rsidRPr="00852EC4">
        <w:t xml:space="preserve"> del RR</w:t>
      </w:r>
    </w:p>
    <w:p w14:paraId="1788BC75" w14:textId="77777777" w:rsidR="001A3FC4" w:rsidRPr="0041312A" w:rsidRDefault="00F42C01" w:rsidP="002B6579"/>
    <w:p w14:paraId="2753291A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C5C90CE" w14:textId="77777777" w:rsidR="007B2C32" w:rsidRPr="004513DF" w:rsidRDefault="00591857" w:rsidP="002B6579">
      <w:pPr>
        <w:pStyle w:val="AppendixNo"/>
        <w:rPr>
          <w:vertAlign w:val="superscript"/>
        </w:rPr>
      </w:pPr>
      <w:bookmarkStart w:id="5" w:name="_Toc46417332"/>
      <w:bookmarkStart w:id="6" w:name="_Toc46417598"/>
      <w:bookmarkStart w:id="7" w:name="_Toc46474329"/>
      <w:bookmarkStart w:id="8" w:name="_Toc46475721"/>
      <w:r w:rsidRPr="002B6579">
        <w:lastRenderedPageBreak/>
        <w:t>APÉNDICE</w:t>
      </w:r>
      <w:r w:rsidRPr="004513DF">
        <w:t xml:space="preserve"> </w:t>
      </w:r>
      <w:r w:rsidRPr="004513DF">
        <w:rPr>
          <w:rStyle w:val="href"/>
          <w:color w:val="000000"/>
        </w:rPr>
        <w:t xml:space="preserve">30 </w:t>
      </w:r>
      <w:r w:rsidRPr="004513DF">
        <w:t>(</w:t>
      </w:r>
      <w:r w:rsidRPr="004513DF">
        <w:rPr>
          <w:caps w:val="0"/>
        </w:rPr>
        <w:t>REV</w:t>
      </w:r>
      <w:r w:rsidRPr="004513DF">
        <w:t>.CMR-1</w:t>
      </w:r>
      <w:r>
        <w:t>9</w:t>
      </w:r>
      <w:r w:rsidRPr="004513DF">
        <w:t>)</w:t>
      </w:r>
      <w:r w:rsidRPr="004513DF">
        <w:rPr>
          <w:rStyle w:val="FootnoteReference"/>
          <w:color w:val="000000"/>
        </w:rPr>
        <w:footnoteReference w:customMarkFollows="1" w:id="1"/>
        <w:t>*</w:t>
      </w:r>
      <w:bookmarkEnd w:id="5"/>
      <w:bookmarkEnd w:id="6"/>
      <w:bookmarkEnd w:id="7"/>
      <w:bookmarkEnd w:id="8"/>
    </w:p>
    <w:p w14:paraId="462BF7D1" w14:textId="77777777" w:rsidR="007B2C32" w:rsidRPr="004513DF" w:rsidRDefault="00591857" w:rsidP="007B2C32">
      <w:pPr>
        <w:pStyle w:val="Appendixtitle"/>
        <w:rPr>
          <w:b w:val="0"/>
          <w:bCs/>
          <w:color w:val="000000"/>
          <w:sz w:val="16"/>
        </w:rPr>
      </w:pPr>
      <w:bookmarkStart w:id="9" w:name="_Toc46417333"/>
      <w:bookmarkStart w:id="10" w:name="_Toc46417599"/>
      <w:bookmarkStart w:id="11" w:name="_Toc46474330"/>
      <w:bookmarkStart w:id="12" w:name="_Toc46475722"/>
      <w:r w:rsidRPr="004513DF">
        <w:rPr>
          <w:color w:val="000000"/>
        </w:rPr>
        <w:t>Disposiciones aplicables a todos los servicios y Planes y Lista</w:t>
      </w:r>
      <w:r w:rsidRPr="004513DF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4513DF">
        <w:rPr>
          <w:color w:val="000000"/>
        </w:rPr>
        <w:t xml:space="preserve"> asociados</w:t>
      </w:r>
      <w:r w:rsidRPr="004513DF">
        <w:rPr>
          <w:color w:val="000000"/>
        </w:rPr>
        <w:br/>
        <w:t>para el servicio de radiodifusión por satélite en las bandas de</w:t>
      </w:r>
      <w:r w:rsidRPr="004513DF">
        <w:rPr>
          <w:color w:val="000000"/>
        </w:rPr>
        <w:br/>
        <w:t>frecuencias 11,7</w:t>
      </w:r>
      <w:r w:rsidRPr="004513DF">
        <w:rPr>
          <w:color w:val="000000"/>
        </w:rPr>
        <w:noBreakHyphen/>
        <w:t>12,2 GHz (en la Región 3), 11,7-12,5 GHz</w:t>
      </w:r>
      <w:r w:rsidRPr="004513DF">
        <w:rPr>
          <w:color w:val="000000"/>
        </w:rPr>
        <w:br/>
        <w:t>            (en la Región 1) y 12,2</w:t>
      </w:r>
      <w:r w:rsidRPr="004513DF">
        <w:rPr>
          <w:color w:val="000000"/>
        </w:rPr>
        <w:noBreakHyphen/>
        <w:t>12,7 GHz (en la Región 2)</w:t>
      </w:r>
      <w:r w:rsidRPr="004513DF">
        <w:rPr>
          <w:b w:val="0"/>
          <w:bCs/>
          <w:color w:val="000000"/>
          <w:sz w:val="16"/>
        </w:rPr>
        <w:t>     </w:t>
      </w:r>
      <w:r w:rsidRPr="004513DF">
        <w:rPr>
          <w:rFonts w:ascii="Times New Roman"/>
          <w:b w:val="0"/>
          <w:bCs/>
          <w:color w:val="000000"/>
          <w:sz w:val="16"/>
        </w:rPr>
        <w:t>(CMR</w:t>
      </w:r>
      <w:r w:rsidRPr="004513DF">
        <w:rPr>
          <w:rFonts w:ascii="Times New Roman"/>
          <w:b w:val="0"/>
          <w:bCs/>
          <w:color w:val="000000"/>
          <w:sz w:val="16"/>
        </w:rPr>
        <w:noBreakHyphen/>
        <w:t>03)</w:t>
      </w:r>
      <w:bookmarkEnd w:id="9"/>
      <w:bookmarkEnd w:id="10"/>
      <w:bookmarkEnd w:id="11"/>
      <w:bookmarkEnd w:id="12"/>
    </w:p>
    <w:p w14:paraId="1FCEE39F" w14:textId="77777777" w:rsidR="00BA410A" w:rsidRDefault="00591857">
      <w:pPr>
        <w:pStyle w:val="Proposal"/>
      </w:pPr>
      <w:r>
        <w:rPr>
          <w:u w:val="single"/>
        </w:rPr>
        <w:t>NOC</w:t>
      </w:r>
      <w:r>
        <w:tab/>
        <w:t>CAN/USA/MEX/94/1</w:t>
      </w:r>
    </w:p>
    <w:p w14:paraId="5EFF044E" w14:textId="77777777" w:rsidR="007B2C32" w:rsidRPr="004513DF" w:rsidRDefault="00591857" w:rsidP="00210BC4">
      <w:pPr>
        <w:pStyle w:val="ArtNo"/>
      </w:pPr>
      <w:r w:rsidRPr="004513DF">
        <w:t>                ARTÍCULO 7</w:t>
      </w:r>
      <w:r w:rsidRPr="004513DF">
        <w:rPr>
          <w:sz w:val="16"/>
          <w:szCs w:val="16"/>
        </w:rPr>
        <w:t>     </w:t>
      </w:r>
      <w:r w:rsidRPr="004513DF">
        <w:rPr>
          <w:sz w:val="16"/>
        </w:rPr>
        <w:t>(Rev.CMR</w:t>
      </w:r>
      <w:r w:rsidRPr="004513DF">
        <w:rPr>
          <w:sz w:val="16"/>
        </w:rPr>
        <w:noBreakHyphen/>
      </w:r>
      <w:r>
        <w:rPr>
          <w:sz w:val="16"/>
        </w:rPr>
        <w:t>19</w:t>
      </w:r>
      <w:r w:rsidRPr="004513DF">
        <w:rPr>
          <w:sz w:val="16"/>
        </w:rPr>
        <w:t>)</w:t>
      </w:r>
    </w:p>
    <w:p w14:paraId="7855115A" w14:textId="77777777" w:rsidR="007B2C32" w:rsidRPr="004513DF" w:rsidRDefault="00591857" w:rsidP="007B2C32">
      <w:pPr>
        <w:pStyle w:val="AppArttitle"/>
        <w:rPr>
          <w:color w:val="000000"/>
        </w:rPr>
      </w:pPr>
      <w:r w:rsidRPr="004513DF">
        <w:rPr>
          <w:color w:val="000000"/>
        </w:rPr>
        <w:t>Procedimientos de coordinación, notificación e inscripción en el Registro</w:t>
      </w:r>
      <w:r w:rsidRPr="004513DF">
        <w:rPr>
          <w:color w:val="000000"/>
        </w:rPr>
        <w:br/>
        <w:t>Internacional de Frecuencias de las asignaciones de frecuencia a las estaciones</w:t>
      </w:r>
      <w:r w:rsidRPr="004513DF">
        <w:rPr>
          <w:color w:val="000000"/>
        </w:rPr>
        <w:br/>
        <w:t>del servicio fijo por satélite (espacio-Tierra) en las bandas 11,7</w:t>
      </w:r>
      <w:r w:rsidRPr="004513DF">
        <w:rPr>
          <w:color w:val="000000"/>
        </w:rPr>
        <w:noBreakHyphen/>
        <w:t>12,2 GHz</w:t>
      </w:r>
      <w:r w:rsidRPr="004513DF">
        <w:rPr>
          <w:color w:val="000000"/>
        </w:rPr>
        <w:br/>
        <w:t>(en la Región 2), 12,2-12,7 GHz (en la Región 3) y 12,5</w:t>
      </w:r>
      <w:r w:rsidRPr="004513DF">
        <w:rPr>
          <w:color w:val="000000"/>
        </w:rPr>
        <w:noBreakHyphen/>
        <w:t>12,7 GHz</w:t>
      </w:r>
      <w:r w:rsidRPr="004513DF">
        <w:rPr>
          <w:color w:val="000000"/>
        </w:rPr>
        <w:br/>
        <w:t>(en la Región 1), y a las estaciones del servicio de radiodifusión por satélite</w:t>
      </w:r>
      <w:r w:rsidRPr="004513DF">
        <w:rPr>
          <w:color w:val="000000"/>
        </w:rPr>
        <w:br/>
        <w:t>en la banda 12,5</w:t>
      </w:r>
      <w:r w:rsidRPr="004513DF">
        <w:rPr>
          <w:color w:val="000000"/>
        </w:rPr>
        <w:noBreakHyphen/>
        <w:t>12,7 GHz (en la Región 3) cuando están implicadas asignaciones de frecuencia a estaciones del servicio de radiodifusión por</w:t>
      </w:r>
      <w:r>
        <w:rPr>
          <w:color w:val="000000"/>
        </w:rPr>
        <w:br/>
      </w:r>
      <w:r w:rsidRPr="004513DF">
        <w:rPr>
          <w:color w:val="000000"/>
        </w:rPr>
        <w:t>satélite en las bandas 11,7</w:t>
      </w:r>
      <w:r w:rsidRPr="004513DF">
        <w:rPr>
          <w:color w:val="000000"/>
        </w:rPr>
        <w:noBreakHyphen/>
        <w:t>12,5 GHz en la Región 1, 12,2</w:t>
      </w:r>
      <w:r w:rsidRPr="004513DF">
        <w:rPr>
          <w:color w:val="000000"/>
        </w:rPr>
        <w:noBreakHyphen/>
        <w:t xml:space="preserve">12,7 GHz </w:t>
      </w:r>
      <w:r w:rsidRPr="004513DF">
        <w:rPr>
          <w:color w:val="000000"/>
        </w:rPr>
        <w:br/>
        <w:t>en la Región 2 y 11,7</w:t>
      </w:r>
      <w:r w:rsidRPr="004513DF">
        <w:rPr>
          <w:color w:val="000000"/>
        </w:rPr>
        <w:noBreakHyphen/>
        <w:t>12,2 GHz en la Región 3</w:t>
      </w:r>
      <w:r w:rsidRPr="004513DF">
        <w:rPr>
          <w:rStyle w:val="FootnoteReference"/>
          <w:b w:val="0"/>
          <w:bCs/>
          <w:color w:val="000000"/>
        </w:rPr>
        <w:footnoteReference w:customMarkFollows="1" w:id="3"/>
        <w:t>22</w:t>
      </w:r>
    </w:p>
    <w:p w14:paraId="7287B4E9" w14:textId="1E1280F7" w:rsidR="00BA410A" w:rsidRDefault="00591857">
      <w:pPr>
        <w:pStyle w:val="Reasons"/>
      </w:pPr>
      <w:r>
        <w:rPr>
          <w:b/>
        </w:rPr>
        <w:t>Motivos:</w:t>
      </w:r>
      <w:r>
        <w:tab/>
      </w:r>
      <w:r w:rsidR="004C6E38">
        <w:t>E</w:t>
      </w:r>
      <w:r w:rsidR="00704896" w:rsidRPr="00704896">
        <w:t xml:space="preserve">l alcance de este tema </w:t>
      </w:r>
      <w:r w:rsidR="004C6E38">
        <w:t xml:space="preserve">que se identificó </w:t>
      </w:r>
      <w:r w:rsidR="004C6E38" w:rsidRPr="00704896">
        <w:t>en el Informe de la RPC</w:t>
      </w:r>
      <w:r w:rsidR="004C6E38">
        <w:t xml:space="preserve"> </w:t>
      </w:r>
      <w:r w:rsidR="006F3AD8">
        <w:t>se limita a las</w:t>
      </w:r>
      <w:r w:rsidR="00704896">
        <w:t xml:space="preserve"> repercusiones </w:t>
      </w:r>
      <w:r w:rsidR="00704896" w:rsidRPr="00704896">
        <w:t xml:space="preserve">del acuerdo implícito </w:t>
      </w:r>
      <w:r w:rsidR="006F3AD8">
        <w:t>en</w:t>
      </w:r>
      <w:r w:rsidR="00704896" w:rsidRPr="00704896">
        <w:t xml:space="preserve"> la situación de referencia de las asignaciones del Apéndice </w:t>
      </w:r>
      <w:r w:rsidR="00704896" w:rsidRPr="004C6E38">
        <w:rPr>
          <w:b/>
          <w:bCs/>
        </w:rPr>
        <w:t>30</w:t>
      </w:r>
      <w:r w:rsidR="00704896" w:rsidRPr="00704896">
        <w:t xml:space="preserve"> del RR que no tienen en cuenta el impacto de las asignaciones </w:t>
      </w:r>
      <w:r w:rsidR="004C6E38">
        <w:t>no planificadas</w:t>
      </w:r>
      <w:r w:rsidR="00704896" w:rsidRPr="00704896">
        <w:t xml:space="preserve"> </w:t>
      </w:r>
      <w:r w:rsidR="004C6E38">
        <w:t>a</w:t>
      </w:r>
      <w:r w:rsidR="00704896" w:rsidRPr="00704896">
        <w:t xml:space="preserve"> los servicios espaciales. Además, las modificaciones del Artículo 7 del Apéndice </w:t>
      </w:r>
      <w:r w:rsidR="00704896" w:rsidRPr="004C6E38">
        <w:rPr>
          <w:b/>
          <w:bCs/>
        </w:rPr>
        <w:t>30</w:t>
      </w:r>
      <w:r w:rsidR="00704896" w:rsidRPr="00704896">
        <w:t xml:space="preserve"> del RR no se estudiaron y podrían dar lugar a una situación desequilibrada en el tratamiento de las asignaciones </w:t>
      </w:r>
      <w:r w:rsidR="004C6E38">
        <w:t>planeadas</w:t>
      </w:r>
      <w:r w:rsidR="006F3AD8">
        <w:t xml:space="preserve"> frente a las no </w:t>
      </w:r>
      <w:r w:rsidR="004C6E38">
        <w:t>planeadas</w:t>
      </w:r>
      <w:r w:rsidR="00704896" w:rsidRPr="00704896">
        <w:t xml:space="preserve"> entre las </w:t>
      </w:r>
      <w:r w:rsidR="004C6E38">
        <w:t>R</w:t>
      </w:r>
      <w:r w:rsidR="00704896" w:rsidRPr="00704896">
        <w:t>egiones.</w:t>
      </w:r>
    </w:p>
    <w:p w14:paraId="5B343B5D" w14:textId="77777777" w:rsidR="007B2C32" w:rsidRPr="00CC2C5E" w:rsidRDefault="00591857" w:rsidP="00210BC4">
      <w:pPr>
        <w:pStyle w:val="AppendixNo"/>
        <w:rPr>
          <w:rStyle w:val="FootnoteReference"/>
        </w:rPr>
      </w:pPr>
      <w:bookmarkStart w:id="13" w:name="_Toc46417426"/>
      <w:bookmarkStart w:id="14" w:name="_Toc46417607"/>
      <w:bookmarkStart w:id="15" w:name="_Toc46474338"/>
      <w:bookmarkStart w:id="16" w:name="_Toc46475737"/>
      <w:r w:rsidRPr="00210BC4">
        <w:lastRenderedPageBreak/>
        <w:t>APÉNDICE</w:t>
      </w:r>
      <w:r w:rsidRPr="00CC2C5E">
        <w:t xml:space="preserve"> </w:t>
      </w:r>
      <w:r w:rsidRPr="00CC2C5E">
        <w:rPr>
          <w:rStyle w:val="href"/>
          <w:color w:val="000000"/>
        </w:rPr>
        <w:t xml:space="preserve">30A </w:t>
      </w:r>
      <w:r w:rsidRPr="00CC2C5E">
        <w:t>(</w:t>
      </w:r>
      <w:r w:rsidRPr="00CC2C5E">
        <w:rPr>
          <w:caps w:val="0"/>
        </w:rPr>
        <w:t>REV</w:t>
      </w:r>
      <w:r w:rsidRPr="00CC2C5E">
        <w:t>.CMR-1</w:t>
      </w:r>
      <w:r>
        <w:t>9</w:t>
      </w:r>
      <w:r w:rsidRPr="00CC2C5E">
        <w:t>)</w:t>
      </w:r>
      <w:r w:rsidRPr="00CC2C5E">
        <w:rPr>
          <w:rStyle w:val="FootnoteReference"/>
        </w:rPr>
        <w:footnoteReference w:customMarkFollows="1" w:id="4"/>
        <w:t>*</w:t>
      </w:r>
      <w:bookmarkEnd w:id="13"/>
      <w:bookmarkEnd w:id="14"/>
      <w:bookmarkEnd w:id="15"/>
      <w:bookmarkEnd w:id="16"/>
    </w:p>
    <w:p w14:paraId="7DD64E33" w14:textId="77777777" w:rsidR="007B2C32" w:rsidRPr="00CC2C5E" w:rsidRDefault="00591857" w:rsidP="007B2C32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bookmarkStart w:id="17" w:name="_Toc46417427"/>
      <w:bookmarkStart w:id="18" w:name="_Toc46417608"/>
      <w:bookmarkStart w:id="19" w:name="_Toc46474339"/>
      <w:bookmarkStart w:id="20" w:name="_Toc46475738"/>
      <w:r w:rsidRPr="00CC2C5E">
        <w:rPr>
          <w:color w:val="000000"/>
        </w:rPr>
        <w:t>Disposiciones y Planes asociados y Lista</w:t>
      </w:r>
      <w:r w:rsidRPr="00CC2C5E">
        <w:rPr>
          <w:rStyle w:val="FootnoteReference"/>
          <w:b w:val="0"/>
          <w:bCs/>
          <w:color w:val="000000"/>
        </w:rPr>
        <w:footnoteReference w:customMarkFollows="1" w:id="5"/>
        <w:t>1</w:t>
      </w:r>
      <w:r w:rsidRPr="00CC2C5E">
        <w:rPr>
          <w:color w:val="000000"/>
        </w:rPr>
        <w:t xml:space="preserve"> para los enlaces de conexión del</w:t>
      </w:r>
      <w:r w:rsidRPr="00CC2C5E">
        <w:rPr>
          <w:color w:val="000000"/>
        </w:rPr>
        <w:br/>
        <w:t>servicio de radiodifusión por satélite (11,7</w:t>
      </w:r>
      <w:r w:rsidRPr="00CC2C5E">
        <w:rPr>
          <w:color w:val="000000"/>
        </w:rPr>
        <w:noBreakHyphen/>
        <w:t>12,5 GHz en la Región 1,</w:t>
      </w:r>
      <w:r w:rsidRPr="00CC2C5E">
        <w:rPr>
          <w:color w:val="000000"/>
        </w:rPr>
        <w:br/>
        <w:t>12,2</w:t>
      </w:r>
      <w:r w:rsidRPr="00CC2C5E">
        <w:rPr>
          <w:color w:val="000000"/>
        </w:rPr>
        <w:noBreakHyphen/>
        <w:t>12,7 GHz en la Región 2 y 11,7</w:t>
      </w:r>
      <w:r w:rsidRPr="00CC2C5E">
        <w:rPr>
          <w:color w:val="000000"/>
        </w:rPr>
        <w:noBreakHyphen/>
        <w:t>12,2 GHz en la Región 3) en</w:t>
      </w:r>
      <w:r w:rsidRPr="00CC2C5E">
        <w:rPr>
          <w:color w:val="000000"/>
        </w:rPr>
        <w:br/>
        <w:t>las bandas de frecuencias 14,5-14,8 GHz</w:t>
      </w:r>
      <w:r w:rsidRPr="00CC2C5E">
        <w:rPr>
          <w:rStyle w:val="FootnoteReference"/>
          <w:color w:val="000000"/>
        </w:rPr>
        <w:footnoteReference w:customMarkFollows="1" w:id="6"/>
        <w:t>2</w:t>
      </w:r>
      <w:r w:rsidRPr="00CC2C5E">
        <w:rPr>
          <w:color w:val="000000"/>
        </w:rPr>
        <w:t xml:space="preserve"> y 17,3</w:t>
      </w:r>
      <w:r w:rsidRPr="00CC2C5E">
        <w:rPr>
          <w:color w:val="000000"/>
        </w:rPr>
        <w:noBreakHyphen/>
        <w:t>18,1 GHz en</w:t>
      </w:r>
      <w:r w:rsidRPr="00CC2C5E">
        <w:rPr>
          <w:color w:val="000000"/>
        </w:rPr>
        <w:br/>
      </w:r>
      <w:r>
        <w:rPr>
          <w:color w:val="000000"/>
        </w:rPr>
        <w:t>           </w:t>
      </w:r>
      <w:r w:rsidRPr="00CC2C5E">
        <w:rPr>
          <w:color w:val="000000"/>
        </w:rPr>
        <w:t>las Regiones 1 y 3, y 17,3</w:t>
      </w:r>
      <w:r w:rsidRPr="00CC2C5E">
        <w:rPr>
          <w:color w:val="000000"/>
        </w:rPr>
        <w:noBreakHyphen/>
        <w:t>17,8 GHz en la Región 2</w:t>
      </w:r>
      <w:r w:rsidRPr="00CC2C5E">
        <w:rPr>
          <w:b w:val="0"/>
          <w:bCs/>
          <w:color w:val="000000"/>
          <w:sz w:val="20"/>
        </w:rPr>
        <w:t>     </w:t>
      </w:r>
      <w:r w:rsidRPr="00CC2C5E">
        <w:rPr>
          <w:rFonts w:asciiTheme="majorBidi" w:hAnsiTheme="majorBidi" w:cstheme="majorBidi"/>
          <w:b w:val="0"/>
          <w:bCs/>
          <w:sz w:val="16"/>
        </w:rPr>
        <w:t>(CMR</w:t>
      </w:r>
      <w:r w:rsidRPr="00CC2C5E">
        <w:rPr>
          <w:rFonts w:asciiTheme="majorBidi" w:hAnsiTheme="majorBidi" w:cstheme="majorBidi"/>
          <w:b w:val="0"/>
          <w:bCs/>
          <w:sz w:val="16"/>
        </w:rPr>
        <w:noBreakHyphen/>
        <w:t>03)</w:t>
      </w:r>
      <w:bookmarkEnd w:id="17"/>
      <w:bookmarkEnd w:id="18"/>
      <w:bookmarkEnd w:id="19"/>
      <w:bookmarkEnd w:id="20"/>
    </w:p>
    <w:p w14:paraId="2182FE8E" w14:textId="77777777" w:rsidR="00BA410A" w:rsidRDefault="00591857">
      <w:pPr>
        <w:pStyle w:val="Proposal"/>
      </w:pPr>
      <w:r>
        <w:rPr>
          <w:u w:val="single"/>
        </w:rPr>
        <w:t>NOC</w:t>
      </w:r>
      <w:r>
        <w:tab/>
        <w:t>CAN/USA/MEX/94/2</w:t>
      </w:r>
    </w:p>
    <w:p w14:paraId="396C4329" w14:textId="77777777" w:rsidR="007B2C32" w:rsidRPr="0057320C" w:rsidRDefault="00591857" w:rsidP="007B2C32">
      <w:pPr>
        <w:pStyle w:val="AppArtNo"/>
        <w:tabs>
          <w:tab w:val="left" w:pos="1418"/>
        </w:tabs>
      </w:pPr>
      <w:r w:rsidRPr="0057320C">
        <w:rPr>
          <w:color w:val="000000"/>
        </w:rPr>
        <w:t>                  </w:t>
      </w:r>
      <w:r w:rsidRPr="0057320C">
        <w:t>ARTÍCULO 7</w:t>
      </w:r>
      <w:r w:rsidRPr="0057320C">
        <w:rPr>
          <w:sz w:val="16"/>
          <w:szCs w:val="16"/>
        </w:rPr>
        <w:t>     (Rev.CMR</w:t>
      </w:r>
      <w:r w:rsidRPr="0057320C">
        <w:rPr>
          <w:sz w:val="16"/>
          <w:szCs w:val="16"/>
        </w:rPr>
        <w:noBreakHyphen/>
        <w:t>19)</w:t>
      </w:r>
    </w:p>
    <w:p w14:paraId="095950DE" w14:textId="77777777" w:rsidR="007B2C32" w:rsidRPr="001D73F1" w:rsidRDefault="00591857" w:rsidP="007B2C32">
      <w:pPr>
        <w:pStyle w:val="AppArttitle"/>
        <w:rPr>
          <w:b w:val="0"/>
          <w:bCs/>
          <w:szCs w:val="28"/>
        </w:rPr>
      </w:pPr>
      <w:r w:rsidRPr="0057320C">
        <w:t>Coordinación, notificación e inscripción en el Registro Internacional de Frecuencias de las asignaciones de frecuencia a estaciones del servicio fijo</w:t>
      </w:r>
      <w:r>
        <w:br/>
      </w:r>
      <w:r w:rsidRPr="0057320C">
        <w:t>por satélite (espacio-Tierra) en la Región 1, en la banda de frecuencias 17,3</w:t>
      </w:r>
      <w:r w:rsidRPr="0057320C">
        <w:noBreakHyphen/>
        <w:t>18,1 GHz y en las Regiones 2 y</w:t>
      </w:r>
      <w:r>
        <w:t xml:space="preserve"> </w:t>
      </w:r>
      <w:r w:rsidRPr="0057320C">
        <w:t>3 en la banda de frecuencias 17,7-18,1 GHz, a estaciones del servicio fijo por satélite (Tierra</w:t>
      </w:r>
      <w:r w:rsidRPr="0057320C">
        <w:noBreakHyphen/>
        <w:t>espacio) en la Región 2 en las bandas de frecuencias 14,5</w:t>
      </w:r>
      <w:r w:rsidRPr="0057320C">
        <w:noBreakHyphen/>
        <w:t>14,8 GHz y 17,8</w:t>
      </w:r>
      <w:r w:rsidRPr="0057320C">
        <w:noBreakHyphen/>
        <w:t>18,1 GHz, a estaciones del servicio fijo por satélite (Tierra-espacio) en los países enumerados en la Resolución </w:t>
      </w:r>
      <w:r w:rsidRPr="0057320C">
        <w:rPr>
          <w:szCs w:val="28"/>
        </w:rPr>
        <w:t xml:space="preserve">163 (CMR-15) </w:t>
      </w:r>
      <w:r w:rsidRPr="0057320C">
        <w:t>en la banda de frecuencias 14,5</w:t>
      </w:r>
      <w:r w:rsidRPr="0057320C">
        <w:noBreakHyphen/>
        <w:t xml:space="preserve">14,75 GHz y en los países enumerados en la Resolución 164 </w:t>
      </w:r>
      <w:r w:rsidRPr="0057320C">
        <w:rPr>
          <w:szCs w:val="28"/>
        </w:rPr>
        <w:t>(CMR-15)</w:t>
      </w:r>
      <w:r w:rsidRPr="0057320C">
        <w:t xml:space="preserve"> en la banda de frecuencias 14,5-14,8 GHz donde estas estaciones no están previstas para enlaces de conexión para el servicio de radiodifusión por satélite y para estaciones del servicio de radiodifusión por satélite en la</w:t>
      </w:r>
      <w:r>
        <w:t xml:space="preserve"> </w:t>
      </w:r>
      <w:r w:rsidRPr="0057320C">
        <w:t>Región 2 en la banda de frecuencias 17,3-17,8 GHz, cuando intervienen asignaciones de frecuencia a enlaces de conexión para estaciones de radiodifusión por satélite en las bandas de frecuencias 14,5-14,8 GHz y 17,3-18,1 GHz en las Regiones 1 y 3 o en la banda</w:t>
      </w:r>
      <w:r>
        <w:t> </w:t>
      </w:r>
      <w:r w:rsidRPr="0057320C">
        <w:t>de frecuencias 17,3</w:t>
      </w:r>
      <w:r w:rsidRPr="0057320C">
        <w:noBreakHyphen/>
        <w:t>17,8 GHz en la Región 2</w:t>
      </w:r>
      <w:r>
        <w:rPr>
          <w:rStyle w:val="FootnoteReference"/>
          <w:b w:val="0"/>
          <w:bCs/>
          <w:szCs w:val="16"/>
        </w:rPr>
        <w:footnoteReference w:customMarkFollows="1" w:id="7"/>
        <w:t>28</w:t>
      </w:r>
      <w:r w:rsidRPr="0057320C">
        <w:rPr>
          <w:b w:val="0"/>
          <w:bCs/>
          <w:sz w:val="16"/>
          <w:szCs w:val="16"/>
        </w:rPr>
        <w:t>     (REV.CMR-19)</w:t>
      </w:r>
    </w:p>
    <w:p w14:paraId="331CCB9D" w14:textId="628C4229" w:rsidR="00990714" w:rsidRDefault="00591857" w:rsidP="00411C49">
      <w:pPr>
        <w:pStyle w:val="Reasons"/>
      </w:pPr>
      <w:r>
        <w:rPr>
          <w:b/>
        </w:rPr>
        <w:t>Motivos:</w:t>
      </w:r>
      <w:r>
        <w:tab/>
      </w:r>
      <w:r w:rsidR="004C6E38" w:rsidRPr="004C6E38">
        <w:t xml:space="preserve">El alcance de este tema que se identificó en el Informe de la RPC se limita a las repercusiones del acuerdo implícito en la situación de referencia de las asignaciones del Apéndice </w:t>
      </w:r>
      <w:r w:rsidR="004C6E38" w:rsidRPr="004C6E38">
        <w:rPr>
          <w:b/>
          <w:bCs/>
        </w:rPr>
        <w:t>30A</w:t>
      </w:r>
      <w:r w:rsidR="004C6E38" w:rsidRPr="004C6E38">
        <w:t xml:space="preserve"> del RR que no tienen en cuenta el impacto de las asignaciones no planificadas a los servicios </w:t>
      </w:r>
      <w:r w:rsidR="004C6E38" w:rsidRPr="004C6E38">
        <w:lastRenderedPageBreak/>
        <w:t xml:space="preserve">espaciales. Además, las modificaciones del Artículo 7 del Apéndice </w:t>
      </w:r>
      <w:r w:rsidR="004C6E38" w:rsidRPr="004C6E38">
        <w:rPr>
          <w:b/>
          <w:bCs/>
        </w:rPr>
        <w:t xml:space="preserve">30A </w:t>
      </w:r>
      <w:r w:rsidR="004C6E38" w:rsidRPr="004C6E38">
        <w:t>del RR no se estudiaron y podrían dar lugar a una situación desequilibrada en el tratamiento de las asignaciones planeadas frente a las no planeadas entre las Regiones.</w:t>
      </w:r>
    </w:p>
    <w:p w14:paraId="39D303AC" w14:textId="77777777" w:rsidR="00990714" w:rsidRDefault="00990714" w:rsidP="00990714"/>
    <w:p w14:paraId="72BC2052" w14:textId="77777777" w:rsidR="00990714" w:rsidRDefault="00990714">
      <w:pPr>
        <w:jc w:val="center"/>
      </w:pPr>
      <w:r>
        <w:t>______________</w:t>
      </w:r>
    </w:p>
    <w:sectPr w:rsidR="0099071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D55C" w14:textId="77777777" w:rsidR="00666B37" w:rsidRDefault="00666B37">
      <w:r>
        <w:separator/>
      </w:r>
    </w:p>
  </w:endnote>
  <w:endnote w:type="continuationSeparator" w:id="0">
    <w:p w14:paraId="77CC0CA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B70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29B46" w14:textId="59A7632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14E0">
      <w:rPr>
        <w:noProof/>
      </w:rPr>
      <w:t>09.11.23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B5E8" w14:textId="3F2AEEF9" w:rsidR="0077084A" w:rsidRDefault="00CE0879" w:rsidP="00CE0879">
    <w:pPr>
      <w:pStyle w:val="Footer"/>
      <w:rPr>
        <w:lang w:val="en-US"/>
      </w:rPr>
    </w:pPr>
    <w:r w:rsidRPr="00CE0879">
      <w:rPr>
        <w:lang w:val="en-US"/>
      </w:rPr>
      <w:fldChar w:fldCharType="begin"/>
    </w:r>
    <w:r w:rsidRPr="00CE0879">
      <w:rPr>
        <w:lang w:val="en-US"/>
      </w:rPr>
      <w:instrText xml:space="preserve"> FILENAME \p  \* MERGEFORMAT </w:instrText>
    </w:r>
    <w:r w:rsidRPr="00CE0879">
      <w:rPr>
        <w:lang w:val="en-US"/>
      </w:rPr>
      <w:fldChar w:fldCharType="separate"/>
    </w:r>
    <w:r>
      <w:rPr>
        <w:lang w:val="en-US"/>
      </w:rPr>
      <w:t>P:\ESP\ITU-R\CONF-R\CMR23\000\094S.docx</w:t>
    </w:r>
    <w:r w:rsidRPr="00CE0879">
      <w:rPr>
        <w:lang w:val="en-US"/>
      </w:rPr>
      <w:fldChar w:fldCharType="end"/>
    </w:r>
    <w:r w:rsidRPr="00CE0879">
      <w:rPr>
        <w:lang w:val="en-US"/>
      </w:rPr>
      <w:t xml:space="preserve"> </w:t>
    </w:r>
    <w:r w:rsidR="00591857">
      <w:rPr>
        <w:lang w:val="en-US"/>
      </w:rPr>
      <w:t>(530129)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E215" w14:textId="2EED27BD" w:rsidR="0077084A" w:rsidRPr="00591857" w:rsidRDefault="00CE0879" w:rsidP="00CE0879">
    <w:pPr>
      <w:pStyle w:val="Footer"/>
      <w:rPr>
        <w:lang w:val="en-US"/>
      </w:rPr>
    </w:pPr>
    <w:fldSimple w:instr=" FILENAME \p  \* MERGEFORMAT ">
      <w:r>
        <w:t>P:\ESP\ITU-R\CONF-R\CMR23\000\094S.docx</w:t>
      </w:r>
    </w:fldSimple>
    <w:r>
      <w:t xml:space="preserve"> </w:t>
    </w:r>
    <w:r w:rsidR="00591857">
      <w:rPr>
        <w:lang w:val="en-US"/>
      </w:rPr>
      <w:t>(530129)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1D4E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8EE9735" w14:textId="77777777" w:rsidR="00666B37" w:rsidRDefault="00666B37">
      <w:r>
        <w:continuationSeparator/>
      </w:r>
    </w:p>
  </w:footnote>
  <w:footnote w:id="1">
    <w:p w14:paraId="3CF63BF9" w14:textId="77777777" w:rsidR="00FF348A" w:rsidRPr="001B0C91" w:rsidRDefault="00591857" w:rsidP="007B2C32">
      <w:pPr>
        <w:pStyle w:val="FootnoteText"/>
      </w:pPr>
      <w:r w:rsidRPr="001B0C91">
        <w:rPr>
          <w:rStyle w:val="FootnoteReference"/>
        </w:rPr>
        <w:t>*</w:t>
      </w:r>
      <w:r w:rsidRPr="001B0C91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14:paraId="4D679ADE" w14:textId="77777777" w:rsidR="00FF348A" w:rsidRPr="00473C43" w:rsidRDefault="00591857" w:rsidP="007B2C32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1B0C91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14:paraId="1AAD2791" w14:textId="77777777" w:rsidR="00FF348A" w:rsidRPr="00605F62" w:rsidRDefault="00591857" w:rsidP="007B2C32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14:paraId="7FD3B53F" w14:textId="77777777" w:rsidR="00FF348A" w:rsidRPr="001B0C91" w:rsidRDefault="00591857" w:rsidP="007B2C32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14:paraId="77DD2E57" w14:textId="77777777" w:rsidR="00FF348A" w:rsidRPr="001B0C91" w:rsidRDefault="00591857" w:rsidP="007B2C32">
      <w:pPr>
        <w:pStyle w:val="FootnoteText"/>
      </w:pPr>
      <w:r w:rsidRPr="001B0C91">
        <w:rPr>
          <w:rStyle w:val="FootnoteReference"/>
        </w:rPr>
        <w:t>22</w:t>
      </w:r>
      <w:r w:rsidRPr="001B0C91">
        <w:t xml:space="preserve"> </w:t>
      </w:r>
      <w:r w:rsidRPr="001B0C91">
        <w:tab/>
      </w:r>
      <w:r w:rsidRPr="00471361">
        <w:rPr>
          <w:szCs w:val="24"/>
          <w:lang w:val="es-ES"/>
        </w:rPr>
        <w:t>Estas disposiciones no dispensan de la aplicación de los procedimientos prescritos en los Artículos</w:t>
      </w:r>
      <w:r>
        <w:rPr>
          <w:szCs w:val="24"/>
          <w:lang w:val="es-ES"/>
        </w:rPr>
        <w:t> </w:t>
      </w:r>
      <w:r w:rsidRPr="001B0C91">
        <w:rPr>
          <w:rStyle w:val="Artref"/>
          <w:b/>
          <w:color w:val="000000"/>
          <w:szCs w:val="24"/>
        </w:rPr>
        <w:t>9</w:t>
      </w:r>
      <w:r w:rsidRPr="001B0C91">
        <w:rPr>
          <w:b/>
          <w:szCs w:val="24"/>
        </w:rPr>
        <w:t xml:space="preserve"> </w:t>
      </w:r>
      <w:r w:rsidRPr="001B0C91">
        <w:rPr>
          <w:szCs w:val="24"/>
        </w:rPr>
        <w:t>y </w:t>
      </w:r>
      <w:r w:rsidRPr="001B0C91">
        <w:rPr>
          <w:rStyle w:val="Artref"/>
          <w:b/>
          <w:color w:val="000000"/>
          <w:szCs w:val="24"/>
        </w:rPr>
        <w:t>11</w:t>
      </w:r>
      <w:r w:rsidRPr="00471361">
        <w:rPr>
          <w:szCs w:val="24"/>
          <w:lang w:val="es-ES"/>
        </w:rPr>
        <w:t xml:space="preserve"> en los casos en que intervienen estaciones distintas de las del servicio de radiodifusión por satélite sujetas a un Plan.</w:t>
      </w:r>
      <w:r w:rsidRPr="00471361">
        <w:rPr>
          <w:sz w:val="16"/>
          <w:szCs w:val="16"/>
          <w:lang w:val="es-ES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03)</w:t>
      </w:r>
    </w:p>
  </w:footnote>
  <w:footnote w:id="4">
    <w:p w14:paraId="7B47B491" w14:textId="77777777" w:rsidR="00FF348A" w:rsidRPr="001B0C91" w:rsidRDefault="00591857" w:rsidP="007B2C32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5">
    <w:p w14:paraId="08E70D59" w14:textId="77777777" w:rsidR="00FF348A" w:rsidRPr="00D9062E" w:rsidRDefault="00591857" w:rsidP="007B2C32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22F7CDC0" w14:textId="77777777" w:rsidR="00FF348A" w:rsidRPr="00D9062E" w:rsidRDefault="00591857" w:rsidP="007B2C32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 w:rsidRPr="00591857">
        <w:rPr>
          <w:rStyle w:val="FootnoteTextChar"/>
          <w:lang w:val="es-ES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6">
    <w:p w14:paraId="179CFDFE" w14:textId="77777777" w:rsidR="00FF348A" w:rsidRPr="001B0C91" w:rsidRDefault="00591857" w:rsidP="007B2C32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Este uso de la banda 14,5-14,8 GHz está reservado a los países situados fuera de Europa.</w:t>
      </w:r>
    </w:p>
    <w:p w14:paraId="7CC8B86F" w14:textId="77777777" w:rsidR="00FF348A" w:rsidRPr="001B0C91" w:rsidRDefault="00591857" w:rsidP="007B2C32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  <w:footnote w:id="7">
    <w:p w14:paraId="3B587F3F" w14:textId="77777777" w:rsidR="00FF348A" w:rsidRPr="001F22C1" w:rsidRDefault="00591857" w:rsidP="007B2C32">
      <w:pPr>
        <w:pStyle w:val="FootnoteText"/>
        <w:rPr>
          <w:lang w:val="es-ES"/>
        </w:rPr>
      </w:pPr>
      <w:r>
        <w:rPr>
          <w:rStyle w:val="FootnoteReference"/>
        </w:rPr>
        <w:t>28</w:t>
      </w:r>
      <w:r>
        <w:tab/>
      </w:r>
      <w:r w:rsidRPr="001F22C1">
        <w:rPr>
          <w:lang w:val="es-ES"/>
        </w:rPr>
        <w:t>Estas disposiciones no sustituyen a los procedimientos consignados en los Artículos</w:t>
      </w:r>
      <w:r>
        <w:rPr>
          <w:lang w:val="es-ES"/>
        </w:rPr>
        <w:t> </w:t>
      </w:r>
      <w:r w:rsidRPr="00286B62">
        <w:rPr>
          <w:b/>
        </w:rPr>
        <w:t>9</w:t>
      </w:r>
      <w:r w:rsidRPr="001F22C1">
        <w:rPr>
          <w:lang w:val="es-ES"/>
        </w:rPr>
        <w:t xml:space="preserve"> y </w:t>
      </w:r>
      <w:r w:rsidRPr="00286B62">
        <w:rPr>
          <w:b/>
        </w:rPr>
        <w:t>11</w:t>
      </w:r>
      <w:r w:rsidRPr="001F22C1">
        <w:rPr>
          <w:lang w:val="es-ES"/>
        </w:rPr>
        <w:t xml:space="preserve"> cuando participan otras estaciones distintas a las del enlace de conexión del servicio de radiodifusión por satélite sujeto a un Plan.</w:t>
      </w:r>
      <w:r w:rsidRPr="001F22C1">
        <w:rPr>
          <w:sz w:val="16"/>
          <w:szCs w:val="16"/>
          <w:lang w:val="es-ES"/>
        </w:rPr>
        <w:t>     (CMR-03)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CE4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5C7DDC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94-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41605276">
    <w:abstractNumId w:val="8"/>
  </w:num>
  <w:num w:numId="2" w16cid:durableId="17996893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79940147">
    <w:abstractNumId w:val="9"/>
  </w:num>
  <w:num w:numId="4" w16cid:durableId="1996058013">
    <w:abstractNumId w:val="7"/>
  </w:num>
  <w:num w:numId="5" w16cid:durableId="662587384">
    <w:abstractNumId w:val="6"/>
  </w:num>
  <w:num w:numId="6" w16cid:durableId="806706213">
    <w:abstractNumId w:val="5"/>
  </w:num>
  <w:num w:numId="7" w16cid:durableId="1803693446">
    <w:abstractNumId w:val="4"/>
  </w:num>
  <w:num w:numId="8" w16cid:durableId="1129973881">
    <w:abstractNumId w:val="3"/>
  </w:num>
  <w:num w:numId="9" w16cid:durableId="1924413885">
    <w:abstractNumId w:val="2"/>
  </w:num>
  <w:num w:numId="10" w16cid:durableId="1423066173">
    <w:abstractNumId w:val="1"/>
  </w:num>
  <w:num w:numId="11" w16cid:durableId="12119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0BC4"/>
    <w:rsid w:val="0023659C"/>
    <w:rsid w:val="00236D2A"/>
    <w:rsid w:val="0024569E"/>
    <w:rsid w:val="00255F12"/>
    <w:rsid w:val="00262C09"/>
    <w:rsid w:val="002A791F"/>
    <w:rsid w:val="002B6579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6E38"/>
    <w:rsid w:val="004D2749"/>
    <w:rsid w:val="004D2C7C"/>
    <w:rsid w:val="005133B5"/>
    <w:rsid w:val="00524392"/>
    <w:rsid w:val="00532097"/>
    <w:rsid w:val="0058350F"/>
    <w:rsid w:val="00583C7E"/>
    <w:rsid w:val="0059098E"/>
    <w:rsid w:val="00591857"/>
    <w:rsid w:val="005B14E0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6F3AD8"/>
    <w:rsid w:val="00701C20"/>
    <w:rsid w:val="00702F3D"/>
    <w:rsid w:val="00704896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354D4"/>
    <w:rsid w:val="008504C2"/>
    <w:rsid w:val="00866AE6"/>
    <w:rsid w:val="008750A8"/>
    <w:rsid w:val="008D3316"/>
    <w:rsid w:val="008E4C95"/>
    <w:rsid w:val="008E5AF2"/>
    <w:rsid w:val="0090121B"/>
    <w:rsid w:val="009144C9"/>
    <w:rsid w:val="0094091F"/>
    <w:rsid w:val="00962171"/>
    <w:rsid w:val="00973754"/>
    <w:rsid w:val="00990714"/>
    <w:rsid w:val="009C0BED"/>
    <w:rsid w:val="009E11EC"/>
    <w:rsid w:val="00A021CC"/>
    <w:rsid w:val="00A118DB"/>
    <w:rsid w:val="00A4450C"/>
    <w:rsid w:val="00AA4557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A410A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0879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42C01"/>
    <w:rsid w:val="00F623EB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3AA8C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basedOn w:val="DefaultParagraphFont"/>
    <w:link w:val="FootnoteText"/>
    <w:qFormat/>
    <w:rsid w:val="009B0032"/>
    <w:rPr>
      <w:rFonts w:ascii="Times New Roman" w:hAnsi="Times New Roman"/>
      <w:lang w:val="fr-FR" w:eastAsia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R23-WRC23-C-0094!!MSW-S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5497E4-7283-4555-8A5C-02AA09F30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8EC68-6190-4303-8D0B-1BC0CC30F6A9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www.w3.org/XML/1998/namespace"/>
    <ds:schemaRef ds:uri="http://purl.org/dc/elements/1.1/"/>
    <ds:schemaRef ds:uri="http://schemas.microsoft.com/office/2006/documentManagement/types"/>
    <ds:schemaRef ds:uri="996b2e75-67fd-4955-a3b0-5ab9934cb50b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0C6B8B-B535-4DAE-BF82-D8C2CB45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9B4E6F-CD40-4C35-9818-F81C7D580E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727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R23-WRC23-C-0094!!MSW-S</vt:lpstr>
    </vt:vector>
  </TitlesOfParts>
  <Manager>Secretaría General - Pool</Manager>
  <Company>Unión Internacional de Telecomunicaciones (UIT)</Company>
  <LinksUpToDate>false</LinksUpToDate>
  <CharactersWithSpaces>4618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R23-WRC23-C-0094!!MSW-S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6</cp:revision>
  <cp:lastPrinted>2003-02-19T20:20:00Z</cp:lastPrinted>
  <dcterms:created xsi:type="dcterms:W3CDTF">2023-11-09T15:23:00Z</dcterms:created>
  <dcterms:modified xsi:type="dcterms:W3CDTF">2023-11-09T16:00:00Z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