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72305CC9" w14:textId="77777777" w:rsidTr="00752552">
        <w:trPr>
          <w:cantSplit/>
          <w:trHeight w:val="20"/>
        </w:trPr>
        <w:tc>
          <w:tcPr>
            <w:tcW w:w="1589" w:type="dxa"/>
            <w:vAlign w:val="center"/>
          </w:tcPr>
          <w:p w14:paraId="71AC5CDB"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60B980D9" wp14:editId="4790EDCE">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7C7341A7"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6CAAACDC"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6AB6643D" w14:textId="77777777" w:rsidR="00752552" w:rsidRPr="000D1EE4" w:rsidRDefault="00752552" w:rsidP="00752552">
            <w:pPr>
              <w:jc w:val="right"/>
              <w:rPr>
                <w:rtl/>
                <w:lang w:bidi="ar-EG"/>
              </w:rPr>
            </w:pPr>
            <w:bookmarkStart w:id="0" w:name="ditulogo"/>
            <w:bookmarkEnd w:id="0"/>
            <w:r>
              <w:rPr>
                <w:noProof/>
              </w:rPr>
              <w:drawing>
                <wp:inline distT="0" distB="0" distL="0" distR="0" wp14:anchorId="1DFFE409" wp14:editId="7CDBEBD5">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4221B28A" w14:textId="77777777" w:rsidTr="00752552">
        <w:trPr>
          <w:cantSplit/>
          <w:trHeight w:val="20"/>
        </w:trPr>
        <w:tc>
          <w:tcPr>
            <w:tcW w:w="6696" w:type="dxa"/>
            <w:gridSpan w:val="2"/>
            <w:tcBorders>
              <w:bottom w:val="single" w:sz="12" w:space="0" w:color="auto"/>
            </w:tcBorders>
          </w:tcPr>
          <w:p w14:paraId="4464890D" w14:textId="77777777" w:rsidR="000D1EE4" w:rsidRPr="000D1EE4" w:rsidRDefault="000D1EE4" w:rsidP="000D1EE4">
            <w:pPr>
              <w:rPr>
                <w:rtl/>
                <w:lang w:bidi="ar-EG"/>
              </w:rPr>
            </w:pPr>
          </w:p>
        </w:tc>
        <w:tc>
          <w:tcPr>
            <w:tcW w:w="2970" w:type="dxa"/>
            <w:gridSpan w:val="2"/>
            <w:tcBorders>
              <w:bottom w:val="single" w:sz="12" w:space="0" w:color="auto"/>
            </w:tcBorders>
          </w:tcPr>
          <w:p w14:paraId="5FEA7F47" w14:textId="77777777" w:rsidR="000D1EE4" w:rsidRPr="000D1EE4" w:rsidRDefault="000D1EE4" w:rsidP="000D1EE4">
            <w:pPr>
              <w:rPr>
                <w:lang w:val="en-GB" w:bidi="ar-EG"/>
              </w:rPr>
            </w:pPr>
          </w:p>
        </w:tc>
      </w:tr>
      <w:tr w:rsidR="000D1EE4" w:rsidRPr="000D1EE4" w14:paraId="7818CF39" w14:textId="77777777" w:rsidTr="00752552">
        <w:trPr>
          <w:cantSplit/>
          <w:trHeight w:val="20"/>
        </w:trPr>
        <w:tc>
          <w:tcPr>
            <w:tcW w:w="6696" w:type="dxa"/>
            <w:gridSpan w:val="2"/>
            <w:tcBorders>
              <w:top w:val="single" w:sz="12" w:space="0" w:color="auto"/>
            </w:tcBorders>
          </w:tcPr>
          <w:p w14:paraId="21CB399E" w14:textId="77777777" w:rsidR="000D1EE4" w:rsidRPr="000D1EE4" w:rsidRDefault="000D1EE4" w:rsidP="000D1EE4">
            <w:pPr>
              <w:rPr>
                <w:b/>
                <w:bCs/>
                <w:rtl/>
                <w:lang w:bidi="ar-EG"/>
              </w:rPr>
            </w:pPr>
          </w:p>
        </w:tc>
        <w:tc>
          <w:tcPr>
            <w:tcW w:w="2970" w:type="dxa"/>
            <w:gridSpan w:val="2"/>
            <w:tcBorders>
              <w:top w:val="single" w:sz="12" w:space="0" w:color="auto"/>
            </w:tcBorders>
          </w:tcPr>
          <w:p w14:paraId="0C6E21F1" w14:textId="77777777" w:rsidR="000D1EE4" w:rsidRPr="000D1EE4" w:rsidRDefault="000D1EE4" w:rsidP="000D1EE4">
            <w:pPr>
              <w:rPr>
                <w:b/>
                <w:bCs/>
                <w:lang w:bidi="ar-EG"/>
              </w:rPr>
            </w:pPr>
          </w:p>
        </w:tc>
      </w:tr>
      <w:tr w:rsidR="000D1EE4" w:rsidRPr="000D1EE4" w14:paraId="682E7CCC" w14:textId="77777777" w:rsidTr="00752552">
        <w:trPr>
          <w:cantSplit/>
        </w:trPr>
        <w:tc>
          <w:tcPr>
            <w:tcW w:w="6696" w:type="dxa"/>
            <w:gridSpan w:val="2"/>
          </w:tcPr>
          <w:p w14:paraId="6AD2B225" w14:textId="77777777" w:rsidR="000D1EE4" w:rsidRPr="007A2951" w:rsidRDefault="00E50850" w:rsidP="00C82519">
            <w:pPr>
              <w:pStyle w:val="Committee"/>
              <w:bidi/>
              <w:rPr>
                <w:rFonts w:hint="cs"/>
                <w:lang w:val="en-US" w:bidi="ar-EG"/>
              </w:rPr>
            </w:pPr>
            <w:r w:rsidRPr="0018721C">
              <w:rPr>
                <w:rtl/>
              </w:rPr>
              <w:t>الجلسة العامة</w:t>
            </w:r>
          </w:p>
        </w:tc>
        <w:tc>
          <w:tcPr>
            <w:tcW w:w="2970" w:type="dxa"/>
            <w:gridSpan w:val="2"/>
          </w:tcPr>
          <w:p w14:paraId="300919C6" w14:textId="77777777" w:rsidR="000D1EE4" w:rsidRPr="00C82519" w:rsidRDefault="00E50850" w:rsidP="00C82519">
            <w:pPr>
              <w:jc w:val="left"/>
              <w:rPr>
                <w:b/>
                <w:bCs/>
                <w:rtl/>
                <w:lang w:bidi="ar-EG"/>
              </w:rPr>
            </w:pPr>
            <w:r w:rsidRPr="00C82519">
              <w:rPr>
                <w:rFonts w:eastAsia="SimSun"/>
                <w:b/>
                <w:bCs/>
                <w:rtl/>
                <w:lang w:bidi="ar-EG"/>
              </w:rPr>
              <w:t>الإضافة 12</w:t>
            </w:r>
            <w:r w:rsidRPr="00C82519">
              <w:rPr>
                <w:rFonts w:eastAsia="SimSun"/>
                <w:b/>
                <w:bCs/>
                <w:rtl/>
                <w:lang w:bidi="ar-EG"/>
              </w:rPr>
              <w:br/>
              <w:t xml:space="preserve">للوثيقة </w:t>
            </w:r>
            <w:r w:rsidRPr="00C82519">
              <w:rPr>
                <w:rFonts w:eastAsia="SimSun"/>
                <w:b/>
                <w:bCs/>
              </w:rPr>
              <w:t>100-A</w:t>
            </w:r>
          </w:p>
        </w:tc>
      </w:tr>
      <w:tr w:rsidR="000D1EE4" w:rsidRPr="000D1EE4" w14:paraId="6D21D857" w14:textId="77777777" w:rsidTr="00752552">
        <w:trPr>
          <w:cantSplit/>
        </w:trPr>
        <w:tc>
          <w:tcPr>
            <w:tcW w:w="6696" w:type="dxa"/>
            <w:gridSpan w:val="2"/>
          </w:tcPr>
          <w:p w14:paraId="5A767CF8" w14:textId="77777777" w:rsidR="000D1EE4" w:rsidRPr="000D1EE4" w:rsidRDefault="000D1EE4" w:rsidP="000D1EE4">
            <w:pPr>
              <w:spacing w:before="60" w:after="60" w:line="260" w:lineRule="exact"/>
              <w:rPr>
                <w:b/>
                <w:bCs/>
                <w:rtl/>
                <w:lang w:bidi="ar-EG"/>
              </w:rPr>
            </w:pPr>
          </w:p>
        </w:tc>
        <w:tc>
          <w:tcPr>
            <w:tcW w:w="2970" w:type="dxa"/>
            <w:gridSpan w:val="2"/>
          </w:tcPr>
          <w:p w14:paraId="0EA50E4A" w14:textId="77777777" w:rsidR="000D1EE4" w:rsidRPr="00C82519" w:rsidRDefault="00E50850" w:rsidP="00C82519">
            <w:pPr>
              <w:jc w:val="left"/>
              <w:rPr>
                <w:b/>
                <w:bCs/>
                <w:rtl/>
                <w:lang w:bidi="ar-EG"/>
              </w:rPr>
            </w:pPr>
            <w:r w:rsidRPr="00C82519">
              <w:rPr>
                <w:rFonts w:eastAsia="SimSun"/>
                <w:b/>
                <w:bCs/>
              </w:rPr>
              <w:t>27</w:t>
            </w:r>
            <w:r w:rsidRPr="00C82519">
              <w:rPr>
                <w:rFonts w:eastAsia="SimSun"/>
                <w:b/>
                <w:bCs/>
                <w:rtl/>
              </w:rPr>
              <w:t xml:space="preserve"> أكتوبر </w:t>
            </w:r>
            <w:r w:rsidRPr="00C82519">
              <w:rPr>
                <w:rFonts w:eastAsia="SimSun"/>
                <w:b/>
                <w:bCs/>
              </w:rPr>
              <w:t>2023</w:t>
            </w:r>
          </w:p>
        </w:tc>
      </w:tr>
      <w:tr w:rsidR="000D1EE4" w:rsidRPr="000D1EE4" w14:paraId="4A0FD792" w14:textId="77777777" w:rsidTr="00752552">
        <w:trPr>
          <w:cantSplit/>
        </w:trPr>
        <w:tc>
          <w:tcPr>
            <w:tcW w:w="6696" w:type="dxa"/>
            <w:gridSpan w:val="2"/>
          </w:tcPr>
          <w:p w14:paraId="467568EE" w14:textId="77777777" w:rsidR="000D1EE4" w:rsidRPr="000D1EE4" w:rsidRDefault="000D1EE4" w:rsidP="000D1EE4">
            <w:pPr>
              <w:spacing w:before="60" w:after="60" w:line="260" w:lineRule="exact"/>
              <w:rPr>
                <w:b/>
                <w:bCs/>
                <w:rtl/>
                <w:lang w:bidi="ar-EG"/>
              </w:rPr>
            </w:pPr>
          </w:p>
        </w:tc>
        <w:tc>
          <w:tcPr>
            <w:tcW w:w="2970" w:type="dxa"/>
            <w:gridSpan w:val="2"/>
          </w:tcPr>
          <w:p w14:paraId="21475EE2" w14:textId="77777777" w:rsidR="000D1EE4" w:rsidRPr="00C82519" w:rsidRDefault="00E50850" w:rsidP="00C82519">
            <w:pPr>
              <w:jc w:val="left"/>
              <w:rPr>
                <w:b/>
                <w:bCs/>
                <w:lang w:bidi="ar-EG"/>
              </w:rPr>
            </w:pPr>
            <w:r w:rsidRPr="00C82519">
              <w:rPr>
                <w:rFonts w:ascii="Verdana Bold" w:hAnsi="Verdana Bold"/>
                <w:b/>
                <w:bCs/>
                <w:rtl/>
                <w:lang w:bidi="ar-EG"/>
              </w:rPr>
              <w:t>الأصل: بالإنكليزية</w:t>
            </w:r>
          </w:p>
        </w:tc>
      </w:tr>
      <w:tr w:rsidR="000D1EE4" w:rsidRPr="000D1EE4" w14:paraId="61929363" w14:textId="77777777" w:rsidTr="00752552">
        <w:trPr>
          <w:cantSplit/>
        </w:trPr>
        <w:tc>
          <w:tcPr>
            <w:tcW w:w="9666" w:type="dxa"/>
            <w:gridSpan w:val="4"/>
          </w:tcPr>
          <w:p w14:paraId="5CCDE337" w14:textId="77777777" w:rsidR="000D1EE4" w:rsidRPr="000D1EE4" w:rsidRDefault="000D1EE4" w:rsidP="000D1EE4">
            <w:pPr>
              <w:rPr>
                <w:b/>
                <w:bCs/>
                <w:lang w:bidi="ar-EG"/>
              </w:rPr>
            </w:pPr>
          </w:p>
        </w:tc>
      </w:tr>
      <w:tr w:rsidR="000D1EE4" w:rsidRPr="000D1EE4" w14:paraId="14CCF517" w14:textId="77777777" w:rsidTr="00752552">
        <w:trPr>
          <w:cantSplit/>
        </w:trPr>
        <w:tc>
          <w:tcPr>
            <w:tcW w:w="9666" w:type="dxa"/>
            <w:gridSpan w:val="4"/>
          </w:tcPr>
          <w:p w14:paraId="4F2D3812" w14:textId="77777777" w:rsidR="000D1EE4" w:rsidRPr="000D1EE4" w:rsidRDefault="000D1EE4" w:rsidP="000D1EE4">
            <w:pPr>
              <w:pStyle w:val="Source"/>
              <w:rPr>
                <w:rtl/>
                <w:lang w:bidi="ar-SA"/>
              </w:rPr>
            </w:pPr>
            <w:r w:rsidRPr="000D1EE4">
              <w:rPr>
                <w:rtl/>
              </w:rPr>
              <w:t>مقترحات مشتركة مقدمة من الدول العربية</w:t>
            </w:r>
          </w:p>
        </w:tc>
      </w:tr>
      <w:tr w:rsidR="000D1EE4" w:rsidRPr="000D1EE4" w14:paraId="4804B7A7" w14:textId="77777777" w:rsidTr="00752552">
        <w:trPr>
          <w:cantSplit/>
        </w:trPr>
        <w:tc>
          <w:tcPr>
            <w:tcW w:w="9666" w:type="dxa"/>
            <w:gridSpan w:val="4"/>
          </w:tcPr>
          <w:p w14:paraId="15E33213" w14:textId="73DEFB25" w:rsidR="000D1EE4" w:rsidRPr="001F694A" w:rsidRDefault="001F694A" w:rsidP="000D1EE4">
            <w:pPr>
              <w:pStyle w:val="Title1"/>
            </w:pPr>
            <w:r>
              <w:rPr>
                <w:rFonts w:hint="cs"/>
                <w:rtl/>
              </w:rPr>
              <w:t>مقترحات بشأن أعمال المؤتمر</w:t>
            </w:r>
          </w:p>
        </w:tc>
      </w:tr>
      <w:tr w:rsidR="000D1EE4" w:rsidRPr="000D1EE4" w14:paraId="2639642D" w14:textId="77777777" w:rsidTr="00752552">
        <w:trPr>
          <w:cantSplit/>
        </w:trPr>
        <w:tc>
          <w:tcPr>
            <w:tcW w:w="9666" w:type="dxa"/>
            <w:gridSpan w:val="4"/>
          </w:tcPr>
          <w:p w14:paraId="780656B5" w14:textId="77777777" w:rsidR="000D1EE4" w:rsidRPr="000D1EE4" w:rsidRDefault="000D1EE4" w:rsidP="000D1EE4">
            <w:pPr>
              <w:pStyle w:val="Title2"/>
              <w:rPr>
                <w:rtl/>
              </w:rPr>
            </w:pPr>
          </w:p>
        </w:tc>
      </w:tr>
      <w:tr w:rsidR="00E50850" w:rsidRPr="000D1EE4" w14:paraId="56E247E7" w14:textId="77777777" w:rsidTr="00752552">
        <w:trPr>
          <w:cantSplit/>
        </w:trPr>
        <w:tc>
          <w:tcPr>
            <w:tcW w:w="9666" w:type="dxa"/>
            <w:gridSpan w:val="4"/>
          </w:tcPr>
          <w:p w14:paraId="02C4E718" w14:textId="735766A0" w:rsidR="00E50850" w:rsidRPr="000D1EE4" w:rsidRDefault="00E50850" w:rsidP="00E50850">
            <w:pPr>
              <w:pStyle w:val="Agendaitem"/>
              <w:rPr>
                <w:rtl/>
                <w:lang w:bidi="ar-SA"/>
              </w:rPr>
            </w:pPr>
            <w:r>
              <w:rPr>
                <w:rtl/>
              </w:rPr>
              <w:t>بند جدول الأعمال</w:t>
            </w:r>
            <w:r w:rsidR="00C82519">
              <w:rPr>
                <w:rFonts w:hint="cs"/>
                <w:rtl/>
                <w:lang w:bidi="ar-SA"/>
              </w:rPr>
              <w:t xml:space="preserve"> </w:t>
            </w:r>
            <w:r w:rsidR="00C82519">
              <w:rPr>
                <w:rtl/>
              </w:rPr>
              <w:t>12.1</w:t>
            </w:r>
          </w:p>
        </w:tc>
      </w:tr>
    </w:tbl>
    <w:p w14:paraId="41ED4E00" w14:textId="77777777" w:rsidR="00C05410" w:rsidRPr="00FE2CFF" w:rsidRDefault="00C05410" w:rsidP="0001710C">
      <w:pPr>
        <w:spacing w:line="185" w:lineRule="auto"/>
        <w:rPr>
          <w:rtl/>
          <w:lang w:val="en-GB"/>
        </w:rPr>
      </w:pPr>
      <w:r w:rsidRPr="00684F98">
        <w:t>12.1</w:t>
      </w:r>
      <w:r w:rsidRPr="00684F98">
        <w:tab/>
      </w:r>
      <w:r w:rsidRPr="00FE2CFF">
        <w:rPr>
          <w:rtl/>
          <w:lang w:val="es-ES"/>
        </w:rPr>
        <w:t xml:space="preserve">إجراء الدراسات الضرورية واستكمالها في الوقت المناسب </w:t>
      </w:r>
      <w:r w:rsidRPr="00FE2CFF">
        <w:rPr>
          <w:rFonts w:hint="eastAsia"/>
          <w:rtl/>
          <w:lang w:val="es-ES"/>
        </w:rPr>
        <w:t>قبل</w:t>
      </w:r>
      <w:r w:rsidRPr="00FE2CFF">
        <w:rPr>
          <w:rtl/>
          <w:lang w:val="es-ES"/>
        </w:rPr>
        <w:t xml:space="preserve"> </w:t>
      </w:r>
      <w:r w:rsidRPr="00FE2CFF">
        <w:rPr>
          <w:rFonts w:hint="eastAsia"/>
          <w:rtl/>
          <w:lang w:val="es-ES"/>
        </w:rPr>
        <w:t>ا</w:t>
      </w:r>
      <w:r w:rsidRPr="00FE2CFF">
        <w:rPr>
          <w:rtl/>
          <w:lang w:val="es-ES"/>
        </w:rPr>
        <w:t>لمؤتمر العالمي للاتصالات الراديوية لعام</w:t>
      </w:r>
      <w:r w:rsidRPr="00FE2CFF">
        <w:rPr>
          <w:rFonts w:hint="cs"/>
          <w:rtl/>
          <w:lang w:val="es-ES"/>
        </w:rPr>
        <w:t> </w:t>
      </w:r>
      <w:r w:rsidRPr="00FE2CFF">
        <w:rPr>
          <w:lang w:bidi="ar-EG"/>
        </w:rPr>
        <w:t>2023</w:t>
      </w:r>
      <w:r w:rsidRPr="00FE2CFF">
        <w:rPr>
          <w:rtl/>
          <w:lang w:val="es-ES"/>
        </w:rPr>
        <w:t xml:space="preserve"> من أجل إمكانية منح توزيع ثانوي جديد لخدمة استكشاف الأرض الساتلية (النشيطة) فيما يخص أنظمة السبر الراد</w:t>
      </w:r>
      <w:r w:rsidRPr="00FE2CFF">
        <w:rPr>
          <w:rFonts w:hint="eastAsia"/>
          <w:rtl/>
          <w:lang w:val="es-ES"/>
        </w:rPr>
        <w:t>يو</w:t>
      </w:r>
      <w:r w:rsidRPr="00FE2CFF">
        <w:rPr>
          <w:rtl/>
          <w:lang w:val="es-ES"/>
        </w:rPr>
        <w:t>ية المحمولة في الفضاء ضمن مدى التردد</w:t>
      </w:r>
      <w:r w:rsidRPr="00FE2CFF">
        <w:rPr>
          <w:rFonts w:hint="eastAsia"/>
          <w:rtl/>
          <w:lang w:val="es-ES"/>
        </w:rPr>
        <w:t>ات</w:t>
      </w:r>
      <w:r w:rsidRPr="00FE2CFF">
        <w:rPr>
          <w:rtl/>
          <w:lang w:val="es-ES"/>
        </w:rPr>
        <w:t xml:space="preserve"> </w:t>
      </w:r>
      <w:r w:rsidRPr="00FE2CFF">
        <w:rPr>
          <w:rFonts w:hint="eastAsia"/>
          <w:rtl/>
          <w:lang w:val="es-ES"/>
        </w:rPr>
        <w:t>حول</w:t>
      </w:r>
      <w:r w:rsidRPr="00FE2CFF">
        <w:rPr>
          <w:rtl/>
          <w:lang w:val="es-ES"/>
        </w:rPr>
        <w:t xml:space="preserve"> </w:t>
      </w:r>
      <w:r w:rsidRPr="00FE2CFF">
        <w:rPr>
          <w:lang w:bidi="ar-EG"/>
        </w:rPr>
        <w:t>MHz 45</w:t>
      </w:r>
      <w:r w:rsidRPr="00FE2CFF">
        <w:rPr>
          <w:rtl/>
          <w:lang w:val="es-ES"/>
        </w:rPr>
        <w:t>، مع مراعاة حماية الخدمات القائمة</w:t>
      </w:r>
      <w:r w:rsidRPr="00FE2CFF">
        <w:rPr>
          <w:rFonts w:hint="eastAsia"/>
          <w:rtl/>
          <w:lang w:val="es-ES"/>
        </w:rPr>
        <w:t>،</w:t>
      </w:r>
      <w:r w:rsidRPr="00FE2CFF">
        <w:rPr>
          <w:rtl/>
          <w:lang w:val="es-ES"/>
        </w:rPr>
        <w:t xml:space="preserve"> </w:t>
      </w:r>
      <w:r w:rsidRPr="00FE2CFF">
        <w:rPr>
          <w:rFonts w:hint="eastAsia"/>
          <w:rtl/>
          <w:lang w:val="es-ES"/>
        </w:rPr>
        <w:t>بما</w:t>
      </w:r>
      <w:r w:rsidRPr="00FE2CFF">
        <w:rPr>
          <w:rtl/>
          <w:lang w:val="es-ES"/>
        </w:rPr>
        <w:t xml:space="preserve"> </w:t>
      </w:r>
      <w:r w:rsidRPr="00FE2CFF">
        <w:rPr>
          <w:rFonts w:hint="eastAsia"/>
          <w:rtl/>
          <w:lang w:val="es-ES"/>
        </w:rPr>
        <w:t>فيها</w:t>
      </w:r>
      <w:r w:rsidRPr="00FE2CFF">
        <w:rPr>
          <w:rtl/>
          <w:lang w:val="es-ES"/>
        </w:rPr>
        <w:t xml:space="preserve"> </w:t>
      </w:r>
      <w:r w:rsidRPr="00FE2CFF">
        <w:rPr>
          <w:rFonts w:hint="eastAsia"/>
          <w:rtl/>
          <w:lang w:val="es-ES"/>
        </w:rPr>
        <w:t>تلك</w:t>
      </w:r>
      <w:r w:rsidRPr="00FE2CFF">
        <w:rPr>
          <w:rtl/>
          <w:lang w:val="es-ES"/>
        </w:rPr>
        <w:t xml:space="preserve"> </w:t>
      </w:r>
      <w:r w:rsidRPr="00FE2CFF">
        <w:rPr>
          <w:rFonts w:hint="eastAsia"/>
          <w:rtl/>
          <w:lang w:val="es-ES"/>
        </w:rPr>
        <w:t>القائمة</w:t>
      </w:r>
      <w:r w:rsidRPr="00FE2CFF">
        <w:rPr>
          <w:rtl/>
          <w:lang w:val="es-ES"/>
        </w:rPr>
        <w:t xml:space="preserve"> </w:t>
      </w:r>
      <w:r w:rsidRPr="00FE2CFF">
        <w:rPr>
          <w:rFonts w:hint="eastAsia"/>
          <w:rtl/>
          <w:lang w:val="es-ES"/>
        </w:rPr>
        <w:t>في</w:t>
      </w:r>
      <w:r w:rsidRPr="00FE2CFF">
        <w:rPr>
          <w:rtl/>
          <w:lang w:val="es-ES"/>
        </w:rPr>
        <w:t xml:space="preserve"> </w:t>
      </w:r>
      <w:r w:rsidRPr="00FE2CFF">
        <w:rPr>
          <w:rFonts w:hint="eastAsia"/>
          <w:rtl/>
          <w:lang w:val="es-ES"/>
        </w:rPr>
        <w:t>النطاقات</w:t>
      </w:r>
      <w:r w:rsidRPr="00FE2CFF">
        <w:rPr>
          <w:rtl/>
          <w:lang w:val="es-ES"/>
        </w:rPr>
        <w:t xml:space="preserve"> </w:t>
      </w:r>
      <w:r w:rsidRPr="00FE2CFF">
        <w:rPr>
          <w:rFonts w:hint="eastAsia"/>
          <w:rtl/>
          <w:lang w:val="es-ES"/>
        </w:rPr>
        <w:t>المجاورة،</w:t>
      </w:r>
      <w:r w:rsidRPr="00FE2CFF">
        <w:rPr>
          <w:rtl/>
          <w:lang w:val="es-ES"/>
        </w:rPr>
        <w:t xml:space="preserve"> </w:t>
      </w:r>
      <w:r w:rsidRPr="00FE2CFF">
        <w:rPr>
          <w:rFonts w:hint="cs"/>
          <w:rtl/>
          <w:lang w:val="es-ES"/>
        </w:rPr>
        <w:t>وفقاً</w:t>
      </w:r>
      <w:r w:rsidRPr="00FE2CFF">
        <w:rPr>
          <w:rtl/>
          <w:lang w:val="es-ES"/>
        </w:rPr>
        <w:t xml:space="preserve"> للقرار </w:t>
      </w:r>
      <w:r w:rsidRPr="00FE2CFF">
        <w:rPr>
          <w:b/>
          <w:lang w:bidi="ar-EG"/>
        </w:rPr>
        <w:t>656</w:t>
      </w:r>
      <w:r w:rsidRPr="00FE2CFF">
        <w:rPr>
          <w:b/>
          <w:lang w:val="en-GB" w:bidi="ar-EG"/>
        </w:rPr>
        <w:t> (</w:t>
      </w:r>
      <w:proofErr w:type="spellStart"/>
      <w:r w:rsidRPr="00FE2CFF">
        <w:rPr>
          <w:b/>
          <w:lang w:val="en-GB" w:bidi="ar-EG"/>
        </w:rPr>
        <w:t>Rev.WRC</w:t>
      </w:r>
      <w:proofErr w:type="spellEnd"/>
      <w:r w:rsidRPr="00FE2CFF">
        <w:rPr>
          <w:b/>
          <w:lang w:val="en-GB" w:bidi="ar-EG"/>
        </w:rPr>
        <w:noBreakHyphen/>
      </w:r>
      <w:proofErr w:type="gramStart"/>
      <w:r w:rsidRPr="00FE2CFF">
        <w:rPr>
          <w:b/>
          <w:lang w:bidi="ar-EG"/>
        </w:rPr>
        <w:t>19</w:t>
      </w:r>
      <w:r w:rsidRPr="00FE2CFF">
        <w:rPr>
          <w:b/>
          <w:lang w:val="en-GB" w:bidi="ar-EG"/>
        </w:rPr>
        <w:t>)</w:t>
      </w:r>
      <w:r w:rsidRPr="00FE2CFF">
        <w:rPr>
          <w:rFonts w:hint="eastAsia"/>
          <w:b/>
          <w:rtl/>
          <w:lang w:val="es-ES" w:bidi="ar-EG"/>
        </w:rPr>
        <w:t>؛</w:t>
      </w:r>
      <w:proofErr w:type="gramEnd"/>
    </w:p>
    <w:p w14:paraId="47D621C1" w14:textId="290CF91B" w:rsidR="00C05410" w:rsidRDefault="00C82519" w:rsidP="00ED60FD">
      <w:pPr>
        <w:pStyle w:val="Headingb"/>
        <w:rPr>
          <w:rtl/>
        </w:rPr>
      </w:pPr>
      <w:r>
        <w:rPr>
          <w:rFonts w:hint="cs"/>
          <w:rtl/>
        </w:rPr>
        <w:t>مقدمة</w:t>
      </w:r>
    </w:p>
    <w:p w14:paraId="086262F2" w14:textId="12DE0BBE" w:rsidR="00C82519" w:rsidRPr="00F22B46" w:rsidRDefault="00F22B46" w:rsidP="00F22B46">
      <w:pPr>
        <w:spacing w:line="185" w:lineRule="auto"/>
        <w:rPr>
          <w:rtl/>
          <w:lang w:val="en-GB"/>
        </w:rPr>
      </w:pPr>
      <w:r>
        <w:rPr>
          <w:rFonts w:hint="cs"/>
          <w:rtl/>
        </w:rPr>
        <w:t xml:space="preserve">وفقاً </w:t>
      </w:r>
      <w:r w:rsidRPr="00FE2CFF">
        <w:rPr>
          <w:rtl/>
          <w:lang w:val="es-ES"/>
        </w:rPr>
        <w:t xml:space="preserve">للقرار </w:t>
      </w:r>
      <w:r w:rsidRPr="00FE2CFF">
        <w:rPr>
          <w:b/>
          <w:lang w:bidi="ar-EG"/>
        </w:rPr>
        <w:t>656</w:t>
      </w:r>
      <w:r w:rsidRPr="00FE2CFF">
        <w:rPr>
          <w:b/>
          <w:lang w:val="en-GB" w:bidi="ar-EG"/>
        </w:rPr>
        <w:t> (</w:t>
      </w:r>
      <w:proofErr w:type="spellStart"/>
      <w:r w:rsidRPr="00FE2CFF">
        <w:rPr>
          <w:b/>
          <w:lang w:val="en-GB" w:bidi="ar-EG"/>
        </w:rPr>
        <w:t>Rev.WRC</w:t>
      </w:r>
      <w:proofErr w:type="spellEnd"/>
      <w:r w:rsidRPr="00FE2CFF">
        <w:rPr>
          <w:b/>
          <w:lang w:val="en-GB" w:bidi="ar-EG"/>
        </w:rPr>
        <w:noBreakHyphen/>
      </w:r>
      <w:r w:rsidRPr="00FE2CFF">
        <w:rPr>
          <w:b/>
          <w:lang w:bidi="ar-EG"/>
        </w:rPr>
        <w:t>19</w:t>
      </w:r>
      <w:r w:rsidRPr="00FE2CFF">
        <w:rPr>
          <w:b/>
          <w:lang w:val="en-GB" w:bidi="ar-EG"/>
        </w:rPr>
        <w:t>)</w:t>
      </w:r>
      <w:r>
        <w:rPr>
          <w:rFonts w:hint="cs"/>
          <w:b/>
          <w:rtl/>
          <w:lang w:val="es-ES" w:bidi="ar-EG"/>
        </w:rPr>
        <w:t xml:space="preserve">، </w:t>
      </w:r>
      <w:r w:rsidR="00C82519">
        <w:rPr>
          <w:rtl/>
        </w:rPr>
        <w:t>ي</w:t>
      </w:r>
      <w:r w:rsidR="005246C6">
        <w:rPr>
          <w:rFonts w:hint="cs"/>
          <w:rtl/>
        </w:rPr>
        <w:t>ُ</w:t>
      </w:r>
      <w:r w:rsidR="00C82519">
        <w:rPr>
          <w:rtl/>
        </w:rPr>
        <w:t>دع</w:t>
      </w:r>
      <w:r>
        <w:rPr>
          <w:rFonts w:hint="cs"/>
          <w:rtl/>
        </w:rPr>
        <w:t>ى</w:t>
      </w:r>
      <w:r w:rsidR="00C82519">
        <w:rPr>
          <w:rtl/>
        </w:rPr>
        <w:t xml:space="preserve"> قطاع الاتصالات الراديوية بالاتحاد</w:t>
      </w:r>
      <w:r w:rsidR="00C82519">
        <w:rPr>
          <w:rFonts w:hint="cs"/>
          <w:rtl/>
        </w:rPr>
        <w:t xml:space="preserve"> </w:t>
      </w:r>
      <w:r w:rsidR="00C82519">
        <w:rPr>
          <w:rtl/>
        </w:rPr>
        <w:t xml:space="preserve">إلى إجراء دراسات بشأن الاحتياجات من الطيف والتقاسم بين خدمة استكشاف الأرض الساتلية (النشيطة) وخدمة التحديد الراديوي للموقع والخدمات الثابتة والمتنقلة والإذاعية وخدمة الهواة وخدمة الأبحاث الفضائية في مدى التردد </w:t>
      </w:r>
      <w:r w:rsidR="00C82519">
        <w:t>MHz 50-40</w:t>
      </w:r>
      <w:r w:rsidR="00C82519">
        <w:rPr>
          <w:rtl/>
        </w:rPr>
        <w:t xml:space="preserve"> وفي النطاقات المجاورة</w:t>
      </w:r>
      <w:r w:rsidR="00C82519">
        <w:rPr>
          <w:rFonts w:hint="cs"/>
          <w:rtl/>
        </w:rPr>
        <w:t xml:space="preserve">. </w:t>
      </w:r>
      <w:r w:rsidR="005246C6">
        <w:rPr>
          <w:rFonts w:hint="cs"/>
          <w:rtl/>
        </w:rPr>
        <w:t>ويُدعى</w:t>
      </w:r>
      <w:r w:rsidR="00C82519">
        <w:rPr>
          <w:rtl/>
        </w:rPr>
        <w:t xml:space="preserve"> المؤتمر العالمي للاتصالات الراديوية لعام 2023</w:t>
      </w:r>
      <w:r w:rsidR="00C82519">
        <w:rPr>
          <w:rFonts w:hint="cs"/>
          <w:rtl/>
        </w:rPr>
        <w:t xml:space="preserve"> </w:t>
      </w:r>
      <w:r w:rsidR="00C82519">
        <w:rPr>
          <w:rtl/>
        </w:rPr>
        <w:t>إلى النظر في نتائج الدراسات بشأن الاحتياجات من الطيف من أجل بحث إمكانية منح توزيع جديد على أساس ثانوي لخدمة استكشاف الأرض الساتلية (النشيطة) فيما يخص أنظمة السبر الرادارية المحمولة جواً ضمن مدى التردد</w:t>
      </w:r>
      <w:r w:rsidR="005246C6">
        <w:rPr>
          <w:rFonts w:hint="cs"/>
          <w:rtl/>
        </w:rPr>
        <w:t>ات</w:t>
      </w:r>
      <w:r w:rsidR="00C82519">
        <w:rPr>
          <w:rtl/>
        </w:rPr>
        <w:t xml:space="preserve"> حول </w:t>
      </w:r>
      <w:r w:rsidR="00C82519">
        <w:t>MHz 45</w:t>
      </w:r>
      <w:r w:rsidR="00C82519">
        <w:rPr>
          <w:rtl/>
        </w:rPr>
        <w:t xml:space="preserve"> مع مراعاة حماية الخدمات القائمة واتخاذ التدابير المناسبة</w:t>
      </w:r>
      <w:r w:rsidR="00606C4D">
        <w:rPr>
          <w:rFonts w:hint="cs"/>
          <w:rtl/>
        </w:rPr>
        <w:t>.</w:t>
      </w:r>
    </w:p>
    <w:p w14:paraId="7CD9B516" w14:textId="2E0B2FC4" w:rsidR="00417E14" w:rsidRDefault="005246C6" w:rsidP="00C309E0">
      <w:pPr>
        <w:rPr>
          <w:rtl/>
        </w:rPr>
      </w:pPr>
      <w:r>
        <w:rPr>
          <w:rFonts w:hint="cs"/>
          <w:rtl/>
        </w:rPr>
        <w:t>و</w:t>
      </w:r>
      <w:r w:rsidR="00606C4D">
        <w:rPr>
          <w:rFonts w:hint="cs"/>
          <w:rtl/>
        </w:rPr>
        <w:t xml:space="preserve">يهتم الباحثون في مجال المناخ </w:t>
      </w:r>
      <w:r w:rsidR="00606C4D">
        <w:rPr>
          <w:rFonts w:hint="cs"/>
          <w:rtl/>
          <w:lang w:bidi="ar-EG"/>
        </w:rPr>
        <w:t xml:space="preserve">بالاستشعار عن بُعد بجوار </w:t>
      </w:r>
      <w:r w:rsidR="00606C4D" w:rsidRPr="004A74AB">
        <w:rPr>
          <w:rFonts w:hint="cs"/>
          <w:rtl/>
        </w:rPr>
        <w:t xml:space="preserve">النطاق </w:t>
      </w:r>
      <w:r w:rsidR="00606C4D" w:rsidRPr="004A74AB">
        <w:t>MHz 50-40</w:t>
      </w:r>
      <w:r w:rsidR="00606C4D">
        <w:rPr>
          <w:rFonts w:hint="cs"/>
          <w:rtl/>
          <w:lang w:bidi="ar-EG"/>
        </w:rPr>
        <w:t xml:space="preserve"> من أجل إجراء قياسات عن بُعد لباطن الأرض لتوفير خرائط </w:t>
      </w:r>
      <w:proofErr w:type="spellStart"/>
      <w:r w:rsidR="00606C4D">
        <w:rPr>
          <w:rFonts w:hint="cs"/>
          <w:rtl/>
          <w:lang w:bidi="ar-EG"/>
        </w:rPr>
        <w:t>رادارية</w:t>
      </w:r>
      <w:proofErr w:type="spellEnd"/>
      <w:r w:rsidR="00606C4D">
        <w:rPr>
          <w:rFonts w:hint="cs"/>
          <w:rtl/>
          <w:lang w:bidi="ar-EG"/>
        </w:rPr>
        <w:t xml:space="preserve"> لطبقات الانتثار تحت سطح الأرض </w:t>
      </w:r>
      <w:r w:rsidR="00606C4D" w:rsidRPr="008B0E60">
        <w:rPr>
          <w:rFonts w:hint="cs"/>
          <w:rtl/>
          <w:lang w:bidi="ar-EG"/>
        </w:rPr>
        <w:t>ب</w:t>
      </w:r>
      <w:r w:rsidR="00606C4D">
        <w:rPr>
          <w:rFonts w:hint="cs"/>
          <w:rtl/>
          <w:lang w:bidi="ar-EG"/>
        </w:rPr>
        <w:t>ُ</w:t>
      </w:r>
      <w:r w:rsidR="00606C4D" w:rsidRPr="008B0E60">
        <w:rPr>
          <w:rFonts w:hint="cs"/>
          <w:rtl/>
          <w:lang w:bidi="ar-EG"/>
        </w:rPr>
        <w:t>غية تحديد مو</w:t>
      </w:r>
      <w:r w:rsidR="00D524B3">
        <w:rPr>
          <w:rFonts w:hint="cs"/>
          <w:rtl/>
          <w:lang w:bidi="ar-EG"/>
        </w:rPr>
        <w:t>ا</w:t>
      </w:r>
      <w:r w:rsidR="00606C4D" w:rsidRPr="008B0E60">
        <w:rPr>
          <w:rFonts w:hint="cs"/>
          <w:rtl/>
          <w:lang w:bidi="ar-EG"/>
        </w:rPr>
        <w:t>قع</w:t>
      </w:r>
      <w:r w:rsidR="00606C4D">
        <w:rPr>
          <w:rFonts w:hint="cs"/>
          <w:rtl/>
          <w:lang w:bidi="ar-EG"/>
        </w:rPr>
        <w:t xml:space="preserve"> تجمعات المياه/الجليد وفحص السطح الجوفي للسرير الجليدي باستخدام أجهزة الاستشعار النشطة المحمولة في</w:t>
      </w:r>
      <w:r w:rsidR="00606C4D">
        <w:rPr>
          <w:rFonts w:hint="eastAsia"/>
          <w:rtl/>
          <w:lang w:bidi="ar-EG"/>
        </w:rPr>
        <w:t> </w:t>
      </w:r>
      <w:r w:rsidR="00606C4D">
        <w:rPr>
          <w:rFonts w:hint="cs"/>
          <w:rtl/>
          <w:lang w:bidi="ar-EG"/>
        </w:rPr>
        <w:t xml:space="preserve">الفضاء. </w:t>
      </w:r>
      <w:r w:rsidR="00D524B3">
        <w:rPr>
          <w:rFonts w:hint="cs"/>
          <w:rtl/>
          <w:lang w:bidi="ar-EG"/>
        </w:rPr>
        <w:t>و</w:t>
      </w:r>
      <w:r w:rsidR="00606C4D" w:rsidRPr="00596651">
        <w:rPr>
          <w:rFonts w:hint="cs"/>
          <w:rtl/>
        </w:rPr>
        <w:t xml:space="preserve">السبب وراء منح توزيع لرادار سبر محمول في الفضاء بين </w:t>
      </w:r>
      <w:r w:rsidR="00606C4D" w:rsidRPr="00596651">
        <w:t>MHz</w:t>
      </w:r>
      <w:r w:rsidR="00606C4D">
        <w:t> </w:t>
      </w:r>
      <w:r w:rsidR="00606C4D" w:rsidRPr="00596651">
        <w:t>40</w:t>
      </w:r>
      <w:r w:rsidR="00606C4D" w:rsidRPr="00596651">
        <w:rPr>
          <w:rFonts w:hint="cs"/>
          <w:rtl/>
        </w:rPr>
        <w:t xml:space="preserve"> و</w:t>
      </w:r>
      <w:r w:rsidR="00606C4D" w:rsidRPr="00596651">
        <w:t>MHz</w:t>
      </w:r>
      <w:r w:rsidR="00606C4D">
        <w:t> </w:t>
      </w:r>
      <w:r w:rsidR="00606C4D" w:rsidRPr="00596651">
        <w:t>50</w:t>
      </w:r>
      <w:r w:rsidR="00606C4D">
        <w:rPr>
          <w:rFonts w:hint="cs"/>
          <w:rtl/>
        </w:rPr>
        <w:t xml:space="preserve"> يقوم على معايير الاختيار التالية: اختراق السطح والمقياس الطولي للرصد ومنطقة نموذج الانتثار الكهرمغنطيسي وأعمال سابقة.</w:t>
      </w:r>
    </w:p>
    <w:p w14:paraId="373EE067" w14:textId="099F811F" w:rsidR="00606C4D" w:rsidRDefault="00606C4D" w:rsidP="00ED60FD">
      <w:pPr>
        <w:pStyle w:val="Headingb"/>
        <w:rPr>
          <w:rtl/>
        </w:rPr>
      </w:pPr>
      <w:r>
        <w:rPr>
          <w:rFonts w:hint="cs"/>
          <w:rtl/>
        </w:rPr>
        <w:lastRenderedPageBreak/>
        <w:t>المقترحات</w:t>
      </w:r>
    </w:p>
    <w:p w14:paraId="25641360" w14:textId="41E25653" w:rsidR="00DE1735" w:rsidRPr="00DE1735" w:rsidRDefault="00D524B3" w:rsidP="007A2951">
      <w:pPr>
        <w:keepNext/>
        <w:keepLines/>
        <w:rPr>
          <w:rtl/>
          <w:lang w:val="es-ES" w:bidi="ar-EG"/>
        </w:rPr>
      </w:pPr>
      <w:r>
        <w:rPr>
          <w:rFonts w:hint="cs"/>
          <w:rtl/>
          <w:lang w:val="es-ES" w:bidi="ar-EG"/>
        </w:rPr>
        <w:t xml:space="preserve">في ضوء نتائج دراسات قطاع الاتصالات الراديوية بشأن بند جدول الأعمال هذا والتحليل الذي يبين أن دراسات التقاسم والتوافق الحالية </w:t>
      </w:r>
      <w:r w:rsidR="00DE1735" w:rsidRPr="00DE1735">
        <w:rPr>
          <w:rFonts w:hint="cs"/>
          <w:rtl/>
          <w:lang w:val="es-ES" w:bidi="ar-EG"/>
        </w:rPr>
        <w:t xml:space="preserve">لم تُثبت كلياً إمكانية حماية الخدمات القائمة من احتمال وقوع تداخلات ضارة عليها من تشغيل أنظمة السبر الرادارية المحمولة في الفضاء في نطاق التردد </w:t>
      </w:r>
      <w:r w:rsidR="00DE1735" w:rsidRPr="00DE1735">
        <w:t>MHz 50-40</w:t>
      </w:r>
      <w:r>
        <w:rPr>
          <w:rFonts w:hint="cs"/>
          <w:rtl/>
          <w:lang w:val="es-ES" w:bidi="ar-EG"/>
        </w:rPr>
        <w:t xml:space="preserve">، تؤيد إدارات فريق إدارة الطيف في البلدان العربية الأسلوب </w:t>
      </w:r>
      <w:r>
        <w:rPr>
          <w:lang w:bidi="ar-EG"/>
        </w:rPr>
        <w:t>D</w:t>
      </w:r>
      <w:r>
        <w:rPr>
          <w:rFonts w:hint="cs"/>
          <w:rtl/>
        </w:rPr>
        <w:t xml:space="preserve"> الذي يقترح عدم إجراء أي تغيير </w:t>
      </w:r>
      <w:r w:rsidR="007A2951">
        <w:rPr>
          <w:rFonts w:hint="cs"/>
          <w:rtl/>
        </w:rPr>
        <w:t>ف</w:t>
      </w:r>
      <w:r>
        <w:rPr>
          <w:rFonts w:hint="cs"/>
          <w:rtl/>
        </w:rPr>
        <w:t>ي لوائح الراديو</w:t>
      </w:r>
      <w:r w:rsidR="007A2951">
        <w:rPr>
          <w:rFonts w:hint="cs"/>
          <w:rtl/>
        </w:rPr>
        <w:t xml:space="preserve"> </w:t>
      </w:r>
      <w:r w:rsidR="007A2951">
        <w:t>(RR)</w:t>
      </w:r>
      <w:r>
        <w:rPr>
          <w:rFonts w:hint="cs"/>
          <w:rtl/>
        </w:rPr>
        <w:t>.</w:t>
      </w:r>
      <w:r>
        <w:rPr>
          <w:rFonts w:hint="cs"/>
          <w:rtl/>
          <w:lang w:val="es-ES" w:bidi="ar-EG"/>
        </w:rPr>
        <w:t xml:space="preserve"> </w:t>
      </w:r>
    </w:p>
    <w:p w14:paraId="23B594BA" w14:textId="77777777" w:rsidR="004C67F1" w:rsidRDefault="004C67F1" w:rsidP="000E0871">
      <w:pPr>
        <w:tabs>
          <w:tab w:val="clear" w:pos="1134"/>
          <w:tab w:val="clear" w:pos="1871"/>
          <w:tab w:val="clear" w:pos="2268"/>
        </w:tabs>
        <w:spacing w:before="0" w:line="240" w:lineRule="auto"/>
        <w:jc w:val="left"/>
        <w:rPr>
          <w:rtl/>
          <w:lang w:val="en-GB" w:bidi="ar-EG"/>
        </w:rPr>
      </w:pPr>
      <w:r>
        <w:rPr>
          <w:rtl/>
          <w:lang w:val="en-GB" w:bidi="ar-EG"/>
        </w:rPr>
        <w:br w:type="page"/>
      </w:r>
    </w:p>
    <w:p w14:paraId="6308C38D" w14:textId="77777777" w:rsidR="00FF7F55" w:rsidRDefault="00C05410">
      <w:pPr>
        <w:pStyle w:val="Proposal"/>
      </w:pPr>
      <w:r>
        <w:rPr>
          <w:u w:val="single"/>
        </w:rPr>
        <w:lastRenderedPageBreak/>
        <w:t>NOC</w:t>
      </w:r>
      <w:r>
        <w:tab/>
        <w:t>ARB/100A12/1</w:t>
      </w:r>
      <w:r>
        <w:rPr>
          <w:vanish/>
          <w:color w:val="7F7F7F" w:themeColor="text1" w:themeTint="80"/>
          <w:vertAlign w:val="superscript"/>
        </w:rPr>
        <w:t>#1812</w:t>
      </w:r>
    </w:p>
    <w:p w14:paraId="6242EF6F" w14:textId="77777777" w:rsidR="00C05410" w:rsidRDefault="00C05410" w:rsidP="00F91337">
      <w:pPr>
        <w:pStyle w:val="VolumeTitle0"/>
        <w:rPr>
          <w:rtl/>
          <w:lang w:bidi="ar-EG"/>
        </w:rPr>
      </w:pPr>
      <w:r w:rsidRPr="009609DD">
        <w:rPr>
          <w:rFonts w:hint="cs"/>
          <w:rtl/>
          <w:lang w:bidi="ar-EG"/>
        </w:rPr>
        <w:t>المواد</w:t>
      </w:r>
    </w:p>
    <w:p w14:paraId="3CE84ECA" w14:textId="40CD3E52" w:rsidR="00FF7F55" w:rsidRPr="00D524B3" w:rsidRDefault="00C05410">
      <w:pPr>
        <w:pStyle w:val="Reasons"/>
        <w:rPr>
          <w:b w:val="0"/>
          <w:bCs w:val="0"/>
        </w:rPr>
      </w:pPr>
      <w:r>
        <w:rPr>
          <w:rtl/>
        </w:rPr>
        <w:t>الأسباب:</w:t>
      </w:r>
      <w:r>
        <w:tab/>
      </w:r>
      <w:r w:rsidR="00D524B3" w:rsidRPr="00D524B3">
        <w:rPr>
          <w:rFonts w:hint="cs"/>
          <w:b w:val="0"/>
          <w:bCs w:val="0"/>
          <w:rtl/>
        </w:rPr>
        <w:t>لا تُظهر نتائج دراسات قطاع الاتصالات الراديوية الحماية الكافية للخدمات القائمة</w:t>
      </w:r>
      <w:r w:rsidR="000E0871" w:rsidRPr="00D524B3">
        <w:rPr>
          <w:rFonts w:hint="cs"/>
          <w:b w:val="0"/>
          <w:bCs w:val="0"/>
          <w:rtl/>
        </w:rPr>
        <w:t>.</w:t>
      </w:r>
    </w:p>
    <w:p w14:paraId="37237094" w14:textId="77777777" w:rsidR="00FF7F55" w:rsidRDefault="00C05410">
      <w:pPr>
        <w:pStyle w:val="Proposal"/>
      </w:pPr>
      <w:r>
        <w:rPr>
          <w:u w:val="single"/>
        </w:rPr>
        <w:t>NOC</w:t>
      </w:r>
      <w:r>
        <w:tab/>
        <w:t>ARB/100A12/2</w:t>
      </w:r>
      <w:r>
        <w:rPr>
          <w:vanish/>
          <w:color w:val="7F7F7F" w:themeColor="text1" w:themeTint="80"/>
          <w:vertAlign w:val="superscript"/>
        </w:rPr>
        <w:t>#1813</w:t>
      </w:r>
    </w:p>
    <w:p w14:paraId="65A2A565" w14:textId="77777777" w:rsidR="00C05410" w:rsidRPr="009609DD" w:rsidRDefault="00C05410" w:rsidP="00F91337">
      <w:pPr>
        <w:pStyle w:val="VolumeTitle0"/>
        <w:rPr>
          <w:rtl/>
        </w:rPr>
      </w:pPr>
      <w:r w:rsidRPr="009609DD">
        <w:rPr>
          <w:rFonts w:hint="cs"/>
          <w:rtl/>
        </w:rPr>
        <w:t>التذييلات</w:t>
      </w:r>
    </w:p>
    <w:p w14:paraId="2BB00668" w14:textId="77777777" w:rsidR="00FF7F55" w:rsidRDefault="00FF7F55">
      <w:pPr>
        <w:pStyle w:val="Reasons"/>
      </w:pPr>
    </w:p>
    <w:p w14:paraId="1AF2A125" w14:textId="77777777" w:rsidR="00FF7F55" w:rsidRDefault="00C05410">
      <w:pPr>
        <w:pStyle w:val="Proposal"/>
      </w:pPr>
      <w:r>
        <w:t>SUP</w:t>
      </w:r>
      <w:r>
        <w:tab/>
        <w:t>ARB/100A12/3</w:t>
      </w:r>
      <w:r>
        <w:rPr>
          <w:vanish/>
          <w:color w:val="7F7F7F" w:themeColor="text1" w:themeTint="80"/>
          <w:vertAlign w:val="superscript"/>
        </w:rPr>
        <w:t>#1814</w:t>
      </w:r>
    </w:p>
    <w:p w14:paraId="691CC85A" w14:textId="77777777" w:rsidR="00C05410" w:rsidRPr="009609DD" w:rsidRDefault="00C05410" w:rsidP="00F91337">
      <w:pPr>
        <w:pStyle w:val="ResNo"/>
        <w:spacing w:before="480"/>
      </w:pPr>
      <w:r w:rsidRPr="009609DD">
        <w:rPr>
          <w:rFonts w:hint="cs"/>
          <w:rtl/>
        </w:rPr>
        <w:t>ال</w:t>
      </w:r>
      <w:r w:rsidRPr="009609DD">
        <w:rPr>
          <w:rtl/>
        </w:rPr>
        <w:t>قرار</w:t>
      </w:r>
      <w:r w:rsidRPr="009609DD">
        <w:rPr>
          <w:rFonts w:hint="cs"/>
          <w:rtl/>
        </w:rPr>
        <w:t xml:space="preserve"> </w:t>
      </w:r>
      <w:r w:rsidRPr="009609DD">
        <w:rPr>
          <w:rStyle w:val="href"/>
        </w:rPr>
        <w:t>656</w:t>
      </w:r>
      <w:r w:rsidRPr="009609DD">
        <w:rPr>
          <w:lang w:val="en-GB"/>
        </w:rPr>
        <w:t xml:space="preserve"> </w:t>
      </w:r>
      <w:r w:rsidRPr="009609DD">
        <w:t>(</w:t>
      </w:r>
      <w:r w:rsidRPr="009609DD">
        <w:rPr>
          <w:rFonts w:hint="eastAsia"/>
        </w:rPr>
        <w:t>R</w:t>
      </w:r>
      <w:r w:rsidRPr="009609DD">
        <w:t>EV</w:t>
      </w:r>
      <w:r w:rsidRPr="009609DD">
        <w:rPr>
          <w:rFonts w:hint="eastAsia"/>
        </w:rPr>
        <w:t>.</w:t>
      </w:r>
      <w:r w:rsidRPr="009609DD">
        <w:t>WRC-19)</w:t>
      </w:r>
    </w:p>
    <w:p w14:paraId="103F2294" w14:textId="77777777" w:rsidR="00C05410" w:rsidRPr="00FE2CFF" w:rsidRDefault="00C05410" w:rsidP="00F91337">
      <w:pPr>
        <w:pStyle w:val="Restitle"/>
        <w:rPr>
          <w:rtl/>
        </w:rPr>
      </w:pPr>
      <w:r w:rsidRPr="009609DD">
        <w:rPr>
          <w:rFonts w:hint="cs"/>
          <w:rtl/>
        </w:rPr>
        <w:t xml:space="preserve">إمكانية منح </w:t>
      </w:r>
      <w:r w:rsidRPr="009609DD">
        <w:rPr>
          <w:rFonts w:hint="eastAsia"/>
          <w:rtl/>
        </w:rPr>
        <w:t>توزيع</w:t>
      </w:r>
      <w:r w:rsidRPr="009609DD">
        <w:rPr>
          <w:rFonts w:hint="cs"/>
          <w:rtl/>
        </w:rPr>
        <w:t xml:space="preserve"> على أساس ثانوي لخدمة استكشاف الأرض الساتلية</w:t>
      </w:r>
      <w:r w:rsidRPr="009609DD">
        <w:rPr>
          <w:rFonts w:hint="eastAsia"/>
          <w:rtl/>
        </w:rPr>
        <w:t> </w:t>
      </w:r>
      <w:r w:rsidRPr="009609DD">
        <w:rPr>
          <w:rFonts w:hint="cs"/>
          <w:rtl/>
        </w:rPr>
        <w:t>(النشيطة)</w:t>
      </w:r>
      <w:r w:rsidRPr="009609DD">
        <w:rPr>
          <w:rtl/>
        </w:rPr>
        <w:br/>
      </w:r>
      <w:r w:rsidRPr="009609DD">
        <w:rPr>
          <w:rFonts w:hint="cs"/>
          <w:rtl/>
        </w:rPr>
        <w:t xml:space="preserve">من أجل أنظمة السبر الرادارية المحمولة في الفضاء في مدى التردد حول </w:t>
      </w:r>
      <w:r w:rsidRPr="009609DD">
        <w:rPr>
          <w:rFonts w:hint="cs"/>
        </w:rPr>
        <w:t>MHz</w:t>
      </w:r>
      <w:r w:rsidRPr="009609DD">
        <w:t> </w:t>
      </w:r>
      <w:r w:rsidRPr="009609DD">
        <w:rPr>
          <w:rFonts w:hint="cs"/>
        </w:rPr>
        <w:t>4</w:t>
      </w:r>
      <w:r w:rsidRPr="009609DD">
        <w:t>5</w:t>
      </w:r>
    </w:p>
    <w:p w14:paraId="611E413C" w14:textId="77777777" w:rsidR="00FF7F55" w:rsidRDefault="00FF7F55">
      <w:pPr>
        <w:pStyle w:val="Reasons"/>
      </w:pPr>
    </w:p>
    <w:p w14:paraId="1B3EFAC7" w14:textId="5A2776CA" w:rsidR="00ED60FD" w:rsidRPr="00ED60FD" w:rsidRDefault="00ED60FD" w:rsidP="00ED60FD">
      <w:pPr>
        <w:spacing w:before="600"/>
        <w:jc w:val="cente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ED60FD" w:rsidRPr="00ED60FD">
      <w:headerReference w:type="even" r:id="rId15"/>
      <w:headerReference w:type="default" r:id="rId16"/>
      <w:footerReference w:type="even" r:id="rId17"/>
      <w:footerReference w:type="default" r:id="rId18"/>
      <w:headerReference w:type="first" r:id="rId19"/>
      <w:footerReference w:type="first" r:id="rId20"/>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30A25" w14:textId="77777777" w:rsidR="001A6F04" w:rsidRDefault="001A6F04" w:rsidP="002919E1">
      <w:r>
        <w:separator/>
      </w:r>
    </w:p>
    <w:p w14:paraId="1DF906AF" w14:textId="77777777" w:rsidR="001A6F04" w:rsidRDefault="001A6F04" w:rsidP="002919E1"/>
    <w:p w14:paraId="758227DC" w14:textId="77777777" w:rsidR="001A6F04" w:rsidRDefault="001A6F04" w:rsidP="002919E1"/>
    <w:p w14:paraId="1D401D48" w14:textId="77777777" w:rsidR="001A6F04" w:rsidRDefault="001A6F04"/>
    <w:p w14:paraId="3FB01E76" w14:textId="77777777" w:rsidR="001A6F04" w:rsidRDefault="001A6F04"/>
  </w:endnote>
  <w:endnote w:type="continuationSeparator" w:id="0">
    <w:p w14:paraId="6444E54C" w14:textId="77777777" w:rsidR="001A6F04" w:rsidRDefault="001A6F04" w:rsidP="002919E1">
      <w:r>
        <w:continuationSeparator/>
      </w:r>
    </w:p>
    <w:p w14:paraId="421D8D3E" w14:textId="77777777" w:rsidR="001A6F04" w:rsidRDefault="001A6F04" w:rsidP="002919E1"/>
    <w:p w14:paraId="02C06E4D" w14:textId="77777777" w:rsidR="001A6F04" w:rsidRDefault="001A6F04" w:rsidP="002919E1"/>
    <w:p w14:paraId="2B542D3B" w14:textId="77777777" w:rsidR="001A6F04" w:rsidRDefault="001A6F04"/>
    <w:p w14:paraId="5757FF2F"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077F0" w14:textId="00006755"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7A2951">
      <w:rPr>
        <w:sz w:val="16"/>
        <w:szCs w:val="16"/>
        <w:lang w:val="en-GB"/>
      </w:rPr>
      <w:instrText xml:space="preserve"> FILENAME \p \* MERGEFORMAT </w:instrText>
    </w:r>
    <w:r w:rsidRPr="0026373E">
      <w:rPr>
        <w:sz w:val="16"/>
        <w:szCs w:val="16"/>
        <w:lang w:val="fr-FR"/>
      </w:rPr>
      <w:fldChar w:fldCharType="separate"/>
    </w:r>
    <w:r w:rsidR="007A2951" w:rsidRPr="007A2951">
      <w:rPr>
        <w:noProof/>
        <w:sz w:val="16"/>
        <w:szCs w:val="16"/>
        <w:lang w:val="en-GB"/>
      </w:rPr>
      <w:t>P:\ARA\ITU-R\CONF-R\CMR23\100\100ADD12A.docx</w:t>
    </w:r>
    <w:r w:rsidRPr="0026373E">
      <w:rPr>
        <w:sz w:val="16"/>
        <w:szCs w:val="16"/>
      </w:rPr>
      <w:fldChar w:fldCharType="end"/>
    </w:r>
    <w:proofErr w:type="gramStart"/>
    <w:r w:rsidRPr="0026373E">
      <w:rPr>
        <w:sz w:val="16"/>
        <w:szCs w:val="16"/>
      </w:rPr>
      <w:t xml:space="preserve">  </w:t>
    </w:r>
    <w:r w:rsidRPr="007A2951">
      <w:rPr>
        <w:sz w:val="16"/>
        <w:szCs w:val="16"/>
        <w:lang w:val="en-GB"/>
      </w:rPr>
      <w:t xml:space="preserve"> (</w:t>
    </w:r>
    <w:proofErr w:type="gramEnd"/>
    <w:r w:rsidR="00ED60FD" w:rsidRPr="007A2951">
      <w:rPr>
        <w:sz w:val="16"/>
        <w:szCs w:val="16"/>
        <w:lang w:val="en-GB"/>
      </w:rPr>
      <w:t>530182</w:t>
    </w:r>
    <w:r w:rsidRPr="007A2951">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844C" w14:textId="3A910DC5" w:rsidR="00ED60FD" w:rsidRDefault="00ED60FD" w:rsidP="00ED60FD">
    <w:pPr>
      <w:pStyle w:val="Footer"/>
      <w:bidi w:val="0"/>
    </w:pPr>
    <w:r w:rsidRPr="0026373E">
      <w:rPr>
        <w:sz w:val="16"/>
        <w:szCs w:val="16"/>
        <w:lang w:val="fr-FR"/>
      </w:rPr>
      <w:fldChar w:fldCharType="begin"/>
    </w:r>
    <w:r w:rsidRPr="007A2951">
      <w:rPr>
        <w:sz w:val="16"/>
        <w:szCs w:val="16"/>
        <w:lang w:val="en-GB"/>
      </w:rPr>
      <w:instrText xml:space="preserve"> FILENAME \p \* MERGEFORMAT </w:instrText>
    </w:r>
    <w:r w:rsidRPr="0026373E">
      <w:rPr>
        <w:sz w:val="16"/>
        <w:szCs w:val="16"/>
        <w:lang w:val="fr-FR"/>
      </w:rPr>
      <w:fldChar w:fldCharType="separate"/>
    </w:r>
    <w:r w:rsidR="007A2951" w:rsidRPr="007A2951">
      <w:rPr>
        <w:noProof/>
        <w:sz w:val="16"/>
        <w:szCs w:val="16"/>
        <w:lang w:val="en-GB"/>
      </w:rPr>
      <w:t>P:\ARA\ITU-R\CONF-R\CMR23\100\100ADD12A.docx</w:t>
    </w:r>
    <w:r w:rsidRPr="0026373E">
      <w:rPr>
        <w:sz w:val="16"/>
        <w:szCs w:val="16"/>
      </w:rPr>
      <w:fldChar w:fldCharType="end"/>
    </w:r>
    <w:proofErr w:type="gramStart"/>
    <w:r w:rsidRPr="0026373E">
      <w:rPr>
        <w:sz w:val="16"/>
        <w:szCs w:val="16"/>
      </w:rPr>
      <w:t xml:space="preserve">  </w:t>
    </w:r>
    <w:r w:rsidRPr="007A2951">
      <w:rPr>
        <w:sz w:val="16"/>
        <w:szCs w:val="16"/>
        <w:lang w:val="en-GB"/>
      </w:rPr>
      <w:t xml:space="preserve"> (</w:t>
    </w:r>
    <w:proofErr w:type="gramEnd"/>
    <w:r w:rsidRPr="007A2951">
      <w:rPr>
        <w:sz w:val="16"/>
        <w:szCs w:val="16"/>
        <w:lang w:val="en-GB"/>
      </w:rPr>
      <w:t>530182)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1F374" w14:textId="60ECA1BE" w:rsidR="00ED60FD" w:rsidRDefault="00ED60FD" w:rsidP="00ED60FD">
    <w:pPr>
      <w:pStyle w:val="Footer"/>
      <w:bidi w:val="0"/>
    </w:pPr>
    <w:r w:rsidRPr="0026373E">
      <w:rPr>
        <w:sz w:val="16"/>
        <w:szCs w:val="16"/>
        <w:lang w:val="fr-FR"/>
      </w:rPr>
      <w:fldChar w:fldCharType="begin"/>
    </w:r>
    <w:r w:rsidRPr="007A2951">
      <w:rPr>
        <w:sz w:val="16"/>
        <w:szCs w:val="16"/>
        <w:lang w:val="en-GB"/>
      </w:rPr>
      <w:instrText xml:space="preserve"> FILENAME \p \* MERGEFORMAT </w:instrText>
    </w:r>
    <w:r w:rsidRPr="0026373E">
      <w:rPr>
        <w:sz w:val="16"/>
        <w:szCs w:val="16"/>
        <w:lang w:val="fr-FR"/>
      </w:rPr>
      <w:fldChar w:fldCharType="separate"/>
    </w:r>
    <w:r w:rsidR="007A2951" w:rsidRPr="007A2951">
      <w:rPr>
        <w:noProof/>
        <w:sz w:val="16"/>
        <w:szCs w:val="16"/>
        <w:lang w:val="en-GB"/>
      </w:rPr>
      <w:t>P:\ARA\ITU-R\CONF-R\CMR23\100\100ADD12A.docx</w:t>
    </w:r>
    <w:r w:rsidRPr="0026373E">
      <w:rPr>
        <w:sz w:val="16"/>
        <w:szCs w:val="16"/>
      </w:rPr>
      <w:fldChar w:fldCharType="end"/>
    </w:r>
    <w:proofErr w:type="gramStart"/>
    <w:r w:rsidRPr="0026373E">
      <w:rPr>
        <w:sz w:val="16"/>
        <w:szCs w:val="16"/>
      </w:rPr>
      <w:t xml:space="preserve">  </w:t>
    </w:r>
    <w:r w:rsidRPr="007A2951">
      <w:rPr>
        <w:sz w:val="16"/>
        <w:szCs w:val="16"/>
        <w:lang w:val="en-GB"/>
      </w:rPr>
      <w:t xml:space="preserve"> (</w:t>
    </w:r>
    <w:proofErr w:type="gramEnd"/>
    <w:r w:rsidRPr="007A2951">
      <w:rPr>
        <w:sz w:val="16"/>
        <w:szCs w:val="16"/>
        <w:lang w:val="en-GB"/>
      </w:rPr>
      <w:t>530182)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33DEC" w14:textId="77777777" w:rsidR="001A6F04" w:rsidRDefault="001A6F04" w:rsidP="00C45930">
      <w:r>
        <w:separator/>
      </w:r>
    </w:p>
  </w:footnote>
  <w:footnote w:type="continuationSeparator" w:id="0">
    <w:p w14:paraId="279EF515" w14:textId="77777777" w:rsidR="001A6F04" w:rsidRDefault="001A6F04" w:rsidP="002919E1">
      <w:r>
        <w:continuationSeparator/>
      </w:r>
    </w:p>
    <w:p w14:paraId="182CFA07" w14:textId="77777777" w:rsidR="001A6F04" w:rsidRDefault="001A6F04" w:rsidP="002919E1"/>
    <w:p w14:paraId="10809864" w14:textId="77777777" w:rsidR="001A6F04" w:rsidRDefault="001A6F04" w:rsidP="002919E1"/>
    <w:p w14:paraId="3062F07F" w14:textId="77777777" w:rsidR="001A6F04" w:rsidRDefault="001A6F04"/>
    <w:p w14:paraId="5EB10C81" w14:textId="77777777" w:rsidR="001A6F04" w:rsidRDefault="001A6F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18C51" w14:textId="77777777" w:rsidR="005E5F16" w:rsidRPr="00DE1735" w:rsidRDefault="005E5F16" w:rsidP="005E5F16">
    <w:pPr>
      <w:bidi w:val="0"/>
      <w:spacing w:after="360" w:line="240" w:lineRule="auto"/>
      <w:jc w:val="center"/>
      <w:rPr>
        <w:sz w:val="20"/>
        <w:szCs w:val="20"/>
      </w:rPr>
    </w:pPr>
    <w:r w:rsidRPr="00DE1735">
      <w:rPr>
        <w:rStyle w:val="PageNumber"/>
        <w:rFonts w:ascii="Dubai" w:hAnsi="Dubai" w:cs="Dubai"/>
      </w:rPr>
      <w:fldChar w:fldCharType="begin"/>
    </w:r>
    <w:r w:rsidRPr="00DE1735">
      <w:rPr>
        <w:rStyle w:val="PageNumber"/>
        <w:rFonts w:ascii="Dubai" w:hAnsi="Dubai" w:cs="Dubai"/>
      </w:rPr>
      <w:instrText xml:space="preserve"> PAGE </w:instrText>
    </w:r>
    <w:r w:rsidRPr="00DE1735">
      <w:rPr>
        <w:rStyle w:val="PageNumber"/>
        <w:rFonts w:ascii="Dubai" w:hAnsi="Dubai" w:cs="Dubai"/>
      </w:rPr>
      <w:fldChar w:fldCharType="separate"/>
    </w:r>
    <w:r w:rsidRPr="00DE1735">
      <w:rPr>
        <w:rStyle w:val="PageNumber"/>
        <w:rFonts w:ascii="Dubai" w:hAnsi="Dubai" w:cs="Dubai"/>
      </w:rPr>
      <w:t>2</w:t>
    </w:r>
    <w:r w:rsidRPr="00DE1735">
      <w:rPr>
        <w:rStyle w:val="PageNumber"/>
        <w:rFonts w:ascii="Dubai" w:hAnsi="Dubai" w:cs="Dubai"/>
      </w:rPr>
      <w:fldChar w:fldCharType="end"/>
    </w:r>
    <w:r w:rsidRPr="00DE1735">
      <w:rPr>
        <w:rStyle w:val="PageNumber"/>
        <w:rFonts w:ascii="Dubai" w:hAnsi="Dubai" w:cs="Dubai"/>
        <w:rtl/>
      </w:rPr>
      <w:br/>
    </w:r>
    <w:r w:rsidR="004F5F29" w:rsidRPr="00DE1735">
      <w:rPr>
        <w:rStyle w:val="PageNumber"/>
        <w:rFonts w:ascii="Dubai" w:hAnsi="Dubai" w:cs="Dubai"/>
      </w:rPr>
      <w:t>WRC</w:t>
    </w:r>
    <w:r w:rsidRPr="00DE1735">
      <w:rPr>
        <w:rStyle w:val="PageNumber"/>
        <w:rFonts w:ascii="Dubai" w:hAnsi="Dubai" w:cs="Dubai"/>
      </w:rPr>
      <w:t>23/100(Add.12)-A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8C91F" w14:textId="77777777" w:rsidR="00654DB3" w:rsidRPr="00DE1735" w:rsidRDefault="00654DB3" w:rsidP="00654DB3">
    <w:pPr>
      <w:bidi w:val="0"/>
      <w:spacing w:after="360" w:line="240" w:lineRule="auto"/>
      <w:jc w:val="center"/>
      <w:rPr>
        <w:sz w:val="20"/>
        <w:szCs w:val="20"/>
      </w:rPr>
    </w:pPr>
    <w:r w:rsidRPr="00DE1735">
      <w:rPr>
        <w:rStyle w:val="PageNumber"/>
        <w:rFonts w:ascii="Dubai" w:hAnsi="Dubai" w:cs="Dubai"/>
      </w:rPr>
      <w:fldChar w:fldCharType="begin"/>
    </w:r>
    <w:r w:rsidRPr="00DE1735">
      <w:rPr>
        <w:rStyle w:val="PageNumber"/>
        <w:rFonts w:ascii="Dubai" w:hAnsi="Dubai" w:cs="Dubai"/>
      </w:rPr>
      <w:instrText xml:space="preserve"> PAGE </w:instrText>
    </w:r>
    <w:r w:rsidRPr="00DE1735">
      <w:rPr>
        <w:rStyle w:val="PageNumber"/>
        <w:rFonts w:ascii="Dubai" w:hAnsi="Dubai" w:cs="Dubai"/>
      </w:rPr>
      <w:fldChar w:fldCharType="separate"/>
    </w:r>
    <w:r>
      <w:rPr>
        <w:rStyle w:val="PageNumber"/>
      </w:rPr>
      <w:t>2</w:t>
    </w:r>
    <w:r w:rsidRPr="00DE1735">
      <w:rPr>
        <w:rStyle w:val="PageNumber"/>
        <w:rFonts w:ascii="Dubai" w:hAnsi="Dubai" w:cs="Dubai"/>
      </w:rPr>
      <w:fldChar w:fldCharType="end"/>
    </w:r>
    <w:r w:rsidRPr="00DE1735">
      <w:rPr>
        <w:rStyle w:val="PageNumber"/>
        <w:rFonts w:ascii="Dubai" w:hAnsi="Dubai" w:cs="Dubai"/>
        <w:rtl/>
      </w:rPr>
      <w:br/>
    </w:r>
    <w:r w:rsidRPr="00DE1735">
      <w:rPr>
        <w:rStyle w:val="PageNumber"/>
        <w:rFonts w:ascii="Dubai" w:hAnsi="Dubai" w:cs="Dubai"/>
      </w:rPr>
      <w:t>WRC23/100(Add.12)-A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D205B" w14:textId="77777777" w:rsidR="00654DB3" w:rsidRDefault="00654D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F893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82A9B9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8EF4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5064A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567228686">
    <w:abstractNumId w:val="9"/>
  </w:num>
  <w:num w:numId="2" w16cid:durableId="1513757516">
    <w:abstractNumId w:val="13"/>
  </w:num>
  <w:num w:numId="3" w16cid:durableId="1564675150">
    <w:abstractNumId w:val="11"/>
  </w:num>
  <w:num w:numId="4" w16cid:durableId="908807593">
    <w:abstractNumId w:val="14"/>
  </w:num>
  <w:num w:numId="5" w16cid:durableId="17049612">
    <w:abstractNumId w:val="7"/>
  </w:num>
  <w:num w:numId="6" w16cid:durableId="4522193">
    <w:abstractNumId w:val="6"/>
  </w:num>
  <w:num w:numId="7" w16cid:durableId="1205560751">
    <w:abstractNumId w:val="5"/>
  </w:num>
  <w:num w:numId="8" w16cid:durableId="1788158987">
    <w:abstractNumId w:val="4"/>
  </w:num>
  <w:num w:numId="9" w16cid:durableId="1698431302">
    <w:abstractNumId w:val="8"/>
  </w:num>
  <w:num w:numId="10" w16cid:durableId="1455829653">
    <w:abstractNumId w:val="3"/>
  </w:num>
  <w:num w:numId="11" w16cid:durableId="866524081">
    <w:abstractNumId w:val="2"/>
  </w:num>
  <w:num w:numId="12" w16cid:durableId="1148084681">
    <w:abstractNumId w:val="1"/>
  </w:num>
  <w:num w:numId="13" w16cid:durableId="1937592655">
    <w:abstractNumId w:val="0"/>
  </w:num>
  <w:num w:numId="14" w16cid:durableId="1440679020">
    <w:abstractNumId w:val="10"/>
  </w:num>
  <w:num w:numId="15" w16cid:durableId="1271813308">
    <w:abstractNumId w:val="15"/>
  </w:num>
  <w:num w:numId="16" w16cid:durableId="1758668799">
    <w:abstractNumId w:val="12"/>
  </w:num>
  <w:num w:numId="17" w16cid:durableId="339356209">
    <w:abstractNumId w:val="6"/>
  </w:num>
  <w:num w:numId="18" w16cid:durableId="1704793627">
    <w:abstractNumId w:val="5"/>
  </w:num>
  <w:num w:numId="19" w16cid:durableId="624388730">
    <w:abstractNumId w:val="3"/>
  </w:num>
  <w:num w:numId="20" w16cid:durableId="1613588374">
    <w:abstractNumId w:val="2"/>
  </w:num>
  <w:num w:numId="21" w16cid:durableId="1813137844">
    <w:abstractNumId w:val="6"/>
  </w:num>
  <w:num w:numId="22" w16cid:durableId="800731002">
    <w:abstractNumId w:val="5"/>
  </w:num>
  <w:num w:numId="23" w16cid:durableId="1824856062">
    <w:abstractNumId w:val="3"/>
  </w:num>
  <w:num w:numId="24" w16cid:durableId="879362755">
    <w:abstractNumId w:val="2"/>
  </w:num>
  <w:num w:numId="25" w16cid:durableId="546142056">
    <w:abstractNumId w:val="6"/>
  </w:num>
  <w:num w:numId="26" w16cid:durableId="125197122">
    <w:abstractNumId w:val="5"/>
  </w:num>
  <w:num w:numId="27" w16cid:durableId="1476527607">
    <w:abstractNumId w:val="3"/>
  </w:num>
  <w:num w:numId="28" w16cid:durableId="111095613">
    <w:abstractNumId w:val="2"/>
  </w:num>
  <w:num w:numId="29" w16cid:durableId="1864707670">
    <w:abstractNumId w:val="6"/>
  </w:num>
  <w:num w:numId="30" w16cid:durableId="1401559786">
    <w:abstractNumId w:val="5"/>
  </w:num>
  <w:num w:numId="31" w16cid:durableId="315568397">
    <w:abstractNumId w:val="3"/>
  </w:num>
  <w:num w:numId="32" w16cid:durableId="1499541109">
    <w:abstractNumId w:val="2"/>
  </w:num>
  <w:num w:numId="33" w16cid:durableId="1826774101">
    <w:abstractNumId w:val="6"/>
  </w:num>
  <w:num w:numId="34" w16cid:durableId="266469861">
    <w:abstractNumId w:val="5"/>
  </w:num>
  <w:num w:numId="35" w16cid:durableId="1882208485">
    <w:abstractNumId w:val="3"/>
  </w:num>
  <w:num w:numId="36" w16cid:durableId="1863593458">
    <w:abstractNumId w:val="2"/>
  </w:num>
  <w:num w:numId="37" w16cid:durableId="1724593546">
    <w:abstractNumId w:val="6"/>
  </w:num>
  <w:num w:numId="38" w16cid:durableId="1831485371">
    <w:abstractNumId w:val="5"/>
  </w:num>
  <w:num w:numId="39" w16cid:durableId="616643691">
    <w:abstractNumId w:val="3"/>
  </w:num>
  <w:num w:numId="40" w16cid:durableId="38820142">
    <w:abstractNumId w:val="2"/>
  </w:num>
  <w:num w:numId="41" w16cid:durableId="95030500">
    <w:abstractNumId w:val="6"/>
  </w:num>
  <w:num w:numId="42" w16cid:durableId="458106612">
    <w:abstractNumId w:val="5"/>
  </w:num>
  <w:num w:numId="43" w16cid:durableId="350305064">
    <w:abstractNumId w:val="3"/>
  </w:num>
  <w:num w:numId="44" w16cid:durableId="361631635">
    <w:abstractNumId w:val="2"/>
  </w:num>
  <w:num w:numId="45" w16cid:durableId="2000501187">
    <w:abstractNumId w:val="6"/>
  </w:num>
  <w:num w:numId="46" w16cid:durableId="111872353">
    <w:abstractNumId w:val="5"/>
  </w:num>
  <w:num w:numId="47" w16cid:durableId="72432901">
    <w:abstractNumId w:val="3"/>
  </w:num>
  <w:num w:numId="48" w16cid:durableId="811602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0871"/>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1F694A"/>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476B3"/>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D78E6"/>
    <w:rsid w:val="004F4785"/>
    <w:rsid w:val="004F5F29"/>
    <w:rsid w:val="00505B26"/>
    <w:rsid w:val="00505FCA"/>
    <w:rsid w:val="00506CDD"/>
    <w:rsid w:val="00510C2D"/>
    <w:rsid w:val="005113D4"/>
    <w:rsid w:val="005166A4"/>
    <w:rsid w:val="005169F4"/>
    <w:rsid w:val="00520AF9"/>
    <w:rsid w:val="005210D1"/>
    <w:rsid w:val="00523146"/>
    <w:rsid w:val="00523275"/>
    <w:rsid w:val="005246C6"/>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06C4D"/>
    <w:rsid w:val="00610526"/>
    <w:rsid w:val="00612042"/>
    <w:rsid w:val="00613492"/>
    <w:rsid w:val="006208D2"/>
    <w:rsid w:val="006226F2"/>
    <w:rsid w:val="00630905"/>
    <w:rsid w:val="006315B5"/>
    <w:rsid w:val="00634507"/>
    <w:rsid w:val="0063573F"/>
    <w:rsid w:val="00642743"/>
    <w:rsid w:val="006437CF"/>
    <w:rsid w:val="00651F17"/>
    <w:rsid w:val="00654D43"/>
    <w:rsid w:val="00654DB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2951"/>
    <w:rsid w:val="007A3881"/>
    <w:rsid w:val="007A42F1"/>
    <w:rsid w:val="007A59AF"/>
    <w:rsid w:val="007B1FCA"/>
    <w:rsid w:val="007B4AC4"/>
    <w:rsid w:val="007B7301"/>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05410"/>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2519"/>
    <w:rsid w:val="00C84112"/>
    <w:rsid w:val="00C841EB"/>
    <w:rsid w:val="00C8665F"/>
    <w:rsid w:val="00C87694"/>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4B3"/>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1735"/>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D60FD"/>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2B46"/>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 w:val="00FF722F"/>
    <w:rsid w:val="00FF7F5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5896A1"/>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VolumeTitle0">
    <w:name w:val="VolumeTitle"/>
    <w:basedOn w:val="Normal"/>
    <w:next w:val="Normal"/>
    <w:autoRedefine/>
    <w:qFormat/>
    <w:rsid w:val="00F157E0"/>
    <w:pPr>
      <w:keepNext/>
      <w:keepLines/>
      <w:tabs>
        <w:tab w:val="clear" w:pos="1871"/>
        <w:tab w:val="left" w:pos="1701"/>
        <w:tab w:val="left" w:pos="2835"/>
      </w:tabs>
      <w:overflowPunct w:val="0"/>
      <w:autoSpaceDE w:val="0"/>
      <w:autoSpaceDN w:val="0"/>
      <w:adjustRightInd w:val="0"/>
      <w:spacing w:before="240" w:after="240"/>
      <w:jc w:val="center"/>
      <w:textAlignment w:val="baseline"/>
    </w:pPr>
    <w:rPr>
      <w:rFonts w:eastAsia="SimSun"/>
      <w:b/>
      <w:bCs/>
      <w:sz w:val="32"/>
      <w:szCs w:val="32"/>
      <w:lang w:val="en-GB"/>
    </w:rPr>
  </w:style>
  <w:style w:type="paragraph" w:customStyle="1" w:styleId="a">
    <w:name w:val="ؤخةةه"/>
    <w:basedOn w:val="Normal"/>
    <w:rsid w:val="00C82519"/>
    <w:pPr>
      <w:framePr w:hSpace="181" w:wrap="around" w:vAnchor="page" w:hAnchor="text" w:xAlign="right" w:y="721"/>
      <w:spacing w:before="60" w:after="60" w:line="260" w:lineRule="exact"/>
    </w:pPr>
    <w:rPr>
      <w:rFonts w:ascii="Verdana Bold" w:hAnsi="Verdana Bold"/>
      <w:b/>
      <w:bCs/>
      <w:sz w:val="19"/>
      <w:szCs w:val="30"/>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2229">
      <w:bodyDiv w:val="1"/>
      <w:marLeft w:val="60"/>
      <w:marRight w:val="60"/>
      <w:marTop w:val="60"/>
      <w:marBottom w:val="60"/>
      <w:divBdr>
        <w:top w:val="none" w:sz="0" w:space="0" w:color="auto"/>
        <w:left w:val="none" w:sz="0" w:space="0" w:color="auto"/>
        <w:bottom w:val="none" w:sz="0" w:space="0" w:color="auto"/>
        <w:right w:val="none" w:sz="0" w:space="0" w:color="auto"/>
      </w:divBdr>
      <w:divsChild>
        <w:div w:id="933979543">
          <w:marLeft w:val="0"/>
          <w:marRight w:val="0"/>
          <w:marTop w:val="0"/>
          <w:marBottom w:val="0"/>
          <w:divBdr>
            <w:top w:val="none" w:sz="0" w:space="0" w:color="auto"/>
            <w:left w:val="none" w:sz="0" w:space="0" w:color="auto"/>
            <w:bottom w:val="none" w:sz="0" w:space="0" w:color="auto"/>
            <w:right w:val="none" w:sz="0" w:space="0" w:color="auto"/>
          </w:divBdr>
          <w:divsChild>
            <w:div w:id="185422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3542">
      <w:bodyDiv w:val="1"/>
      <w:marLeft w:val="60"/>
      <w:marRight w:val="60"/>
      <w:marTop w:val="60"/>
      <w:marBottom w:val="60"/>
      <w:divBdr>
        <w:top w:val="none" w:sz="0" w:space="0" w:color="auto"/>
        <w:left w:val="none" w:sz="0" w:space="0" w:color="auto"/>
        <w:bottom w:val="none" w:sz="0" w:space="0" w:color="auto"/>
        <w:right w:val="none" w:sz="0" w:space="0" w:color="auto"/>
      </w:divBdr>
      <w:divsChild>
        <w:div w:id="1729916859">
          <w:marLeft w:val="0"/>
          <w:marRight w:val="0"/>
          <w:marTop w:val="0"/>
          <w:marBottom w:val="0"/>
          <w:divBdr>
            <w:top w:val="none" w:sz="0" w:space="0" w:color="auto"/>
            <w:left w:val="none" w:sz="0" w:space="0" w:color="auto"/>
            <w:bottom w:val="none" w:sz="0" w:space="0" w:color="auto"/>
            <w:right w:val="none" w:sz="0" w:space="0" w:color="auto"/>
          </w:divBdr>
          <w:divsChild>
            <w:div w:id="195810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a808380-72b6-4e7c-9fde-7238d185f105" targetNamespace="http://schemas.microsoft.com/office/2006/metadata/properties" ma:root="true" ma:fieldsID="d41af5c836d734370eb92e7ee5f83852" ns2:_="" ns3:_="">
    <xsd:import namespace="996b2e75-67fd-4955-a3b0-5ab9934cb50b"/>
    <xsd:import namespace="8a808380-72b6-4e7c-9fde-7238d185f10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a808380-72b6-4e7c-9fde-7238d185f10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PM_x0020_Author xmlns="8a808380-72b6-4e7c-9fde-7238d185f105">DPM</DPM_x0020_Author>
    <DPM_x0020_File_x0020_name xmlns="8a808380-72b6-4e7c-9fde-7238d185f105">R23-WRC23-C-0100!A12!MSW-A</DPM_x0020_File_x0020_name>
    <DPM_x0020_Version xmlns="8a808380-72b6-4e7c-9fde-7238d185f105">DPM_2022.05.12.01</DPM_x0020_Version>
  </documentManagement>
</p:properties>
</file>

<file path=customXml/itemProps1.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3.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a808380-72b6-4e7c-9fde-7238d185f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6.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08380-72b6-4e7c-9fde-7238d185f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381</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R23-WRC23-C-0100!A12!MSW-A</vt:lpstr>
    </vt:vector>
  </TitlesOfParts>
  <Manager>General Secretariat - Pool</Manager>
  <Company>International Telecommunication Union (ITU)</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R23-WRC23-C-0100!A12!MSW-A</dc:title>
  <dc:creator>Documents Proposals Manager (DPM)</dc:creator>
  <cp:keywords>DPM_v2023.8.1.1_prod</cp:keywords>
  <cp:lastModifiedBy>Arabic-IR</cp:lastModifiedBy>
  <cp:revision>5</cp:revision>
  <cp:lastPrinted>2020-08-11T14:28:00Z</cp:lastPrinted>
  <dcterms:created xsi:type="dcterms:W3CDTF">2023-11-19T11:43:00Z</dcterms:created>
  <dcterms:modified xsi:type="dcterms:W3CDTF">2023-11-19T11:55:00Z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