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F75D6" w14:paraId="20C89C34" w14:textId="77777777" w:rsidTr="0080079E">
        <w:trPr>
          <w:cantSplit/>
        </w:trPr>
        <w:tc>
          <w:tcPr>
            <w:tcW w:w="1418" w:type="dxa"/>
            <w:vAlign w:val="center"/>
          </w:tcPr>
          <w:p w14:paraId="6FEA8125" w14:textId="77777777" w:rsidR="0080079E" w:rsidRPr="005F75D6" w:rsidRDefault="0080079E" w:rsidP="0080079E">
            <w:pPr>
              <w:spacing w:before="0" w:line="240" w:lineRule="atLeast"/>
              <w:rPr>
                <w:rFonts w:ascii="Verdana" w:hAnsi="Verdana"/>
                <w:position w:val="6"/>
                <w:lang w:val="es-ES"/>
              </w:rPr>
            </w:pPr>
            <w:r w:rsidRPr="005F75D6">
              <w:rPr>
                <w:noProof/>
                <w:lang w:val="es-ES" w:eastAsia="es-ES"/>
              </w:rPr>
              <w:drawing>
                <wp:inline distT="0" distB="0" distL="0" distR="0" wp14:anchorId="2B13B10A" wp14:editId="2D7B9F9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2694DE6" w14:textId="77777777" w:rsidR="0080079E" w:rsidRPr="005F75D6" w:rsidRDefault="0080079E" w:rsidP="00C44E9E">
            <w:pPr>
              <w:spacing w:before="400" w:after="48" w:line="240" w:lineRule="atLeast"/>
              <w:rPr>
                <w:rFonts w:ascii="Verdana" w:hAnsi="Verdana"/>
                <w:position w:val="6"/>
                <w:lang w:val="es-ES"/>
              </w:rPr>
            </w:pPr>
            <w:r w:rsidRPr="005F75D6">
              <w:rPr>
                <w:rFonts w:ascii="Verdana" w:hAnsi="Verdana" w:cs="Times"/>
                <w:b/>
                <w:position w:val="6"/>
                <w:sz w:val="20"/>
                <w:lang w:val="es-ES"/>
              </w:rPr>
              <w:t>Conferencia Mundial de Radiocomunicaciones (CMR-23)</w:t>
            </w:r>
            <w:r w:rsidRPr="005F75D6">
              <w:rPr>
                <w:rFonts w:ascii="Verdana" w:hAnsi="Verdana" w:cs="Times"/>
                <w:b/>
                <w:position w:val="6"/>
                <w:sz w:val="20"/>
                <w:lang w:val="es-ES"/>
              </w:rPr>
              <w:br/>
            </w:r>
            <w:r w:rsidRPr="005F75D6">
              <w:rPr>
                <w:rFonts w:ascii="Verdana" w:hAnsi="Verdana" w:cs="Times"/>
                <w:b/>
                <w:position w:val="6"/>
                <w:sz w:val="18"/>
                <w:szCs w:val="18"/>
                <w:lang w:val="es-ES"/>
              </w:rPr>
              <w:t>Dubái, 20 de noviembre - 15 de diciembre de 2023</w:t>
            </w:r>
          </w:p>
        </w:tc>
        <w:tc>
          <w:tcPr>
            <w:tcW w:w="1809" w:type="dxa"/>
            <w:vAlign w:val="center"/>
          </w:tcPr>
          <w:p w14:paraId="6CDE21EE" w14:textId="77777777" w:rsidR="0080079E" w:rsidRPr="005F75D6" w:rsidRDefault="0080079E" w:rsidP="0080079E">
            <w:pPr>
              <w:spacing w:before="0" w:line="240" w:lineRule="atLeast"/>
              <w:rPr>
                <w:lang w:val="es-ES"/>
              </w:rPr>
            </w:pPr>
            <w:r w:rsidRPr="005F75D6">
              <w:rPr>
                <w:noProof/>
                <w:lang w:val="es-ES" w:eastAsia="es-ES"/>
              </w:rPr>
              <w:drawing>
                <wp:inline distT="0" distB="0" distL="0" distR="0" wp14:anchorId="7AA5CD86" wp14:editId="45CA88F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F75D6" w14:paraId="4A2436AE" w14:textId="77777777" w:rsidTr="00C62C18">
        <w:trPr>
          <w:cantSplit/>
        </w:trPr>
        <w:tc>
          <w:tcPr>
            <w:tcW w:w="6911" w:type="dxa"/>
            <w:gridSpan w:val="2"/>
            <w:tcBorders>
              <w:bottom w:val="single" w:sz="12" w:space="0" w:color="auto"/>
            </w:tcBorders>
          </w:tcPr>
          <w:p w14:paraId="4B1D2A5E" w14:textId="77777777" w:rsidR="0090121B" w:rsidRPr="005F75D6"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38EF29D2" w14:textId="77777777" w:rsidR="0090121B" w:rsidRPr="005F75D6" w:rsidRDefault="0090121B" w:rsidP="0090121B">
            <w:pPr>
              <w:spacing w:before="0" w:line="240" w:lineRule="atLeast"/>
              <w:rPr>
                <w:rFonts w:ascii="Verdana" w:hAnsi="Verdana"/>
                <w:szCs w:val="24"/>
                <w:lang w:val="es-ES"/>
              </w:rPr>
            </w:pPr>
          </w:p>
        </w:tc>
      </w:tr>
      <w:tr w:rsidR="0090121B" w:rsidRPr="005F75D6" w14:paraId="7C5D3606" w14:textId="77777777" w:rsidTr="0090121B">
        <w:trPr>
          <w:cantSplit/>
        </w:trPr>
        <w:tc>
          <w:tcPr>
            <w:tcW w:w="6911" w:type="dxa"/>
            <w:gridSpan w:val="2"/>
            <w:tcBorders>
              <w:top w:val="single" w:sz="12" w:space="0" w:color="auto"/>
            </w:tcBorders>
          </w:tcPr>
          <w:p w14:paraId="6A527F6F" w14:textId="77777777" w:rsidR="0090121B" w:rsidRPr="005F75D6"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9EFB770" w14:textId="77777777" w:rsidR="0090121B" w:rsidRPr="005F75D6" w:rsidRDefault="0090121B" w:rsidP="0090121B">
            <w:pPr>
              <w:spacing w:before="0" w:line="240" w:lineRule="atLeast"/>
              <w:rPr>
                <w:rFonts w:ascii="Verdana" w:hAnsi="Verdana"/>
                <w:sz w:val="20"/>
                <w:lang w:val="es-ES"/>
              </w:rPr>
            </w:pPr>
          </w:p>
        </w:tc>
      </w:tr>
      <w:tr w:rsidR="0090121B" w:rsidRPr="005F75D6" w14:paraId="405F6D32" w14:textId="77777777" w:rsidTr="0090121B">
        <w:trPr>
          <w:cantSplit/>
        </w:trPr>
        <w:tc>
          <w:tcPr>
            <w:tcW w:w="6911" w:type="dxa"/>
            <w:gridSpan w:val="2"/>
          </w:tcPr>
          <w:p w14:paraId="1EEE8B94" w14:textId="77777777" w:rsidR="0090121B" w:rsidRPr="005F75D6" w:rsidRDefault="001E7D42" w:rsidP="00EA77F0">
            <w:pPr>
              <w:pStyle w:val="Committee"/>
              <w:framePr w:hSpace="0" w:wrap="auto" w:hAnchor="text" w:yAlign="inline"/>
              <w:rPr>
                <w:sz w:val="18"/>
                <w:szCs w:val="18"/>
                <w:lang w:val="es-ES"/>
              </w:rPr>
            </w:pPr>
            <w:r w:rsidRPr="005F75D6">
              <w:rPr>
                <w:sz w:val="18"/>
                <w:szCs w:val="18"/>
                <w:lang w:val="es-ES"/>
              </w:rPr>
              <w:t>SESIÓN PLENARIA</w:t>
            </w:r>
          </w:p>
        </w:tc>
        <w:tc>
          <w:tcPr>
            <w:tcW w:w="3120" w:type="dxa"/>
            <w:gridSpan w:val="2"/>
          </w:tcPr>
          <w:p w14:paraId="406D68EF" w14:textId="77777777" w:rsidR="0090121B" w:rsidRPr="005F75D6" w:rsidRDefault="00AE658F" w:rsidP="0045384C">
            <w:pPr>
              <w:spacing w:before="0"/>
              <w:rPr>
                <w:rFonts w:ascii="Verdana" w:hAnsi="Verdana"/>
                <w:sz w:val="18"/>
                <w:szCs w:val="18"/>
                <w:lang w:val="es-ES"/>
              </w:rPr>
            </w:pPr>
            <w:r w:rsidRPr="005F75D6">
              <w:rPr>
                <w:rFonts w:ascii="Verdana" w:hAnsi="Verdana"/>
                <w:b/>
                <w:sz w:val="18"/>
                <w:szCs w:val="18"/>
                <w:lang w:val="es-ES"/>
              </w:rPr>
              <w:t>Addéndum 26 al</w:t>
            </w:r>
            <w:r w:rsidRPr="005F75D6">
              <w:rPr>
                <w:rFonts w:ascii="Verdana" w:hAnsi="Verdana"/>
                <w:b/>
                <w:sz w:val="18"/>
                <w:szCs w:val="18"/>
                <w:lang w:val="es-ES"/>
              </w:rPr>
              <w:br/>
              <w:t>Documento 100</w:t>
            </w:r>
            <w:r w:rsidR="0090121B" w:rsidRPr="005F75D6">
              <w:rPr>
                <w:rFonts w:ascii="Verdana" w:hAnsi="Verdana"/>
                <w:b/>
                <w:sz w:val="18"/>
                <w:szCs w:val="18"/>
                <w:lang w:val="es-ES"/>
              </w:rPr>
              <w:t>-</w:t>
            </w:r>
            <w:r w:rsidRPr="005F75D6">
              <w:rPr>
                <w:rFonts w:ascii="Verdana" w:hAnsi="Verdana"/>
                <w:b/>
                <w:sz w:val="18"/>
                <w:szCs w:val="18"/>
                <w:lang w:val="es-ES"/>
              </w:rPr>
              <w:t>S</w:t>
            </w:r>
          </w:p>
        </w:tc>
      </w:tr>
      <w:bookmarkEnd w:id="0"/>
      <w:tr w:rsidR="000A5B9A" w:rsidRPr="005F75D6" w14:paraId="32FA6A1F" w14:textId="77777777" w:rsidTr="0090121B">
        <w:trPr>
          <w:cantSplit/>
        </w:trPr>
        <w:tc>
          <w:tcPr>
            <w:tcW w:w="6911" w:type="dxa"/>
            <w:gridSpan w:val="2"/>
          </w:tcPr>
          <w:p w14:paraId="27ECDEDF" w14:textId="77777777" w:rsidR="000A5B9A" w:rsidRPr="005F75D6" w:rsidRDefault="000A5B9A" w:rsidP="0045384C">
            <w:pPr>
              <w:spacing w:before="0" w:after="48"/>
              <w:rPr>
                <w:rFonts w:ascii="Verdana" w:hAnsi="Verdana"/>
                <w:b/>
                <w:smallCaps/>
                <w:sz w:val="18"/>
                <w:szCs w:val="18"/>
                <w:lang w:val="es-ES"/>
              </w:rPr>
            </w:pPr>
          </w:p>
        </w:tc>
        <w:tc>
          <w:tcPr>
            <w:tcW w:w="3120" w:type="dxa"/>
            <w:gridSpan w:val="2"/>
          </w:tcPr>
          <w:p w14:paraId="452EE455" w14:textId="77777777" w:rsidR="000A5B9A" w:rsidRPr="005F75D6" w:rsidRDefault="000A5B9A" w:rsidP="0045384C">
            <w:pPr>
              <w:spacing w:before="0"/>
              <w:rPr>
                <w:rFonts w:ascii="Verdana" w:hAnsi="Verdana"/>
                <w:b/>
                <w:sz w:val="18"/>
                <w:szCs w:val="18"/>
                <w:lang w:val="es-ES"/>
              </w:rPr>
            </w:pPr>
            <w:r w:rsidRPr="005F75D6">
              <w:rPr>
                <w:rFonts w:ascii="Verdana" w:hAnsi="Verdana"/>
                <w:b/>
                <w:sz w:val="18"/>
                <w:szCs w:val="18"/>
                <w:lang w:val="es-ES"/>
              </w:rPr>
              <w:t>27 de octubre de 2023</w:t>
            </w:r>
          </w:p>
        </w:tc>
      </w:tr>
      <w:tr w:rsidR="000A5B9A" w:rsidRPr="005F75D6" w14:paraId="73B68F92" w14:textId="77777777" w:rsidTr="0090121B">
        <w:trPr>
          <w:cantSplit/>
        </w:trPr>
        <w:tc>
          <w:tcPr>
            <w:tcW w:w="6911" w:type="dxa"/>
            <w:gridSpan w:val="2"/>
          </w:tcPr>
          <w:p w14:paraId="4BC5E78D" w14:textId="77777777" w:rsidR="000A5B9A" w:rsidRPr="005F75D6" w:rsidRDefault="000A5B9A" w:rsidP="0045384C">
            <w:pPr>
              <w:spacing w:before="0" w:after="48"/>
              <w:rPr>
                <w:rFonts w:ascii="Verdana" w:hAnsi="Verdana"/>
                <w:b/>
                <w:smallCaps/>
                <w:sz w:val="18"/>
                <w:szCs w:val="18"/>
                <w:lang w:val="es-ES"/>
              </w:rPr>
            </w:pPr>
          </w:p>
        </w:tc>
        <w:tc>
          <w:tcPr>
            <w:tcW w:w="3120" w:type="dxa"/>
            <w:gridSpan w:val="2"/>
          </w:tcPr>
          <w:p w14:paraId="0250E039" w14:textId="77777777" w:rsidR="000A5B9A" w:rsidRPr="005F75D6" w:rsidRDefault="000A5B9A" w:rsidP="0045384C">
            <w:pPr>
              <w:spacing w:before="0"/>
              <w:rPr>
                <w:rFonts w:ascii="Verdana" w:hAnsi="Verdana"/>
                <w:b/>
                <w:sz w:val="18"/>
                <w:szCs w:val="18"/>
                <w:lang w:val="es-ES"/>
              </w:rPr>
            </w:pPr>
            <w:r w:rsidRPr="005F75D6">
              <w:rPr>
                <w:rFonts w:ascii="Verdana" w:hAnsi="Verdana"/>
                <w:b/>
                <w:sz w:val="18"/>
                <w:szCs w:val="18"/>
                <w:lang w:val="es-ES"/>
              </w:rPr>
              <w:t>Original: inglés</w:t>
            </w:r>
          </w:p>
        </w:tc>
      </w:tr>
      <w:tr w:rsidR="000A5B9A" w:rsidRPr="005F75D6" w14:paraId="736DE119" w14:textId="77777777" w:rsidTr="00C62C18">
        <w:trPr>
          <w:cantSplit/>
        </w:trPr>
        <w:tc>
          <w:tcPr>
            <w:tcW w:w="10031" w:type="dxa"/>
            <w:gridSpan w:val="4"/>
          </w:tcPr>
          <w:p w14:paraId="3DAEBBF8" w14:textId="77777777" w:rsidR="000A5B9A" w:rsidRPr="005F75D6" w:rsidRDefault="000A5B9A" w:rsidP="0045384C">
            <w:pPr>
              <w:spacing w:before="0"/>
              <w:rPr>
                <w:rFonts w:ascii="Verdana" w:hAnsi="Verdana"/>
                <w:b/>
                <w:sz w:val="18"/>
                <w:szCs w:val="22"/>
                <w:lang w:val="es-ES"/>
              </w:rPr>
            </w:pPr>
          </w:p>
        </w:tc>
      </w:tr>
      <w:tr w:rsidR="000A5B9A" w:rsidRPr="005F75D6" w14:paraId="095D4B8D" w14:textId="77777777" w:rsidTr="00C62C18">
        <w:trPr>
          <w:cantSplit/>
        </w:trPr>
        <w:tc>
          <w:tcPr>
            <w:tcW w:w="10031" w:type="dxa"/>
            <w:gridSpan w:val="4"/>
          </w:tcPr>
          <w:p w14:paraId="59616B46" w14:textId="77777777" w:rsidR="000A5B9A" w:rsidRPr="005F75D6" w:rsidRDefault="000A5B9A" w:rsidP="000A5B9A">
            <w:pPr>
              <w:pStyle w:val="Source"/>
              <w:rPr>
                <w:lang w:val="es-ES"/>
              </w:rPr>
            </w:pPr>
            <w:bookmarkStart w:id="1" w:name="dsource" w:colFirst="0" w:colLast="0"/>
            <w:r w:rsidRPr="005F75D6">
              <w:rPr>
                <w:lang w:val="es-ES"/>
              </w:rPr>
              <w:t>Propuestas Comunes de los Estados Árabes</w:t>
            </w:r>
          </w:p>
        </w:tc>
      </w:tr>
      <w:tr w:rsidR="000A5B9A" w:rsidRPr="005F75D6" w14:paraId="2DAD9300" w14:textId="77777777" w:rsidTr="00C62C18">
        <w:trPr>
          <w:cantSplit/>
        </w:trPr>
        <w:tc>
          <w:tcPr>
            <w:tcW w:w="10031" w:type="dxa"/>
            <w:gridSpan w:val="4"/>
          </w:tcPr>
          <w:p w14:paraId="5B282202" w14:textId="0BC42C70" w:rsidR="000A5B9A" w:rsidRPr="005F75D6" w:rsidRDefault="000A5B9A" w:rsidP="004F1369">
            <w:pPr>
              <w:pStyle w:val="Title1"/>
              <w:rPr>
                <w:lang w:val="es-ES"/>
              </w:rPr>
            </w:pPr>
            <w:bookmarkStart w:id="2" w:name="dtitle1" w:colFirst="0" w:colLast="0"/>
            <w:bookmarkEnd w:id="1"/>
            <w:r w:rsidRPr="005F75D6">
              <w:rPr>
                <w:lang w:val="es-ES"/>
              </w:rPr>
              <w:t>RESP</w:t>
            </w:r>
            <w:r w:rsidR="00AC4042" w:rsidRPr="005F75D6">
              <w:rPr>
                <w:lang w:val="es-ES"/>
              </w:rPr>
              <w:t xml:space="preserve">UESTA AL Informe de la Junta del Reglamento de Radiocomunicaciones a la CMR-23 sobre la Resolución </w:t>
            </w:r>
            <w:r w:rsidRPr="005F75D6">
              <w:rPr>
                <w:lang w:val="es-ES"/>
              </w:rPr>
              <w:t>80 (REV.</w:t>
            </w:r>
            <w:r w:rsidR="00AC4042" w:rsidRPr="005F75D6">
              <w:rPr>
                <w:lang w:val="es-ES"/>
              </w:rPr>
              <w:t>cmr</w:t>
            </w:r>
            <w:r w:rsidRPr="005F75D6">
              <w:rPr>
                <w:lang w:val="es-ES"/>
              </w:rPr>
              <w:t>-07)</w:t>
            </w:r>
          </w:p>
        </w:tc>
      </w:tr>
      <w:tr w:rsidR="000A5B9A" w:rsidRPr="005F75D6" w14:paraId="03D24CD4" w14:textId="77777777" w:rsidTr="00C62C18">
        <w:trPr>
          <w:cantSplit/>
        </w:trPr>
        <w:tc>
          <w:tcPr>
            <w:tcW w:w="10031" w:type="dxa"/>
            <w:gridSpan w:val="4"/>
          </w:tcPr>
          <w:p w14:paraId="76ED2C88" w14:textId="77777777" w:rsidR="000A5B9A" w:rsidRPr="005F75D6" w:rsidRDefault="000A5B9A" w:rsidP="000A5B9A">
            <w:pPr>
              <w:pStyle w:val="Title2"/>
              <w:rPr>
                <w:lang w:val="es-ES"/>
              </w:rPr>
            </w:pPr>
            <w:bookmarkStart w:id="3" w:name="dtitle2" w:colFirst="0" w:colLast="0"/>
            <w:bookmarkEnd w:id="2"/>
          </w:p>
        </w:tc>
      </w:tr>
      <w:tr w:rsidR="000A5B9A" w:rsidRPr="005F75D6" w14:paraId="0AE670B9" w14:textId="77777777" w:rsidTr="00C62C18">
        <w:trPr>
          <w:cantSplit/>
        </w:trPr>
        <w:tc>
          <w:tcPr>
            <w:tcW w:w="10031" w:type="dxa"/>
            <w:gridSpan w:val="4"/>
          </w:tcPr>
          <w:p w14:paraId="35DA1863" w14:textId="77777777" w:rsidR="000A5B9A" w:rsidRPr="005F75D6" w:rsidRDefault="000A5B9A" w:rsidP="000A5B9A">
            <w:pPr>
              <w:pStyle w:val="Agendaitem"/>
              <w:rPr>
                <w:lang w:val="es-ES"/>
              </w:rPr>
            </w:pPr>
            <w:bookmarkStart w:id="4" w:name="dtitle3" w:colFirst="0" w:colLast="0"/>
            <w:bookmarkEnd w:id="3"/>
            <w:r w:rsidRPr="005F75D6">
              <w:rPr>
                <w:lang w:val="es-ES"/>
              </w:rPr>
              <w:t>Punto 9.3 del orden del día</w:t>
            </w:r>
          </w:p>
        </w:tc>
      </w:tr>
    </w:tbl>
    <w:bookmarkEnd w:id="4"/>
    <w:p w14:paraId="457F2C1E" w14:textId="77777777" w:rsidR="00C62C18" w:rsidRPr="005F75D6" w:rsidRDefault="007356FF" w:rsidP="004F1369">
      <w:pPr>
        <w:pStyle w:val="Normalaftertitle"/>
        <w:rPr>
          <w:lang w:val="es-ES"/>
        </w:rPr>
      </w:pPr>
      <w:r w:rsidRPr="005F75D6">
        <w:rPr>
          <w:lang w:val="es-ES"/>
        </w:rPr>
        <w:t>9</w:t>
      </w:r>
      <w:r w:rsidRPr="005F75D6">
        <w:rPr>
          <w:lang w:val="es-ES"/>
        </w:rPr>
        <w:tab/>
        <w:t>examinar y aprobar el Informe del Director de la Oficina de Radiocomunicaciones, de conformidad con el Artículo 7 del Convenio de la UIT:</w:t>
      </w:r>
    </w:p>
    <w:p w14:paraId="3ACC5C9B" w14:textId="337F69E6" w:rsidR="00C62C18" w:rsidRPr="005F75D6" w:rsidRDefault="007356FF" w:rsidP="00C62C18">
      <w:pPr>
        <w:rPr>
          <w:lang w:val="es-ES"/>
        </w:rPr>
      </w:pPr>
      <w:r w:rsidRPr="005F75D6">
        <w:rPr>
          <w:lang w:val="es-ES"/>
        </w:rPr>
        <w:t>9.3</w:t>
      </w:r>
      <w:r w:rsidRPr="005F75D6">
        <w:rPr>
          <w:lang w:val="es-ES"/>
        </w:rPr>
        <w:tab/>
        <w:t xml:space="preserve">sobre acciones en respuesta a la Resolución </w:t>
      </w:r>
      <w:r w:rsidRPr="005F75D6">
        <w:rPr>
          <w:b/>
          <w:bCs/>
          <w:lang w:val="es-ES"/>
        </w:rPr>
        <w:t>80 (Rev.CMR-07</w:t>
      </w:r>
      <w:r w:rsidRPr="005F75D6">
        <w:rPr>
          <w:lang w:val="es-ES"/>
        </w:rPr>
        <w:t>);</w:t>
      </w:r>
    </w:p>
    <w:p w14:paraId="660222AB" w14:textId="6D27C8DC" w:rsidR="00CB4440" w:rsidRPr="005F75D6" w:rsidRDefault="00335B1B" w:rsidP="004F1369">
      <w:pPr>
        <w:pStyle w:val="Normalaftertitle"/>
        <w:rPr>
          <w:lang w:val="es-ES"/>
        </w:rPr>
      </w:pPr>
      <w:bookmarkStart w:id="5" w:name="lt_pId016"/>
      <w:r w:rsidRPr="005F75D6">
        <w:rPr>
          <w:lang w:val="es-ES"/>
        </w:rPr>
        <w:t>En el Anexo al presente documento se adjunta la respuesta del ASMG sobre los elementos del Informe de la Junta del Reglamento de Radiocomunicaciones a la CMR</w:t>
      </w:r>
      <w:r w:rsidRPr="005F75D6">
        <w:rPr>
          <w:lang w:val="es-ES"/>
        </w:rPr>
        <w:noBreakHyphen/>
        <w:t xml:space="preserve">23 sobre la Resolución </w:t>
      </w:r>
      <w:r w:rsidRPr="005F75D6">
        <w:rPr>
          <w:b/>
          <w:bCs/>
          <w:lang w:val="es-ES"/>
        </w:rPr>
        <w:t>80</w:t>
      </w:r>
      <w:r w:rsidR="00F95538">
        <w:rPr>
          <w:b/>
          <w:bCs/>
          <w:lang w:val="es-ES"/>
        </w:rPr>
        <w:t> </w:t>
      </w:r>
      <w:r w:rsidRPr="005F75D6">
        <w:rPr>
          <w:b/>
          <w:bCs/>
          <w:lang w:val="es-ES"/>
        </w:rPr>
        <w:t>(Rev.CMR-07)</w:t>
      </w:r>
      <w:r w:rsidRPr="005F75D6">
        <w:rPr>
          <w:lang w:val="es-ES"/>
        </w:rPr>
        <w:t>.</w:t>
      </w:r>
      <w:bookmarkEnd w:id="5"/>
    </w:p>
    <w:p w14:paraId="3A0E6AA1" w14:textId="342B9EC2" w:rsidR="00CB4440" w:rsidRPr="005F75D6" w:rsidRDefault="00CB4440" w:rsidP="00C62C18">
      <w:pPr>
        <w:rPr>
          <w:b/>
          <w:lang w:val="es-ES"/>
        </w:rPr>
      </w:pPr>
      <w:r w:rsidRPr="005F75D6">
        <w:rPr>
          <w:b/>
          <w:lang w:val="es-ES"/>
        </w:rPr>
        <w:t>Anexo: 1</w:t>
      </w:r>
    </w:p>
    <w:p w14:paraId="7FB70CC9" w14:textId="77777777" w:rsidR="008750A8" w:rsidRPr="005F75D6" w:rsidRDefault="008750A8" w:rsidP="008750A8">
      <w:pPr>
        <w:tabs>
          <w:tab w:val="clear" w:pos="1134"/>
          <w:tab w:val="clear" w:pos="1871"/>
          <w:tab w:val="clear" w:pos="2268"/>
        </w:tabs>
        <w:overflowPunct/>
        <w:autoSpaceDE/>
        <w:autoSpaceDN/>
        <w:adjustRightInd/>
        <w:spacing w:before="0"/>
        <w:textAlignment w:val="auto"/>
        <w:rPr>
          <w:lang w:val="es-ES"/>
        </w:rPr>
      </w:pPr>
      <w:r w:rsidRPr="005F75D6">
        <w:rPr>
          <w:lang w:val="es-ES"/>
        </w:rPr>
        <w:br w:type="page"/>
      </w:r>
    </w:p>
    <w:p w14:paraId="2C545532" w14:textId="3F912D8F" w:rsidR="00335B1B" w:rsidRPr="005F75D6" w:rsidRDefault="00335B1B" w:rsidP="00335B1B">
      <w:pPr>
        <w:pStyle w:val="AnnexNo"/>
        <w:rPr>
          <w:lang w:val="es-ES"/>
        </w:rPr>
      </w:pPr>
      <w:r w:rsidRPr="005F75D6">
        <w:rPr>
          <w:lang w:val="es-ES"/>
        </w:rPr>
        <w:lastRenderedPageBreak/>
        <w:t>AnexO</w:t>
      </w:r>
    </w:p>
    <w:p w14:paraId="3A552692" w14:textId="0F1C1086" w:rsidR="00335B1B" w:rsidRPr="005F75D6" w:rsidRDefault="00335B1B" w:rsidP="00335B1B">
      <w:pPr>
        <w:pStyle w:val="Annextitle"/>
        <w:rPr>
          <w:lang w:val="es-ES"/>
        </w:rPr>
      </w:pPr>
      <w:r w:rsidRPr="005F75D6">
        <w:rPr>
          <w:lang w:val="es-ES" w:eastAsia="zh-CN"/>
        </w:rPr>
        <w:t xml:space="preserve">Respuesta del ASMG a la Resolución </w:t>
      </w:r>
      <w:r w:rsidRPr="005F75D6">
        <w:rPr>
          <w:rStyle w:val="href"/>
          <w:rFonts w:eastAsia="SimSun"/>
          <w:lang w:val="es-ES"/>
        </w:rPr>
        <w:t>80</w:t>
      </w:r>
      <w:r w:rsidRPr="005F75D6">
        <w:rPr>
          <w:lang w:val="es-ES"/>
        </w:rPr>
        <w:t xml:space="preserve"> (Rev.CMR-07)</w:t>
      </w:r>
    </w:p>
    <w:p w14:paraId="6FB58CD9" w14:textId="0478DA32" w:rsidR="00335B1B" w:rsidRPr="005F75D6" w:rsidRDefault="00335B1B" w:rsidP="00335B1B">
      <w:pPr>
        <w:pStyle w:val="Annextitle"/>
        <w:rPr>
          <w:lang w:val="es-ES" w:eastAsia="zh-CN"/>
        </w:rPr>
      </w:pPr>
      <w:bookmarkStart w:id="6" w:name="lt_pId020"/>
      <w:r w:rsidRPr="005F75D6">
        <w:rPr>
          <w:lang w:val="es-ES" w:eastAsia="zh-CN"/>
        </w:rPr>
        <w:t>Informe de la Junta del Reglamento de Radiocomunicaciones a la CMR-</w:t>
      </w:r>
      <w:bookmarkEnd w:id="6"/>
      <w:r w:rsidR="001B0831">
        <w:rPr>
          <w:lang w:val="es-ES" w:eastAsia="zh-CN"/>
        </w:rPr>
        <w:t>23</w:t>
      </w:r>
    </w:p>
    <w:p w14:paraId="3D55DDD2" w14:textId="77777777" w:rsidR="00FF2F9A" w:rsidRPr="005F75D6" w:rsidRDefault="007356FF">
      <w:pPr>
        <w:pStyle w:val="Proposal"/>
        <w:rPr>
          <w:lang w:val="es-ES"/>
        </w:rPr>
      </w:pPr>
      <w:r w:rsidRPr="005F75D6">
        <w:rPr>
          <w:lang w:val="es-ES"/>
        </w:rPr>
        <w:tab/>
        <w:t>ARB/100A26/1</w:t>
      </w:r>
    </w:p>
    <w:p w14:paraId="0F895792" w14:textId="66FBFFC6" w:rsidR="00335B1B" w:rsidRPr="005F75D6" w:rsidRDefault="00335B1B" w:rsidP="00335B1B">
      <w:pPr>
        <w:pStyle w:val="Heading1"/>
        <w:rPr>
          <w:lang w:val="es-ES"/>
        </w:rPr>
      </w:pPr>
      <w:r w:rsidRPr="005F75D6">
        <w:rPr>
          <w:lang w:val="es-ES"/>
        </w:rPr>
        <w:t>1</w:t>
      </w:r>
      <w:r w:rsidRPr="005F75D6">
        <w:rPr>
          <w:lang w:val="es-ES"/>
        </w:rPr>
        <w:tab/>
        <w:t>Introducción</w:t>
      </w:r>
    </w:p>
    <w:p w14:paraId="44AB97C5" w14:textId="77777777" w:rsidR="00335B1B" w:rsidRPr="005F75D6" w:rsidRDefault="00335B1B" w:rsidP="00335B1B">
      <w:pPr>
        <w:rPr>
          <w:lang w:val="es-ES"/>
        </w:rPr>
      </w:pPr>
      <w:bookmarkStart w:id="7" w:name="lt_pId024"/>
      <w:r w:rsidRPr="005F75D6">
        <w:rPr>
          <w:lang w:val="es-ES"/>
        </w:rPr>
        <w:t xml:space="preserve">El </w:t>
      </w:r>
      <w:r w:rsidRPr="005F75D6">
        <w:rPr>
          <w:i/>
          <w:iCs/>
          <w:lang w:val="es-ES"/>
        </w:rPr>
        <w:t xml:space="preserve">resuelve </w:t>
      </w:r>
      <w:r w:rsidRPr="005F75D6">
        <w:rPr>
          <w:iCs/>
          <w:lang w:val="es-ES"/>
        </w:rPr>
        <w:t>2</w:t>
      </w:r>
      <w:r w:rsidRPr="005F75D6">
        <w:rPr>
          <w:lang w:val="es-ES"/>
        </w:rPr>
        <w:t xml:space="preserve"> de la Resolución </w:t>
      </w:r>
      <w:r w:rsidRPr="005F75D6">
        <w:rPr>
          <w:b/>
          <w:bCs/>
          <w:lang w:val="es-ES"/>
        </w:rPr>
        <w:t>80 (Rev.CMR-07)</w:t>
      </w:r>
      <w:r w:rsidRPr="005F75D6">
        <w:rPr>
          <w:lang w:val="es-ES"/>
        </w:rPr>
        <w:t xml:space="preserve"> contiene el siguiente encargo a la RRB:</w:t>
      </w:r>
      <w:bookmarkEnd w:id="7"/>
    </w:p>
    <w:p w14:paraId="1BBE1559" w14:textId="05EA3F21" w:rsidR="00335B1B" w:rsidRPr="005F75D6" w:rsidRDefault="00335B1B" w:rsidP="00335B1B">
      <w:pPr>
        <w:pStyle w:val="enumlev1"/>
        <w:rPr>
          <w:i/>
          <w:iCs/>
          <w:lang w:val="es-ES"/>
        </w:rPr>
      </w:pPr>
      <w:r w:rsidRPr="005F75D6">
        <w:rPr>
          <w:i/>
          <w:iCs/>
          <w:lang w:val="es-ES"/>
        </w:rPr>
        <w:tab/>
        <w:t>2</w:t>
      </w:r>
      <w:r w:rsidRPr="005F75D6">
        <w:rPr>
          <w:i/>
          <w:iCs/>
          <w:lang w:val="es-ES"/>
        </w:rPr>
        <w:tab/>
      </w:r>
      <w:bookmarkStart w:id="8" w:name="lt_pId026"/>
      <w:r w:rsidRPr="005F75D6">
        <w:rPr>
          <w:i/>
          <w:iCs/>
          <w:lang w:val="es-ES"/>
        </w:rPr>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w:t>
      </w:r>
      <w:r w:rsidRPr="005F75D6">
        <w:rPr>
          <w:b/>
          <w:bCs/>
          <w:i/>
          <w:iCs/>
          <w:lang w:val="es-ES"/>
        </w:rPr>
        <w:t>44</w:t>
      </w:r>
      <w:r w:rsidRPr="005F75D6">
        <w:rPr>
          <w:i/>
          <w:iCs/>
          <w:lang w:val="es-ES"/>
        </w:rPr>
        <w:t xml:space="preserve"> de la Constitución y el número </w:t>
      </w:r>
      <w:r w:rsidRPr="005F75D6">
        <w:rPr>
          <w:rStyle w:val="Artref"/>
          <w:b/>
          <w:bCs/>
          <w:i/>
          <w:iCs/>
          <w:szCs w:val="24"/>
          <w:lang w:val="es-ES"/>
        </w:rPr>
        <w:t>0.3</w:t>
      </w:r>
      <w:r w:rsidRPr="005F75D6">
        <w:rPr>
          <w:i/>
          <w:iCs/>
          <w:lang w:val="es-ES"/>
        </w:rPr>
        <w:t xml:space="preserve"> del Preámbulo del Reglamento de Radiocomunicaciones y que presente un Informe a cada futura Conferencia Mundial de Radiocomunicaciones en relación con la presente Resolución</w:t>
      </w:r>
      <w:bookmarkEnd w:id="8"/>
      <w:r w:rsidRPr="005F75D6">
        <w:rPr>
          <w:i/>
          <w:iCs/>
          <w:lang w:val="es-ES"/>
        </w:rPr>
        <w:t>;</w:t>
      </w:r>
    </w:p>
    <w:p w14:paraId="6645C3D5" w14:textId="0817039E" w:rsidR="00335B1B" w:rsidRPr="005F75D6" w:rsidRDefault="00335B1B" w:rsidP="00335B1B">
      <w:pPr>
        <w:rPr>
          <w:lang w:val="es-ES"/>
        </w:rPr>
      </w:pPr>
      <w:bookmarkStart w:id="9" w:name="lt_pId027"/>
      <w:r w:rsidRPr="005F75D6">
        <w:rPr>
          <w:lang w:val="es-ES"/>
        </w:rPr>
        <w:t>El Informe de la Junta del Reglamento de Radiocomunicaciones a la CMR</w:t>
      </w:r>
      <w:r w:rsidRPr="005F75D6">
        <w:rPr>
          <w:lang w:val="es-ES"/>
        </w:rPr>
        <w:noBreakHyphen/>
        <w:t xml:space="preserve">23 sobre la Resolución </w:t>
      </w:r>
      <w:r w:rsidRPr="005F75D6">
        <w:rPr>
          <w:b/>
          <w:bCs/>
          <w:lang w:val="es-ES"/>
        </w:rPr>
        <w:t>80 (Rev.CMR-07)</w:t>
      </w:r>
      <w:r w:rsidRPr="005F75D6">
        <w:rPr>
          <w:lang w:val="es-ES"/>
        </w:rPr>
        <w:t xml:space="preserve"> se presentó a la CMR-23 (Doc. 50).</w:t>
      </w:r>
      <w:bookmarkEnd w:id="9"/>
      <w:r w:rsidRPr="005F75D6">
        <w:rPr>
          <w:lang w:val="es-ES"/>
        </w:rPr>
        <w:t xml:space="preserve"> </w:t>
      </w:r>
      <w:bookmarkStart w:id="10" w:name="lt_pId028"/>
      <w:r w:rsidRPr="005F75D6">
        <w:rPr>
          <w:lang w:val="es-ES"/>
        </w:rPr>
        <w:t xml:space="preserve">El ASMG da las gracias a la Junta por </w:t>
      </w:r>
      <w:r w:rsidRPr="005F75D6">
        <w:rPr>
          <w:color w:val="000000"/>
          <w:lang w:val="es-ES"/>
        </w:rPr>
        <w:t xml:space="preserve">la diligencia y minuciosidad con que planteó las cuestiones </w:t>
      </w:r>
      <w:r w:rsidRPr="005F75D6">
        <w:rPr>
          <w:lang w:val="es-ES"/>
        </w:rPr>
        <w:t>que figuran en la sección 4 del Informe.</w:t>
      </w:r>
      <w:bookmarkEnd w:id="10"/>
      <w:r w:rsidRPr="005F75D6">
        <w:rPr>
          <w:lang w:val="es-ES"/>
        </w:rPr>
        <w:t xml:space="preserve"> </w:t>
      </w:r>
      <w:bookmarkStart w:id="11" w:name="lt_pId029"/>
      <w:r w:rsidRPr="005F75D6">
        <w:rPr>
          <w:lang w:val="es-ES"/>
        </w:rPr>
        <w:t xml:space="preserve">A </w:t>
      </w:r>
      <w:r w:rsidR="005F75D6" w:rsidRPr="005F75D6">
        <w:rPr>
          <w:lang w:val="es-ES"/>
        </w:rPr>
        <w:t>continuación,</w:t>
      </w:r>
      <w:r w:rsidRPr="005F75D6">
        <w:rPr>
          <w:lang w:val="es-ES"/>
        </w:rPr>
        <w:t xml:space="preserve"> se presentan algunas opiniones sobre estos elementos</w:t>
      </w:r>
      <w:bookmarkEnd w:id="11"/>
      <w:r w:rsidRPr="005F75D6">
        <w:rPr>
          <w:lang w:val="es-ES"/>
        </w:rPr>
        <w:t xml:space="preserve">. </w:t>
      </w:r>
    </w:p>
    <w:p w14:paraId="1D76ADAE" w14:textId="565A467F" w:rsidR="00335B1B" w:rsidRPr="005F75D6" w:rsidRDefault="00335B1B" w:rsidP="00335B1B">
      <w:pPr>
        <w:pStyle w:val="Heading1"/>
        <w:rPr>
          <w:lang w:val="es-ES"/>
        </w:rPr>
      </w:pPr>
      <w:bookmarkStart w:id="12" w:name="_Toc409538038"/>
      <w:bookmarkStart w:id="13" w:name="_Toc520420646"/>
      <w:bookmarkStart w:id="14" w:name="_Toc4119418"/>
      <w:r w:rsidRPr="005F75D6">
        <w:rPr>
          <w:lang w:val="es-ES"/>
        </w:rPr>
        <w:t>2</w:t>
      </w:r>
      <w:r w:rsidRPr="005F75D6">
        <w:rPr>
          <w:lang w:val="es-ES"/>
        </w:rPr>
        <w:tab/>
      </w:r>
      <w:bookmarkEnd w:id="12"/>
      <w:bookmarkEnd w:id="13"/>
      <w:bookmarkEnd w:id="14"/>
      <w:r w:rsidRPr="005F75D6">
        <w:rPr>
          <w:lang w:val="es-ES"/>
        </w:rPr>
        <w:t>Comentarios sobre cuestiones concretas</w:t>
      </w:r>
    </w:p>
    <w:p w14:paraId="6CF1A3E1" w14:textId="3FD627CF" w:rsidR="00335B1B" w:rsidRPr="005F75D6" w:rsidRDefault="00335B1B" w:rsidP="00335B1B">
      <w:pPr>
        <w:pStyle w:val="Heading2"/>
        <w:rPr>
          <w:lang w:val="es-ES" w:eastAsia="zh-CN"/>
        </w:rPr>
      </w:pPr>
      <w:bookmarkStart w:id="15" w:name="_Toc520420662"/>
      <w:bookmarkStart w:id="16" w:name="_Toc4119428"/>
      <w:r w:rsidRPr="005F75D6">
        <w:rPr>
          <w:lang w:val="es-ES" w:eastAsia="zh-CN"/>
        </w:rPr>
        <w:t>2.1</w:t>
      </w:r>
      <w:r w:rsidRPr="005F75D6">
        <w:rPr>
          <w:lang w:val="es-ES" w:eastAsia="zh-CN"/>
        </w:rPr>
        <w:tab/>
      </w:r>
      <w:bookmarkStart w:id="17" w:name="lt_pId260"/>
      <w:bookmarkStart w:id="18" w:name="_Toc409538048"/>
      <w:bookmarkStart w:id="19" w:name="lt_pId033"/>
      <w:bookmarkEnd w:id="15"/>
      <w:bookmarkEnd w:id="16"/>
      <w:r w:rsidRPr="005F75D6">
        <w:rPr>
          <w:lang w:val="es-ES" w:eastAsia="ja-JP"/>
        </w:rPr>
        <w:t xml:space="preserve">Relación entre puesta en servicio y notificación a los efectos de inscripción en el Registro </w:t>
      </w:r>
      <w:r w:rsidRPr="005F75D6">
        <w:rPr>
          <w:lang w:val="es-ES"/>
        </w:rPr>
        <w:t>Internacional</w:t>
      </w:r>
      <w:r w:rsidRPr="005F75D6">
        <w:rPr>
          <w:lang w:val="es-ES" w:eastAsia="ja-JP"/>
        </w:rPr>
        <w:t xml:space="preserve"> de Frecuencias (</w:t>
      </w:r>
      <w:r w:rsidRPr="005F75D6">
        <w:rPr>
          <w:lang w:val="es-ES"/>
        </w:rPr>
        <w:t>MIFR)</w:t>
      </w:r>
      <w:bookmarkEnd w:id="17"/>
      <w:r w:rsidRPr="005F75D6">
        <w:rPr>
          <w:lang w:val="es-ES" w:eastAsia="ja-JP"/>
        </w:rPr>
        <w:t xml:space="preserve"> </w:t>
      </w:r>
      <w:r w:rsidRPr="005F75D6">
        <w:rPr>
          <w:lang w:val="es-ES" w:eastAsia="zh-CN"/>
        </w:rPr>
        <w:t xml:space="preserve">y problemas relacionados con la Resolución </w:t>
      </w:r>
      <w:bookmarkEnd w:id="18"/>
      <w:r w:rsidRPr="005F75D6">
        <w:rPr>
          <w:lang w:val="es-ES"/>
        </w:rPr>
        <w:t>40 (Rev.CMR-19)</w:t>
      </w:r>
      <w:bookmarkEnd w:id="19"/>
    </w:p>
    <w:p w14:paraId="0D28ED5F" w14:textId="05D4FF33" w:rsidR="00335B1B" w:rsidRPr="005F75D6" w:rsidRDefault="00335B1B" w:rsidP="00335B1B">
      <w:pPr>
        <w:rPr>
          <w:lang w:val="es-ES"/>
        </w:rPr>
      </w:pPr>
      <w:bookmarkStart w:id="20" w:name="lt_pId034"/>
      <w:r w:rsidRPr="005F75D6">
        <w:rPr>
          <w:lang w:val="es-ES"/>
        </w:rPr>
        <w:t>En la sección 4.3, el Informe examina si debe permitirse la puesta en servicio de las asignaciones de frecuencias de los Apéndices </w:t>
      </w:r>
      <w:r w:rsidRPr="005F75D6">
        <w:rPr>
          <w:b/>
          <w:bCs/>
          <w:lang w:val="es-ES"/>
        </w:rPr>
        <w:t>30</w:t>
      </w:r>
      <w:r w:rsidRPr="005F75D6">
        <w:rPr>
          <w:lang w:val="es-ES"/>
        </w:rPr>
        <w:t xml:space="preserve">, </w:t>
      </w:r>
      <w:r w:rsidRPr="005F75D6">
        <w:rPr>
          <w:b/>
          <w:bCs/>
          <w:lang w:val="es-ES"/>
        </w:rPr>
        <w:t>30A</w:t>
      </w:r>
      <w:r w:rsidRPr="005F75D6">
        <w:rPr>
          <w:lang w:val="es-ES"/>
        </w:rPr>
        <w:t xml:space="preserve"> y </w:t>
      </w:r>
      <w:r w:rsidRPr="005F75D6">
        <w:rPr>
          <w:b/>
          <w:bCs/>
          <w:lang w:val="es-ES"/>
        </w:rPr>
        <w:t>30B</w:t>
      </w:r>
      <w:r w:rsidRPr="005F75D6">
        <w:rPr>
          <w:lang w:val="es-ES"/>
        </w:rPr>
        <w:t xml:space="preserve"> con un satélite que se reubique posteriormente antes de autorizar la notificación, habida cuenta de que: 1) el § 4.1.18 de los Apéndices </w:t>
      </w:r>
      <w:r w:rsidRPr="005F75D6">
        <w:rPr>
          <w:b/>
          <w:bCs/>
          <w:lang w:val="es-ES"/>
        </w:rPr>
        <w:t>30</w:t>
      </w:r>
      <w:r w:rsidRPr="005F75D6">
        <w:rPr>
          <w:lang w:val="es-ES"/>
        </w:rPr>
        <w:t xml:space="preserve"> y </w:t>
      </w:r>
      <w:r w:rsidRPr="005F75D6">
        <w:rPr>
          <w:b/>
          <w:bCs/>
          <w:lang w:val="es-ES"/>
        </w:rPr>
        <w:t>30A</w:t>
      </w:r>
      <w:r w:rsidRPr="005F75D6">
        <w:rPr>
          <w:lang w:val="es-ES"/>
        </w:rPr>
        <w:t xml:space="preserve"> del RR no se aplica a las asignaciones de frecuencias del Plan de las Regiones 1 y 3, o del Plan de la Región 2, o para las que se ha iniciado el procedimiento del § 4.2 de los Apéndices </w:t>
      </w:r>
      <w:r w:rsidRPr="005F75D6">
        <w:rPr>
          <w:b/>
          <w:bCs/>
          <w:lang w:val="es-ES"/>
        </w:rPr>
        <w:t>30</w:t>
      </w:r>
      <w:r w:rsidRPr="005F75D6">
        <w:rPr>
          <w:lang w:val="es-ES"/>
        </w:rPr>
        <w:t xml:space="preserve"> y </w:t>
      </w:r>
      <w:r w:rsidRPr="005F75D6">
        <w:rPr>
          <w:b/>
          <w:bCs/>
          <w:lang w:val="es-ES"/>
        </w:rPr>
        <w:t xml:space="preserve">30A </w:t>
      </w:r>
      <w:r w:rsidRPr="005F75D6">
        <w:rPr>
          <w:bCs/>
          <w:lang w:val="es-ES"/>
        </w:rPr>
        <w:t>del RR</w:t>
      </w:r>
      <w:r w:rsidRPr="005F75D6">
        <w:rPr>
          <w:lang w:val="es-ES"/>
        </w:rPr>
        <w:t>; 2) el § 4.2.21A de los Apéndices </w:t>
      </w:r>
      <w:r w:rsidRPr="005F75D6">
        <w:rPr>
          <w:b/>
          <w:bCs/>
          <w:lang w:val="es-ES"/>
        </w:rPr>
        <w:t>30</w:t>
      </w:r>
      <w:r w:rsidRPr="005F75D6">
        <w:rPr>
          <w:lang w:val="es-ES"/>
        </w:rPr>
        <w:t xml:space="preserve"> y </w:t>
      </w:r>
      <w:r w:rsidRPr="005F75D6">
        <w:rPr>
          <w:b/>
          <w:bCs/>
          <w:lang w:val="es-ES"/>
        </w:rPr>
        <w:t>30A</w:t>
      </w:r>
      <w:r w:rsidRPr="005F75D6">
        <w:rPr>
          <w:lang w:val="es-ES"/>
        </w:rPr>
        <w:t xml:space="preserve"> del RR no se aplica a las asignaciones de frecuencias del Plan de la Región 2, o del Plan o Lista de las Regiones 1 y 3, o para las que se ha iniciado el procedimiento de los § 4.1 o 4.2; y 3) el § 6.25 del Artículo 6 del Apéndice </w:t>
      </w:r>
      <w:r w:rsidRPr="005F75D6">
        <w:rPr>
          <w:b/>
          <w:bCs/>
          <w:lang w:val="es-ES"/>
        </w:rPr>
        <w:t>30B</w:t>
      </w:r>
      <w:r w:rsidRPr="005F75D6">
        <w:rPr>
          <w:lang w:val="es-ES"/>
        </w:rPr>
        <w:t xml:space="preserve"> del RR no se aplica a las adjudicaciones del Plan</w:t>
      </w:r>
      <w:bookmarkEnd w:id="20"/>
      <w:r w:rsidRPr="005F75D6">
        <w:rPr>
          <w:lang w:val="es-ES"/>
        </w:rPr>
        <w:t>.</w:t>
      </w:r>
    </w:p>
    <w:p w14:paraId="76270816" w14:textId="3415CA83" w:rsidR="00335B1B" w:rsidRPr="005F75D6" w:rsidRDefault="00335B1B" w:rsidP="00335B1B">
      <w:pPr>
        <w:rPr>
          <w:bCs/>
          <w:lang w:val="es-ES"/>
        </w:rPr>
      </w:pPr>
      <w:bookmarkStart w:id="21" w:name="lt_pId035"/>
      <w:r w:rsidRPr="005F75D6">
        <w:rPr>
          <w:lang w:val="es-ES"/>
        </w:rPr>
        <w:t>La Junta tomó nota de que se había informado a las administraciones en los Documentos CR/343, CCRR/49 y CCRR/52 acerca de la relación entre el periodo de 90 días para la puesta en servicio de las asignaciones de frecuencias y el procedimiento de notificación, y de que la cuestión se debatió ampliamente en las Comisiones de Estudio pertinentes, la RRB y la CMR-15. La CMR-15 adoptó el número </w:t>
      </w:r>
      <w:r w:rsidRPr="005F75D6">
        <w:rPr>
          <w:b/>
          <w:bCs/>
          <w:lang w:val="es-ES"/>
        </w:rPr>
        <w:t>11.44B.2</w:t>
      </w:r>
      <w:r w:rsidRPr="005F75D6">
        <w:rPr>
          <w:lang w:val="es-ES"/>
        </w:rPr>
        <w:t xml:space="preserve"> para desalentar la práctica del desplazamiento de satélites y su aplicación no planteó ninguna dificultad. La </w:t>
      </w:r>
      <w:r w:rsidR="006734D6" w:rsidRPr="005F75D6">
        <w:rPr>
          <w:lang w:val="es-ES"/>
        </w:rPr>
        <w:t xml:space="preserve">Junta </w:t>
      </w:r>
      <w:r w:rsidRPr="005F75D6">
        <w:rPr>
          <w:lang w:val="es-ES"/>
        </w:rPr>
        <w:t>manifestó su opinión de que no quedó ninguna ambigüedad sobre el tratamiento que la Oficina o la Junta deben aplicar a los casos relativos a servicios no planificados con una fecha de puesta en servicio notificada anterior en más de 120 días a la fecha de recepción de la notificación</w:t>
      </w:r>
      <w:bookmarkEnd w:id="21"/>
      <w:r w:rsidRPr="005F75D6">
        <w:rPr>
          <w:lang w:val="es-ES"/>
        </w:rPr>
        <w:t>.</w:t>
      </w:r>
    </w:p>
    <w:p w14:paraId="526E2522" w14:textId="73C4C7EA" w:rsidR="00335B1B" w:rsidRPr="00D11B19" w:rsidRDefault="00335B1B" w:rsidP="00335B1B">
      <w:pPr>
        <w:rPr>
          <w:i/>
          <w:iCs/>
          <w:lang w:val="es-ES"/>
        </w:rPr>
      </w:pPr>
      <w:bookmarkStart w:id="22" w:name="lt_pId038"/>
      <w:r w:rsidRPr="005F75D6">
        <w:rPr>
          <w:lang w:val="es-ES"/>
        </w:rPr>
        <w:t>Adem</w:t>
      </w:r>
      <w:r w:rsidR="00D51000" w:rsidRPr="005F75D6">
        <w:rPr>
          <w:lang w:val="es-ES"/>
        </w:rPr>
        <w:t xml:space="preserve">ás, </w:t>
      </w:r>
      <w:r w:rsidRPr="005F75D6">
        <w:rPr>
          <w:lang w:val="es-ES"/>
        </w:rPr>
        <w:t xml:space="preserve">en la sección 4.11 la RRB llamó la atención sobre las dificultades que podrían surgir en caso de desplazamiento de satélites y señaló que: </w:t>
      </w:r>
      <w:r w:rsidR="00D11B19" w:rsidRPr="00D11B19">
        <w:rPr>
          <w:i/>
          <w:iCs/>
          <w:lang w:val="es-ES"/>
        </w:rPr>
        <w:t>«</w:t>
      </w:r>
      <w:r w:rsidRPr="00D11B19">
        <w:rPr>
          <w:i/>
          <w:iCs/>
          <w:lang w:val="es-ES" w:eastAsia="zh-CN"/>
        </w:rPr>
        <w:t xml:space="preserve">La Junta considera que el principal indicador de </w:t>
      </w:r>
      <w:r w:rsidRPr="00D11B19">
        <w:rPr>
          <w:i/>
          <w:iCs/>
          <w:lang w:val="es-ES" w:eastAsia="zh-CN"/>
        </w:rPr>
        <w:lastRenderedPageBreak/>
        <w:t xml:space="preserve">un eventual uso indebido es, en realidad, la puesta en servicio o la reanudación del servicio </w:t>
      </w:r>
      <w:bookmarkStart w:id="23" w:name="_Hlk126916306"/>
      <w:r w:rsidRPr="00D11B19">
        <w:rPr>
          <w:i/>
          <w:iCs/>
          <w:lang w:val="es-ES" w:eastAsia="zh-CN"/>
        </w:rPr>
        <w:t>repetidas</w:t>
      </w:r>
      <w:bookmarkEnd w:id="23"/>
      <w:r w:rsidRPr="00D11B19">
        <w:rPr>
          <w:i/>
          <w:iCs/>
          <w:lang w:val="es-ES" w:eastAsia="zh-CN"/>
        </w:rPr>
        <w:t xml:space="preserve"> de asignaciones de frecuencias durante un breve periodo de tiempo. Esta práctica permite a las administraciones mantener las inscripciones en el Registro Internacional (lo que les permite conservar el reconocimiento internacional y los derechos de protección de las asignaciones de frecuencias a redes de satélites OSG) satisfaciendo simplemente los requisitos de puesta en servicio/reanudación del servicio sin mantener un satélite con la capacidad de transmisión y recepción necesaria más de 90 días después de la puesta en servicio/reanudación del servicio</w:t>
      </w:r>
      <w:bookmarkStart w:id="24" w:name="lt_pId713"/>
      <w:r w:rsidRPr="00D11B19">
        <w:rPr>
          <w:i/>
          <w:iCs/>
          <w:lang w:val="es-ES" w:eastAsia="zh-CN"/>
        </w:rPr>
        <w:t>.</w:t>
      </w:r>
      <w:bookmarkEnd w:id="24"/>
      <w:r w:rsidRPr="00D11B19">
        <w:rPr>
          <w:i/>
          <w:iCs/>
          <w:lang w:val="es-ES" w:eastAsia="zh-CN"/>
        </w:rPr>
        <w:t xml:space="preserve"> Tal práctica es contraria a los principios del Artículo 44 de la Constitución, al espíritu del Reglamento de Radiocomunicaciones y a la esencia de las disposiciones reglamentarias que rigen el acceso al espectro radioeléctrico y la órbita de los satélites geoestacionarios</w:t>
      </w:r>
      <w:bookmarkEnd w:id="22"/>
      <w:r w:rsidRPr="00D11B19">
        <w:rPr>
          <w:i/>
          <w:iCs/>
          <w:lang w:val="es-ES"/>
        </w:rPr>
        <w:t>.</w:t>
      </w:r>
    </w:p>
    <w:p w14:paraId="66936DFA" w14:textId="217E7610" w:rsidR="00335B1B" w:rsidRPr="005F75D6" w:rsidRDefault="00335B1B" w:rsidP="00335B1B">
      <w:pPr>
        <w:rPr>
          <w:lang w:val="es-ES"/>
        </w:rPr>
      </w:pPr>
      <w:r w:rsidRPr="00D11B19">
        <w:rPr>
          <w:i/>
          <w:iCs/>
          <w:lang w:val="es-ES"/>
        </w:rPr>
        <w:t>4.11.3</w:t>
      </w:r>
      <w:r w:rsidRPr="00D11B19">
        <w:rPr>
          <w:i/>
          <w:iCs/>
          <w:lang w:val="es-ES"/>
        </w:rPr>
        <w:tab/>
        <w:t>También despierta inquietud en la Junta un caso reciente de «desplazamiento sucesivo de satélites sin desplazamiento» comunicado por la Oficina, en el que un único satélite situado en una posición orbital «A» se había utilizado para poner en servicio asignaciones a redes de satélites notificadas en una posición orbital «B», a menos de 0,5° de la posición «A». Dichas redes se habían suspendido tras varios años de funcionamiento y el satélite, que todavía se hallaba físicamente en la posición «A», se había utilizado entonces para poner en servicio asignaciones de frecuencias a redes de satélites en una posición orbital «C», a menos de 0,5° de la posición física del satélite. El caso demuestra que las administraciones notificantes pueden mantener redes en dos posiciones con un único satélite físico instalado en una tercera posición si suspende el funcionamiento de las redes en secuencia cada tres años, y ello sin sufrir pérdidas de servicio por tener que mantenerse en una posición distinta durante 90 días y sin perder carburante por tener que desplazarse a una posición distinta. Cuando la CMR</w:t>
      </w:r>
      <w:r w:rsidRPr="00D11B19">
        <w:rPr>
          <w:i/>
          <w:iCs/>
          <w:lang w:val="es-ES" w:eastAsia="zh-CN"/>
        </w:rPr>
        <w:t>-15 adoptó la Resolución </w:t>
      </w:r>
      <w:r w:rsidRPr="00D11B19">
        <w:rPr>
          <w:b/>
          <w:bCs/>
          <w:i/>
          <w:iCs/>
          <w:lang w:val="es-ES" w:eastAsia="zh-CN"/>
        </w:rPr>
        <w:t>40</w:t>
      </w:r>
      <w:r w:rsidRPr="00D11B19">
        <w:rPr>
          <w:i/>
          <w:iCs/>
          <w:lang w:val="es-ES" w:eastAsia="zh-CN"/>
        </w:rPr>
        <w:t>, se consideró que los costes operativos que implicaba utilizar una estación espacial para poner en servicio asignaciones de frecuencias en distintas posiciones orbitales dentro de un breve periodo de tiempo eran lo suficientemente elevados para minimizar las posibilidades de utilización indebida. Sin embargo, cuando la práctica no implica la reubicación de satélite alguno, el supuesto de gasto que llevó a la adopción de la Resolución</w:t>
      </w:r>
      <w:bookmarkStart w:id="25" w:name="lt_pId720"/>
      <w:r w:rsidRPr="00D11B19">
        <w:rPr>
          <w:i/>
          <w:iCs/>
          <w:lang w:val="es-ES" w:eastAsia="zh-CN"/>
        </w:rPr>
        <w:t> </w:t>
      </w:r>
      <w:r w:rsidRPr="00D11B19">
        <w:rPr>
          <w:b/>
          <w:bCs/>
          <w:i/>
          <w:iCs/>
          <w:lang w:val="es-ES"/>
        </w:rPr>
        <w:t>40 (CMR-15)</w:t>
      </w:r>
      <w:r w:rsidRPr="00D11B19">
        <w:rPr>
          <w:i/>
          <w:iCs/>
          <w:lang w:val="es-ES"/>
        </w:rPr>
        <w:t xml:space="preserve"> ya no es pertinente</w:t>
      </w:r>
      <w:r w:rsidRPr="00D11B19">
        <w:rPr>
          <w:i/>
          <w:iCs/>
          <w:lang w:val="es-ES" w:eastAsia="zh-CN"/>
        </w:rPr>
        <w:t>.</w:t>
      </w:r>
      <w:bookmarkEnd w:id="25"/>
      <w:r w:rsidRPr="00D11B19">
        <w:rPr>
          <w:i/>
          <w:iCs/>
          <w:lang w:val="es-ES" w:eastAsia="zh-CN"/>
        </w:rPr>
        <w:t xml:space="preserve"> La Junta considera</w:t>
      </w:r>
      <w:r w:rsidRPr="00D11B19">
        <w:rPr>
          <w:i/>
          <w:iCs/>
          <w:lang w:val="es-ES"/>
        </w:rPr>
        <w:t xml:space="preserve"> que la práctica en cuestión contraviene claramente los principios recogidos en los instrumentos de la Unión en lo tocante al uso racional, eficiente y económico de los recursos orbitales y las frecuencias y al acceso equitativo a los mismos.</w:t>
      </w:r>
      <w:r w:rsidR="00D11B19" w:rsidRPr="00D11B19">
        <w:rPr>
          <w:i/>
          <w:iCs/>
          <w:lang w:val="es-ES"/>
        </w:rPr>
        <w:t>»</w:t>
      </w:r>
    </w:p>
    <w:p w14:paraId="40EF0DDA" w14:textId="6F5F3EC8" w:rsidR="00335B1B" w:rsidRPr="005F75D6" w:rsidRDefault="00335B1B" w:rsidP="00335B1B">
      <w:pPr>
        <w:rPr>
          <w:lang w:val="es-ES" w:eastAsia="zh-CN"/>
        </w:rPr>
      </w:pPr>
      <w:bookmarkStart w:id="26" w:name="lt_pId048"/>
      <w:r w:rsidRPr="005F75D6">
        <w:rPr>
          <w:lang w:val="es-ES"/>
        </w:rPr>
        <w:t xml:space="preserve">Además, en el Documento </w:t>
      </w:r>
      <w:hyperlink r:id="rId14" w:history="1">
        <w:r w:rsidRPr="005F75D6">
          <w:rPr>
            <w:rStyle w:val="Hyperlink"/>
            <w:szCs w:val="24"/>
            <w:lang w:val="es-ES"/>
          </w:rPr>
          <w:t>4A/402</w:t>
        </w:r>
      </w:hyperlink>
      <w:r w:rsidRPr="005F75D6">
        <w:rPr>
          <w:szCs w:val="24"/>
          <w:lang w:val="es-ES"/>
        </w:rPr>
        <w:t xml:space="preserve"> la Oficina facilitó al Grupo de Trabajo (GT) 4A una versión actualizada de las estadísticas de la Resolución </w:t>
      </w:r>
      <w:r w:rsidRPr="005F75D6">
        <w:rPr>
          <w:b/>
          <w:bCs/>
          <w:szCs w:val="24"/>
          <w:lang w:val="es-ES"/>
        </w:rPr>
        <w:t>40 (Rev.CMR</w:t>
      </w:r>
      <w:r w:rsidRPr="005F75D6">
        <w:rPr>
          <w:b/>
          <w:bCs/>
          <w:szCs w:val="24"/>
          <w:lang w:val="es-ES"/>
        </w:rPr>
        <w:noBreakHyphen/>
        <w:t>19)</w:t>
      </w:r>
      <w:r w:rsidRPr="005F75D6">
        <w:rPr>
          <w:szCs w:val="24"/>
          <w:lang w:val="es-ES"/>
        </w:rPr>
        <w:t xml:space="preserve"> entre el </w:t>
      </w:r>
      <w:r w:rsidRPr="005F75D6">
        <w:rPr>
          <w:lang w:val="es-ES" w:eastAsia="zh-CN"/>
        </w:rPr>
        <w:t>28 de noviembre 2015 y el 4 de octubre</w:t>
      </w:r>
      <w:r w:rsidRPr="005F75D6">
        <w:rPr>
          <w:szCs w:val="24"/>
          <w:lang w:val="es-ES"/>
        </w:rPr>
        <w:t>.</w:t>
      </w:r>
      <w:bookmarkEnd w:id="26"/>
      <w:r w:rsidRPr="005F75D6">
        <w:rPr>
          <w:szCs w:val="24"/>
          <w:lang w:val="es-ES"/>
        </w:rPr>
        <w:t xml:space="preserve"> En el Cuadro</w:t>
      </w:r>
      <w:bookmarkStart w:id="27" w:name="lt_pId049"/>
      <w:r w:rsidRPr="005F75D6">
        <w:rPr>
          <w:szCs w:val="24"/>
          <w:lang w:val="es-ES"/>
        </w:rPr>
        <w:t xml:space="preserve"> 1 </w:t>
      </w:r>
      <w:r w:rsidRPr="005F75D6">
        <w:rPr>
          <w:i/>
          <w:szCs w:val="24"/>
          <w:lang w:val="es-ES"/>
        </w:rPr>
        <w:t>infra</w:t>
      </w:r>
      <w:r w:rsidRPr="005F75D6">
        <w:rPr>
          <w:szCs w:val="24"/>
          <w:lang w:val="es-ES"/>
        </w:rPr>
        <w:t xml:space="preserve"> se indica el número </w:t>
      </w:r>
      <w:r w:rsidRPr="005F75D6">
        <w:rPr>
          <w:lang w:val="es-ES" w:eastAsia="zh-CN"/>
        </w:rPr>
        <w:t xml:space="preserve">de notificaciones en virtud de la Resolución </w:t>
      </w:r>
      <w:r w:rsidRPr="005F75D6">
        <w:rPr>
          <w:b/>
          <w:bCs/>
          <w:lang w:val="es-ES" w:eastAsia="zh-CN"/>
        </w:rPr>
        <w:t xml:space="preserve">40 </w:t>
      </w:r>
      <w:r w:rsidRPr="005F75D6">
        <w:rPr>
          <w:b/>
          <w:bCs/>
          <w:szCs w:val="24"/>
          <w:lang w:val="es-ES"/>
        </w:rPr>
        <w:t>(Rev.CMR</w:t>
      </w:r>
      <w:r w:rsidRPr="005F75D6">
        <w:rPr>
          <w:b/>
          <w:bCs/>
          <w:szCs w:val="24"/>
          <w:lang w:val="es-ES"/>
        </w:rPr>
        <w:noBreakHyphen/>
        <w:t>19),</w:t>
      </w:r>
      <w:r w:rsidRPr="005F75D6">
        <w:rPr>
          <w:bCs/>
          <w:lang w:val="es-ES" w:eastAsia="zh-CN"/>
        </w:rPr>
        <w:t xml:space="preserve"> en comparación con el número de posiciones orbitales en las que se utilizó previamente una estación espacial mencionada en la notificación de la Resolución </w:t>
      </w:r>
      <w:r w:rsidRPr="005F75D6">
        <w:rPr>
          <w:b/>
          <w:bCs/>
          <w:lang w:val="es-ES" w:eastAsia="zh-CN"/>
        </w:rPr>
        <w:t xml:space="preserve">40 </w:t>
      </w:r>
      <w:r w:rsidRPr="005F75D6">
        <w:rPr>
          <w:b/>
          <w:bCs/>
          <w:szCs w:val="24"/>
          <w:lang w:val="es-ES"/>
        </w:rPr>
        <w:t>(Rev.CMR-19)</w:t>
      </w:r>
      <w:r w:rsidRPr="005F75D6">
        <w:rPr>
          <w:lang w:val="es-ES" w:eastAsia="zh-CN"/>
        </w:rPr>
        <w:t>.</w:t>
      </w:r>
      <w:bookmarkEnd w:id="27"/>
    </w:p>
    <w:p w14:paraId="267AD5A7" w14:textId="77777777" w:rsidR="00335B1B" w:rsidRPr="005F75D6" w:rsidRDefault="00335B1B" w:rsidP="00335B1B">
      <w:pPr>
        <w:pStyle w:val="TableNo"/>
        <w:rPr>
          <w:lang w:val="es-ES"/>
        </w:rPr>
      </w:pPr>
      <w:bookmarkStart w:id="28" w:name="lt_pId050"/>
      <w:r w:rsidRPr="005F75D6">
        <w:rPr>
          <w:lang w:val="es-ES"/>
        </w:rPr>
        <w:t>CUADRO 1</w:t>
      </w:r>
      <w:bookmarkEnd w:id="28"/>
    </w:p>
    <w:p w14:paraId="64DC90C1" w14:textId="516320FD" w:rsidR="00335B1B" w:rsidRPr="005F75D6" w:rsidRDefault="00335B1B" w:rsidP="00335B1B">
      <w:pPr>
        <w:pStyle w:val="Tabletitle"/>
        <w:rPr>
          <w:lang w:val="es-ES" w:eastAsia="ko-KR"/>
        </w:rPr>
      </w:pPr>
      <w:bookmarkStart w:id="29" w:name="lt_pId051"/>
      <w:r w:rsidRPr="005F75D6">
        <w:rPr>
          <w:lang w:val="es-ES" w:eastAsia="ja-JP"/>
        </w:rPr>
        <w:t>Estadísticas de las notificaciones en virtud de la Resolución 40 (</w:t>
      </w:r>
      <w:r w:rsidRPr="005F75D6">
        <w:rPr>
          <w:lang w:val="es-ES" w:eastAsia="ko-KR"/>
        </w:rPr>
        <w:t>Rev.CMR-19)</w:t>
      </w:r>
      <w:bookmarkEnd w:id="29"/>
    </w:p>
    <w:tbl>
      <w:tblPr>
        <w:tblStyle w:val="TableGrid"/>
        <w:tblW w:w="7634" w:type="dxa"/>
        <w:jc w:val="center"/>
        <w:tblLayout w:type="fixed"/>
        <w:tblLook w:val="04A0" w:firstRow="1" w:lastRow="0" w:firstColumn="1" w:lastColumn="0" w:noHBand="0" w:noVBand="1"/>
      </w:tblPr>
      <w:tblGrid>
        <w:gridCol w:w="3473"/>
        <w:gridCol w:w="2274"/>
        <w:gridCol w:w="1887"/>
      </w:tblGrid>
      <w:tr w:rsidR="00335B1B" w:rsidRPr="005F75D6" w14:paraId="69FA7417" w14:textId="77777777" w:rsidTr="00335B1B">
        <w:trPr>
          <w:cantSplit/>
          <w:tblHeader/>
          <w:jc w:val="center"/>
        </w:trPr>
        <w:tc>
          <w:tcPr>
            <w:tcW w:w="3473" w:type="dxa"/>
            <w:noWrap/>
            <w:hideMark/>
          </w:tcPr>
          <w:p w14:paraId="7CAA25D5" w14:textId="09AE0A90" w:rsidR="00335B1B" w:rsidRPr="005F75D6" w:rsidRDefault="00335B1B" w:rsidP="00335B1B">
            <w:pPr>
              <w:pStyle w:val="Tablehead"/>
              <w:rPr>
                <w:lang w:val="es-ES" w:eastAsia="en-GB"/>
              </w:rPr>
            </w:pPr>
            <w:r w:rsidRPr="005F75D6">
              <w:rPr>
                <w:color w:val="000000"/>
                <w:lang w:val="es-ES"/>
              </w:rPr>
              <w:t>Número de posiciones en las que se utilizó el satélite previamente</w:t>
            </w:r>
          </w:p>
        </w:tc>
        <w:tc>
          <w:tcPr>
            <w:tcW w:w="2274" w:type="dxa"/>
            <w:noWrap/>
            <w:hideMark/>
          </w:tcPr>
          <w:p w14:paraId="267A67E6" w14:textId="1AAF365E" w:rsidR="00335B1B" w:rsidRPr="005F75D6" w:rsidRDefault="00335B1B" w:rsidP="00335B1B">
            <w:pPr>
              <w:pStyle w:val="Tablehead"/>
              <w:rPr>
                <w:lang w:val="es-ES" w:eastAsia="en-GB"/>
              </w:rPr>
            </w:pPr>
            <w:bookmarkStart w:id="30" w:name="lt_pId053"/>
            <w:r w:rsidRPr="005F75D6">
              <w:rPr>
                <w:lang w:val="es-ES"/>
              </w:rPr>
              <w:t>Número de notificaciones en virtud de la Res</w:t>
            </w:r>
            <w:r w:rsidRPr="005F75D6">
              <w:rPr>
                <w:lang w:val="es-ES" w:eastAsia="en-GB"/>
              </w:rPr>
              <w:t>. 40</w:t>
            </w:r>
            <w:bookmarkEnd w:id="30"/>
          </w:p>
        </w:tc>
        <w:tc>
          <w:tcPr>
            <w:tcW w:w="1887" w:type="dxa"/>
            <w:noWrap/>
            <w:hideMark/>
          </w:tcPr>
          <w:p w14:paraId="40F09E6C" w14:textId="6C8A5900" w:rsidR="00335B1B" w:rsidRPr="005F75D6" w:rsidRDefault="00335B1B" w:rsidP="00335B1B">
            <w:pPr>
              <w:pStyle w:val="Tablehead"/>
              <w:rPr>
                <w:lang w:val="es-ES" w:eastAsia="en-GB"/>
              </w:rPr>
            </w:pPr>
            <w:r w:rsidRPr="005F75D6">
              <w:rPr>
                <w:lang w:val="es-ES" w:eastAsia="en-GB"/>
              </w:rPr>
              <w:t>Porcentaje</w:t>
            </w:r>
            <w:r w:rsidRPr="005F75D6">
              <w:rPr>
                <w:lang w:val="es-ES" w:eastAsia="en-GB"/>
              </w:rPr>
              <w:br/>
              <w:t>(%)</w:t>
            </w:r>
          </w:p>
        </w:tc>
      </w:tr>
      <w:tr w:rsidR="00335B1B" w:rsidRPr="005F75D6" w14:paraId="5871FFEE" w14:textId="77777777" w:rsidTr="00335B1B">
        <w:trPr>
          <w:cantSplit/>
          <w:jc w:val="center"/>
        </w:trPr>
        <w:tc>
          <w:tcPr>
            <w:tcW w:w="3473" w:type="dxa"/>
            <w:noWrap/>
            <w:hideMark/>
          </w:tcPr>
          <w:p w14:paraId="484494E9" w14:textId="77777777" w:rsidR="00335B1B" w:rsidRPr="005F75D6" w:rsidRDefault="00335B1B" w:rsidP="00335B1B">
            <w:pPr>
              <w:pStyle w:val="Tabletext"/>
              <w:jc w:val="center"/>
              <w:rPr>
                <w:lang w:val="es-ES" w:eastAsia="en-GB"/>
              </w:rPr>
            </w:pPr>
            <w:r w:rsidRPr="005F75D6">
              <w:rPr>
                <w:lang w:val="es-ES"/>
              </w:rPr>
              <w:t>0</w:t>
            </w:r>
          </w:p>
        </w:tc>
        <w:tc>
          <w:tcPr>
            <w:tcW w:w="2274" w:type="dxa"/>
            <w:noWrap/>
            <w:hideMark/>
          </w:tcPr>
          <w:p w14:paraId="0A118078" w14:textId="77777777" w:rsidR="00335B1B" w:rsidRPr="005F75D6" w:rsidRDefault="00335B1B" w:rsidP="00335B1B">
            <w:pPr>
              <w:pStyle w:val="Tabletext"/>
              <w:jc w:val="center"/>
              <w:rPr>
                <w:highlight w:val="yellow"/>
                <w:lang w:val="es-ES" w:eastAsia="en-GB"/>
              </w:rPr>
            </w:pPr>
            <w:r w:rsidRPr="005F75D6">
              <w:rPr>
                <w:lang w:val="es-ES"/>
              </w:rPr>
              <w:t>479</w:t>
            </w:r>
          </w:p>
        </w:tc>
        <w:tc>
          <w:tcPr>
            <w:tcW w:w="1887" w:type="dxa"/>
            <w:noWrap/>
          </w:tcPr>
          <w:p w14:paraId="5C7A3C8E" w14:textId="597ED0C0" w:rsidR="00335B1B" w:rsidRPr="005F75D6" w:rsidRDefault="00335B1B" w:rsidP="00335B1B">
            <w:pPr>
              <w:pStyle w:val="Tabletext"/>
              <w:jc w:val="center"/>
              <w:rPr>
                <w:highlight w:val="yellow"/>
                <w:lang w:val="es-ES" w:eastAsia="en-GB"/>
              </w:rPr>
            </w:pPr>
            <w:r w:rsidRPr="005F75D6">
              <w:rPr>
                <w:lang w:val="es-ES"/>
              </w:rPr>
              <w:t>71,07</w:t>
            </w:r>
          </w:p>
        </w:tc>
      </w:tr>
      <w:tr w:rsidR="00335B1B" w:rsidRPr="005F75D6" w14:paraId="2D2DCBD4" w14:textId="77777777" w:rsidTr="00335B1B">
        <w:trPr>
          <w:cantSplit/>
          <w:jc w:val="center"/>
        </w:trPr>
        <w:tc>
          <w:tcPr>
            <w:tcW w:w="3473" w:type="dxa"/>
            <w:noWrap/>
            <w:hideMark/>
          </w:tcPr>
          <w:p w14:paraId="28744054" w14:textId="77777777" w:rsidR="00335B1B" w:rsidRPr="005F75D6" w:rsidRDefault="00335B1B" w:rsidP="00335B1B">
            <w:pPr>
              <w:pStyle w:val="Tabletext"/>
              <w:jc w:val="center"/>
              <w:rPr>
                <w:lang w:val="es-ES" w:eastAsia="en-GB"/>
              </w:rPr>
            </w:pPr>
            <w:r w:rsidRPr="005F75D6">
              <w:rPr>
                <w:lang w:val="es-ES"/>
              </w:rPr>
              <w:t>1</w:t>
            </w:r>
          </w:p>
        </w:tc>
        <w:tc>
          <w:tcPr>
            <w:tcW w:w="2274" w:type="dxa"/>
            <w:noWrap/>
            <w:hideMark/>
          </w:tcPr>
          <w:p w14:paraId="0ED49B74" w14:textId="77777777" w:rsidR="00335B1B" w:rsidRPr="005F75D6" w:rsidRDefault="00335B1B" w:rsidP="00335B1B">
            <w:pPr>
              <w:pStyle w:val="Tabletext"/>
              <w:jc w:val="center"/>
              <w:rPr>
                <w:highlight w:val="yellow"/>
                <w:lang w:val="es-ES" w:eastAsia="en-GB"/>
              </w:rPr>
            </w:pPr>
            <w:r w:rsidRPr="005F75D6">
              <w:rPr>
                <w:lang w:val="es-ES"/>
              </w:rPr>
              <w:t>113</w:t>
            </w:r>
          </w:p>
        </w:tc>
        <w:tc>
          <w:tcPr>
            <w:tcW w:w="1887" w:type="dxa"/>
            <w:noWrap/>
          </w:tcPr>
          <w:p w14:paraId="0D5C68D1" w14:textId="2E7844CD" w:rsidR="00335B1B" w:rsidRPr="005F75D6" w:rsidRDefault="00335B1B" w:rsidP="00335B1B">
            <w:pPr>
              <w:pStyle w:val="Tabletext"/>
              <w:jc w:val="center"/>
              <w:rPr>
                <w:highlight w:val="yellow"/>
                <w:lang w:val="es-ES" w:eastAsia="en-GB"/>
              </w:rPr>
            </w:pPr>
            <w:r w:rsidRPr="005F75D6">
              <w:rPr>
                <w:lang w:val="es-ES"/>
              </w:rPr>
              <w:t>16,77</w:t>
            </w:r>
          </w:p>
        </w:tc>
      </w:tr>
      <w:tr w:rsidR="00335B1B" w:rsidRPr="005F75D6" w14:paraId="6D8BC609" w14:textId="77777777" w:rsidTr="00335B1B">
        <w:trPr>
          <w:cantSplit/>
          <w:jc w:val="center"/>
        </w:trPr>
        <w:tc>
          <w:tcPr>
            <w:tcW w:w="3473" w:type="dxa"/>
            <w:noWrap/>
            <w:hideMark/>
          </w:tcPr>
          <w:p w14:paraId="50F15CCE" w14:textId="77777777" w:rsidR="00335B1B" w:rsidRPr="005F75D6" w:rsidRDefault="00335B1B" w:rsidP="00335B1B">
            <w:pPr>
              <w:pStyle w:val="Tabletext"/>
              <w:jc w:val="center"/>
              <w:rPr>
                <w:lang w:val="es-ES" w:eastAsia="en-GB"/>
              </w:rPr>
            </w:pPr>
            <w:r w:rsidRPr="005F75D6">
              <w:rPr>
                <w:lang w:val="es-ES"/>
              </w:rPr>
              <w:t>2</w:t>
            </w:r>
          </w:p>
        </w:tc>
        <w:tc>
          <w:tcPr>
            <w:tcW w:w="2274" w:type="dxa"/>
            <w:noWrap/>
            <w:hideMark/>
          </w:tcPr>
          <w:p w14:paraId="56822E0A" w14:textId="77777777" w:rsidR="00335B1B" w:rsidRPr="005F75D6" w:rsidRDefault="00335B1B" w:rsidP="00335B1B">
            <w:pPr>
              <w:pStyle w:val="Tabletext"/>
              <w:jc w:val="center"/>
              <w:rPr>
                <w:highlight w:val="yellow"/>
                <w:lang w:val="es-ES" w:eastAsia="en-GB"/>
              </w:rPr>
            </w:pPr>
            <w:r w:rsidRPr="005F75D6">
              <w:rPr>
                <w:lang w:val="es-ES"/>
              </w:rPr>
              <w:t>34</w:t>
            </w:r>
          </w:p>
        </w:tc>
        <w:tc>
          <w:tcPr>
            <w:tcW w:w="1887" w:type="dxa"/>
            <w:noWrap/>
          </w:tcPr>
          <w:p w14:paraId="5B2D225A" w14:textId="1D451FD7" w:rsidR="00335B1B" w:rsidRPr="005F75D6" w:rsidRDefault="00335B1B" w:rsidP="00335B1B">
            <w:pPr>
              <w:pStyle w:val="Tabletext"/>
              <w:jc w:val="center"/>
              <w:rPr>
                <w:highlight w:val="yellow"/>
                <w:lang w:val="es-ES" w:eastAsia="en-GB"/>
              </w:rPr>
            </w:pPr>
            <w:r w:rsidRPr="005F75D6">
              <w:rPr>
                <w:lang w:val="es-ES"/>
              </w:rPr>
              <w:t>5,04</w:t>
            </w:r>
          </w:p>
        </w:tc>
      </w:tr>
      <w:tr w:rsidR="00335B1B" w:rsidRPr="005F75D6" w14:paraId="4D9E6A56" w14:textId="77777777" w:rsidTr="00335B1B">
        <w:trPr>
          <w:cantSplit/>
          <w:jc w:val="center"/>
        </w:trPr>
        <w:tc>
          <w:tcPr>
            <w:tcW w:w="3473" w:type="dxa"/>
            <w:noWrap/>
            <w:hideMark/>
          </w:tcPr>
          <w:p w14:paraId="26394454" w14:textId="77777777" w:rsidR="00335B1B" w:rsidRPr="005F75D6" w:rsidRDefault="00335B1B" w:rsidP="00335B1B">
            <w:pPr>
              <w:pStyle w:val="Tabletext"/>
              <w:jc w:val="center"/>
              <w:rPr>
                <w:lang w:val="es-ES" w:eastAsia="en-GB"/>
              </w:rPr>
            </w:pPr>
            <w:r w:rsidRPr="005F75D6">
              <w:rPr>
                <w:lang w:val="es-ES"/>
              </w:rPr>
              <w:t>3</w:t>
            </w:r>
          </w:p>
        </w:tc>
        <w:tc>
          <w:tcPr>
            <w:tcW w:w="2274" w:type="dxa"/>
            <w:noWrap/>
            <w:hideMark/>
          </w:tcPr>
          <w:p w14:paraId="7DFF0422" w14:textId="77777777" w:rsidR="00335B1B" w:rsidRPr="005F75D6" w:rsidRDefault="00335B1B" w:rsidP="00335B1B">
            <w:pPr>
              <w:pStyle w:val="Tabletext"/>
              <w:jc w:val="center"/>
              <w:rPr>
                <w:highlight w:val="yellow"/>
                <w:lang w:val="es-ES" w:eastAsia="en-GB"/>
              </w:rPr>
            </w:pPr>
            <w:r w:rsidRPr="005F75D6">
              <w:rPr>
                <w:lang w:val="es-ES"/>
              </w:rPr>
              <w:t>25</w:t>
            </w:r>
          </w:p>
        </w:tc>
        <w:tc>
          <w:tcPr>
            <w:tcW w:w="1887" w:type="dxa"/>
            <w:noWrap/>
          </w:tcPr>
          <w:p w14:paraId="3B4E8057" w14:textId="49E663EE" w:rsidR="00335B1B" w:rsidRPr="005F75D6" w:rsidRDefault="00335B1B" w:rsidP="00335B1B">
            <w:pPr>
              <w:pStyle w:val="Tabletext"/>
              <w:jc w:val="center"/>
              <w:rPr>
                <w:highlight w:val="yellow"/>
                <w:lang w:val="es-ES" w:eastAsia="en-GB"/>
              </w:rPr>
            </w:pPr>
            <w:r w:rsidRPr="005F75D6">
              <w:rPr>
                <w:lang w:val="es-ES"/>
              </w:rPr>
              <w:t>3,71</w:t>
            </w:r>
          </w:p>
        </w:tc>
      </w:tr>
      <w:tr w:rsidR="00335B1B" w:rsidRPr="005F75D6" w14:paraId="71B3C2B7" w14:textId="77777777" w:rsidTr="00335B1B">
        <w:trPr>
          <w:cantSplit/>
          <w:jc w:val="center"/>
        </w:trPr>
        <w:tc>
          <w:tcPr>
            <w:tcW w:w="3473" w:type="dxa"/>
            <w:noWrap/>
            <w:hideMark/>
          </w:tcPr>
          <w:p w14:paraId="51625230" w14:textId="77777777" w:rsidR="00335B1B" w:rsidRPr="005F75D6" w:rsidRDefault="00335B1B" w:rsidP="00335B1B">
            <w:pPr>
              <w:pStyle w:val="Tabletext"/>
              <w:jc w:val="center"/>
              <w:rPr>
                <w:lang w:val="es-ES" w:eastAsia="en-GB"/>
              </w:rPr>
            </w:pPr>
            <w:r w:rsidRPr="005F75D6">
              <w:rPr>
                <w:lang w:val="es-ES"/>
              </w:rPr>
              <w:t>4</w:t>
            </w:r>
          </w:p>
        </w:tc>
        <w:tc>
          <w:tcPr>
            <w:tcW w:w="2274" w:type="dxa"/>
            <w:noWrap/>
            <w:hideMark/>
          </w:tcPr>
          <w:p w14:paraId="43F7D953" w14:textId="77777777" w:rsidR="00335B1B" w:rsidRPr="005F75D6" w:rsidRDefault="00335B1B" w:rsidP="00335B1B">
            <w:pPr>
              <w:pStyle w:val="Tabletext"/>
              <w:jc w:val="center"/>
              <w:rPr>
                <w:highlight w:val="yellow"/>
                <w:lang w:val="es-ES" w:eastAsia="en-GB"/>
              </w:rPr>
            </w:pPr>
            <w:r w:rsidRPr="005F75D6">
              <w:rPr>
                <w:lang w:val="es-ES"/>
              </w:rPr>
              <w:t>7</w:t>
            </w:r>
          </w:p>
        </w:tc>
        <w:tc>
          <w:tcPr>
            <w:tcW w:w="1887" w:type="dxa"/>
            <w:noWrap/>
          </w:tcPr>
          <w:p w14:paraId="16590F7C" w14:textId="40DAF7BB" w:rsidR="00335B1B" w:rsidRPr="005F75D6" w:rsidRDefault="00335B1B" w:rsidP="00335B1B">
            <w:pPr>
              <w:pStyle w:val="Tabletext"/>
              <w:jc w:val="center"/>
              <w:rPr>
                <w:highlight w:val="yellow"/>
                <w:lang w:val="es-ES" w:eastAsia="en-GB"/>
              </w:rPr>
            </w:pPr>
            <w:r w:rsidRPr="005F75D6">
              <w:rPr>
                <w:lang w:val="es-ES"/>
              </w:rPr>
              <w:t>1,04</w:t>
            </w:r>
          </w:p>
        </w:tc>
      </w:tr>
      <w:tr w:rsidR="00335B1B" w:rsidRPr="005F75D6" w14:paraId="6120E84D" w14:textId="77777777" w:rsidTr="00335B1B">
        <w:trPr>
          <w:cantSplit/>
          <w:jc w:val="center"/>
        </w:trPr>
        <w:tc>
          <w:tcPr>
            <w:tcW w:w="3473" w:type="dxa"/>
            <w:noWrap/>
            <w:hideMark/>
          </w:tcPr>
          <w:p w14:paraId="1841C8F0" w14:textId="77777777" w:rsidR="00335B1B" w:rsidRPr="005F75D6" w:rsidRDefault="00335B1B" w:rsidP="00335B1B">
            <w:pPr>
              <w:pStyle w:val="Tabletext"/>
              <w:jc w:val="center"/>
              <w:rPr>
                <w:lang w:val="es-ES" w:eastAsia="en-GB"/>
              </w:rPr>
            </w:pPr>
            <w:r w:rsidRPr="005F75D6">
              <w:rPr>
                <w:lang w:val="es-ES"/>
              </w:rPr>
              <w:lastRenderedPageBreak/>
              <w:t>5</w:t>
            </w:r>
          </w:p>
        </w:tc>
        <w:tc>
          <w:tcPr>
            <w:tcW w:w="2274" w:type="dxa"/>
            <w:noWrap/>
            <w:hideMark/>
          </w:tcPr>
          <w:p w14:paraId="2EC66CBD" w14:textId="77777777" w:rsidR="00335B1B" w:rsidRPr="005F75D6" w:rsidRDefault="00335B1B" w:rsidP="00335B1B">
            <w:pPr>
              <w:pStyle w:val="Tabletext"/>
              <w:jc w:val="center"/>
              <w:rPr>
                <w:highlight w:val="yellow"/>
                <w:lang w:val="es-ES" w:eastAsia="en-GB"/>
              </w:rPr>
            </w:pPr>
            <w:r w:rsidRPr="005F75D6">
              <w:rPr>
                <w:lang w:val="es-ES"/>
              </w:rPr>
              <w:t>3</w:t>
            </w:r>
          </w:p>
        </w:tc>
        <w:tc>
          <w:tcPr>
            <w:tcW w:w="1887" w:type="dxa"/>
            <w:noWrap/>
          </w:tcPr>
          <w:p w14:paraId="0D46686D" w14:textId="07EAFF96" w:rsidR="00335B1B" w:rsidRPr="005F75D6" w:rsidRDefault="00335B1B" w:rsidP="00335B1B">
            <w:pPr>
              <w:pStyle w:val="Tabletext"/>
              <w:jc w:val="center"/>
              <w:rPr>
                <w:highlight w:val="yellow"/>
                <w:lang w:val="es-ES" w:eastAsia="en-GB"/>
              </w:rPr>
            </w:pPr>
            <w:r w:rsidRPr="005F75D6">
              <w:rPr>
                <w:lang w:val="es-ES"/>
              </w:rPr>
              <w:t>0,45</w:t>
            </w:r>
          </w:p>
        </w:tc>
      </w:tr>
      <w:tr w:rsidR="00335B1B" w:rsidRPr="005F75D6" w14:paraId="1AE2709A" w14:textId="77777777" w:rsidTr="00335B1B">
        <w:trPr>
          <w:cantSplit/>
          <w:jc w:val="center"/>
        </w:trPr>
        <w:tc>
          <w:tcPr>
            <w:tcW w:w="3473" w:type="dxa"/>
            <w:noWrap/>
            <w:hideMark/>
          </w:tcPr>
          <w:p w14:paraId="467CAF7C" w14:textId="77777777" w:rsidR="00335B1B" w:rsidRPr="005F75D6" w:rsidRDefault="00335B1B" w:rsidP="00335B1B">
            <w:pPr>
              <w:pStyle w:val="Tabletext"/>
              <w:jc w:val="center"/>
              <w:rPr>
                <w:lang w:val="es-ES" w:eastAsia="en-GB"/>
              </w:rPr>
            </w:pPr>
            <w:r w:rsidRPr="005F75D6">
              <w:rPr>
                <w:lang w:val="es-ES"/>
              </w:rPr>
              <w:t>6</w:t>
            </w:r>
          </w:p>
        </w:tc>
        <w:tc>
          <w:tcPr>
            <w:tcW w:w="2274" w:type="dxa"/>
            <w:noWrap/>
            <w:hideMark/>
          </w:tcPr>
          <w:p w14:paraId="3864F5E6" w14:textId="77777777" w:rsidR="00335B1B" w:rsidRPr="005F75D6" w:rsidRDefault="00335B1B" w:rsidP="00335B1B">
            <w:pPr>
              <w:pStyle w:val="Tabletext"/>
              <w:jc w:val="center"/>
              <w:rPr>
                <w:highlight w:val="yellow"/>
                <w:lang w:val="es-ES" w:eastAsia="en-GB"/>
              </w:rPr>
            </w:pPr>
            <w:r w:rsidRPr="005F75D6">
              <w:rPr>
                <w:lang w:val="es-ES"/>
              </w:rPr>
              <w:t>5</w:t>
            </w:r>
          </w:p>
        </w:tc>
        <w:tc>
          <w:tcPr>
            <w:tcW w:w="1887" w:type="dxa"/>
            <w:noWrap/>
          </w:tcPr>
          <w:p w14:paraId="143A47D5" w14:textId="1EF3C1ED" w:rsidR="00335B1B" w:rsidRPr="005F75D6" w:rsidRDefault="00335B1B" w:rsidP="00335B1B">
            <w:pPr>
              <w:pStyle w:val="Tabletext"/>
              <w:jc w:val="center"/>
              <w:rPr>
                <w:highlight w:val="yellow"/>
                <w:lang w:val="es-ES" w:eastAsia="en-GB"/>
              </w:rPr>
            </w:pPr>
            <w:r w:rsidRPr="005F75D6">
              <w:rPr>
                <w:lang w:val="es-ES"/>
              </w:rPr>
              <w:t>0,74</w:t>
            </w:r>
          </w:p>
        </w:tc>
      </w:tr>
      <w:tr w:rsidR="00335B1B" w:rsidRPr="005F75D6" w14:paraId="31326E93" w14:textId="77777777" w:rsidTr="00335B1B">
        <w:trPr>
          <w:cantSplit/>
          <w:jc w:val="center"/>
        </w:trPr>
        <w:tc>
          <w:tcPr>
            <w:tcW w:w="3473" w:type="dxa"/>
            <w:noWrap/>
            <w:hideMark/>
          </w:tcPr>
          <w:p w14:paraId="7C067C96" w14:textId="77777777" w:rsidR="00335B1B" w:rsidRPr="005F75D6" w:rsidRDefault="00335B1B" w:rsidP="00335B1B">
            <w:pPr>
              <w:pStyle w:val="Tabletext"/>
              <w:jc w:val="center"/>
              <w:rPr>
                <w:lang w:val="es-ES" w:eastAsia="en-GB"/>
              </w:rPr>
            </w:pPr>
            <w:r w:rsidRPr="005F75D6">
              <w:rPr>
                <w:lang w:val="es-ES"/>
              </w:rPr>
              <w:t>7</w:t>
            </w:r>
          </w:p>
        </w:tc>
        <w:tc>
          <w:tcPr>
            <w:tcW w:w="2274" w:type="dxa"/>
            <w:noWrap/>
            <w:hideMark/>
          </w:tcPr>
          <w:p w14:paraId="1FE692FC" w14:textId="77777777" w:rsidR="00335B1B" w:rsidRPr="005F75D6" w:rsidRDefault="00335B1B" w:rsidP="00335B1B">
            <w:pPr>
              <w:pStyle w:val="Tabletext"/>
              <w:jc w:val="center"/>
              <w:rPr>
                <w:highlight w:val="yellow"/>
                <w:lang w:val="es-ES" w:eastAsia="en-GB"/>
              </w:rPr>
            </w:pPr>
            <w:r w:rsidRPr="005F75D6">
              <w:rPr>
                <w:lang w:val="es-ES"/>
              </w:rPr>
              <w:t>3</w:t>
            </w:r>
          </w:p>
        </w:tc>
        <w:tc>
          <w:tcPr>
            <w:tcW w:w="1887" w:type="dxa"/>
            <w:noWrap/>
          </w:tcPr>
          <w:p w14:paraId="6BA19733" w14:textId="0710A9D2" w:rsidR="00335B1B" w:rsidRPr="005F75D6" w:rsidRDefault="00335B1B" w:rsidP="00335B1B">
            <w:pPr>
              <w:pStyle w:val="Tabletext"/>
              <w:jc w:val="center"/>
              <w:rPr>
                <w:highlight w:val="yellow"/>
                <w:lang w:val="es-ES" w:eastAsia="en-GB"/>
              </w:rPr>
            </w:pPr>
            <w:r w:rsidRPr="005F75D6">
              <w:rPr>
                <w:lang w:val="es-ES"/>
              </w:rPr>
              <w:t>0,45</w:t>
            </w:r>
          </w:p>
        </w:tc>
      </w:tr>
      <w:tr w:rsidR="00335B1B" w:rsidRPr="005F75D6" w14:paraId="11908C04" w14:textId="77777777" w:rsidTr="00335B1B">
        <w:trPr>
          <w:cantSplit/>
          <w:jc w:val="center"/>
        </w:trPr>
        <w:tc>
          <w:tcPr>
            <w:tcW w:w="3473" w:type="dxa"/>
            <w:noWrap/>
            <w:hideMark/>
          </w:tcPr>
          <w:p w14:paraId="76C8B85E" w14:textId="77777777" w:rsidR="00335B1B" w:rsidRPr="005F75D6" w:rsidRDefault="00335B1B" w:rsidP="00335B1B">
            <w:pPr>
              <w:pStyle w:val="Tabletext"/>
              <w:jc w:val="center"/>
              <w:rPr>
                <w:lang w:val="es-ES" w:eastAsia="en-GB"/>
              </w:rPr>
            </w:pPr>
            <w:r w:rsidRPr="005F75D6">
              <w:rPr>
                <w:lang w:val="es-ES"/>
              </w:rPr>
              <w:t>8</w:t>
            </w:r>
          </w:p>
        </w:tc>
        <w:tc>
          <w:tcPr>
            <w:tcW w:w="2274" w:type="dxa"/>
            <w:noWrap/>
            <w:hideMark/>
          </w:tcPr>
          <w:p w14:paraId="0D55EC7B" w14:textId="77777777" w:rsidR="00335B1B" w:rsidRPr="005F75D6" w:rsidRDefault="00335B1B" w:rsidP="00335B1B">
            <w:pPr>
              <w:pStyle w:val="Tabletext"/>
              <w:jc w:val="center"/>
              <w:rPr>
                <w:highlight w:val="yellow"/>
                <w:lang w:val="es-ES" w:eastAsia="en-GB"/>
              </w:rPr>
            </w:pPr>
            <w:r w:rsidRPr="005F75D6">
              <w:rPr>
                <w:lang w:val="es-ES"/>
              </w:rPr>
              <w:t>1</w:t>
            </w:r>
          </w:p>
        </w:tc>
        <w:tc>
          <w:tcPr>
            <w:tcW w:w="1887" w:type="dxa"/>
            <w:noWrap/>
          </w:tcPr>
          <w:p w14:paraId="345DE7C0" w14:textId="52D27E65" w:rsidR="00335B1B" w:rsidRPr="005F75D6" w:rsidRDefault="00335B1B" w:rsidP="00335B1B">
            <w:pPr>
              <w:pStyle w:val="Tabletext"/>
              <w:jc w:val="center"/>
              <w:rPr>
                <w:highlight w:val="yellow"/>
                <w:lang w:val="es-ES" w:eastAsia="en-GB"/>
              </w:rPr>
            </w:pPr>
            <w:r w:rsidRPr="005F75D6">
              <w:rPr>
                <w:lang w:val="es-ES"/>
              </w:rPr>
              <w:t>0,15</w:t>
            </w:r>
          </w:p>
        </w:tc>
      </w:tr>
      <w:tr w:rsidR="00335B1B" w:rsidRPr="005F75D6" w14:paraId="636830FC" w14:textId="77777777" w:rsidTr="00335B1B">
        <w:trPr>
          <w:cantSplit/>
          <w:jc w:val="center"/>
        </w:trPr>
        <w:tc>
          <w:tcPr>
            <w:tcW w:w="3473" w:type="dxa"/>
            <w:noWrap/>
            <w:hideMark/>
          </w:tcPr>
          <w:p w14:paraId="71583211" w14:textId="77777777" w:rsidR="00335B1B" w:rsidRPr="005F75D6" w:rsidRDefault="00335B1B" w:rsidP="00335B1B">
            <w:pPr>
              <w:pStyle w:val="Tabletext"/>
              <w:jc w:val="center"/>
              <w:rPr>
                <w:lang w:val="es-ES" w:eastAsia="en-GB"/>
              </w:rPr>
            </w:pPr>
            <w:r w:rsidRPr="005F75D6">
              <w:rPr>
                <w:lang w:val="es-ES"/>
              </w:rPr>
              <w:t>9</w:t>
            </w:r>
          </w:p>
        </w:tc>
        <w:tc>
          <w:tcPr>
            <w:tcW w:w="2274" w:type="dxa"/>
            <w:noWrap/>
            <w:hideMark/>
          </w:tcPr>
          <w:p w14:paraId="5F85B45A" w14:textId="77777777" w:rsidR="00335B1B" w:rsidRPr="005F75D6" w:rsidRDefault="00335B1B" w:rsidP="00335B1B">
            <w:pPr>
              <w:pStyle w:val="Tabletext"/>
              <w:jc w:val="center"/>
              <w:rPr>
                <w:highlight w:val="yellow"/>
                <w:lang w:val="es-ES" w:eastAsia="en-GB"/>
              </w:rPr>
            </w:pPr>
            <w:r w:rsidRPr="005F75D6">
              <w:rPr>
                <w:lang w:val="es-ES"/>
              </w:rPr>
              <w:t>1</w:t>
            </w:r>
          </w:p>
        </w:tc>
        <w:tc>
          <w:tcPr>
            <w:tcW w:w="1887" w:type="dxa"/>
            <w:noWrap/>
          </w:tcPr>
          <w:p w14:paraId="2764DC67" w14:textId="5DA9A972" w:rsidR="00335B1B" w:rsidRPr="005F75D6" w:rsidRDefault="00335B1B" w:rsidP="00335B1B">
            <w:pPr>
              <w:pStyle w:val="Tabletext"/>
              <w:jc w:val="center"/>
              <w:rPr>
                <w:highlight w:val="yellow"/>
                <w:lang w:val="es-ES" w:eastAsia="en-GB"/>
              </w:rPr>
            </w:pPr>
            <w:r w:rsidRPr="005F75D6">
              <w:rPr>
                <w:lang w:val="es-ES"/>
              </w:rPr>
              <w:t>0,15</w:t>
            </w:r>
          </w:p>
        </w:tc>
      </w:tr>
      <w:tr w:rsidR="00335B1B" w:rsidRPr="005F75D6" w14:paraId="3545638D" w14:textId="77777777" w:rsidTr="00335B1B">
        <w:trPr>
          <w:cantSplit/>
          <w:jc w:val="center"/>
        </w:trPr>
        <w:tc>
          <w:tcPr>
            <w:tcW w:w="3473" w:type="dxa"/>
            <w:noWrap/>
          </w:tcPr>
          <w:p w14:paraId="2F2C1E05" w14:textId="77777777" w:rsidR="00335B1B" w:rsidRPr="005F75D6" w:rsidRDefault="00335B1B" w:rsidP="00335B1B">
            <w:pPr>
              <w:pStyle w:val="Tabletext"/>
              <w:jc w:val="center"/>
              <w:rPr>
                <w:lang w:val="es-ES"/>
              </w:rPr>
            </w:pPr>
            <w:r w:rsidRPr="005F75D6">
              <w:rPr>
                <w:lang w:val="es-ES"/>
              </w:rPr>
              <w:t>10</w:t>
            </w:r>
          </w:p>
        </w:tc>
        <w:tc>
          <w:tcPr>
            <w:tcW w:w="2274" w:type="dxa"/>
            <w:noWrap/>
          </w:tcPr>
          <w:p w14:paraId="4A8883ED" w14:textId="77777777" w:rsidR="00335B1B" w:rsidRPr="005F75D6" w:rsidRDefault="00335B1B" w:rsidP="00335B1B">
            <w:pPr>
              <w:pStyle w:val="Tabletext"/>
              <w:jc w:val="center"/>
              <w:rPr>
                <w:lang w:val="es-ES"/>
              </w:rPr>
            </w:pPr>
            <w:r w:rsidRPr="005F75D6">
              <w:rPr>
                <w:lang w:val="es-ES"/>
              </w:rPr>
              <w:t>1</w:t>
            </w:r>
          </w:p>
        </w:tc>
        <w:tc>
          <w:tcPr>
            <w:tcW w:w="1887" w:type="dxa"/>
            <w:noWrap/>
          </w:tcPr>
          <w:p w14:paraId="7239FA54" w14:textId="2F25E2FE" w:rsidR="00335B1B" w:rsidRPr="005F75D6" w:rsidRDefault="00335B1B" w:rsidP="00335B1B">
            <w:pPr>
              <w:pStyle w:val="Tabletext"/>
              <w:jc w:val="center"/>
              <w:rPr>
                <w:lang w:val="es-ES"/>
              </w:rPr>
            </w:pPr>
            <w:r w:rsidRPr="005F75D6">
              <w:rPr>
                <w:lang w:val="es-ES"/>
              </w:rPr>
              <w:t>0,15</w:t>
            </w:r>
          </w:p>
        </w:tc>
      </w:tr>
      <w:tr w:rsidR="00335B1B" w:rsidRPr="005F75D6" w14:paraId="7B5F68DC" w14:textId="77777777" w:rsidTr="00335B1B">
        <w:trPr>
          <w:cantSplit/>
          <w:jc w:val="center"/>
        </w:trPr>
        <w:tc>
          <w:tcPr>
            <w:tcW w:w="3473" w:type="dxa"/>
            <w:noWrap/>
          </w:tcPr>
          <w:p w14:paraId="4208D597" w14:textId="77777777" w:rsidR="00335B1B" w:rsidRPr="005F75D6" w:rsidRDefault="00335B1B" w:rsidP="00335B1B">
            <w:pPr>
              <w:pStyle w:val="Tabletext"/>
              <w:jc w:val="center"/>
              <w:rPr>
                <w:lang w:val="es-ES"/>
              </w:rPr>
            </w:pPr>
            <w:r w:rsidRPr="005F75D6">
              <w:rPr>
                <w:lang w:val="es-ES"/>
              </w:rPr>
              <w:t>11</w:t>
            </w:r>
          </w:p>
        </w:tc>
        <w:tc>
          <w:tcPr>
            <w:tcW w:w="2274" w:type="dxa"/>
            <w:noWrap/>
          </w:tcPr>
          <w:p w14:paraId="67F6D2A0" w14:textId="77777777" w:rsidR="00335B1B" w:rsidRPr="005F75D6" w:rsidRDefault="00335B1B" w:rsidP="00335B1B">
            <w:pPr>
              <w:pStyle w:val="Tabletext"/>
              <w:jc w:val="center"/>
              <w:rPr>
                <w:lang w:val="es-ES"/>
              </w:rPr>
            </w:pPr>
            <w:r w:rsidRPr="005F75D6">
              <w:rPr>
                <w:lang w:val="es-ES"/>
              </w:rPr>
              <w:t>1</w:t>
            </w:r>
          </w:p>
        </w:tc>
        <w:tc>
          <w:tcPr>
            <w:tcW w:w="1887" w:type="dxa"/>
            <w:noWrap/>
          </w:tcPr>
          <w:p w14:paraId="02FB3CFD" w14:textId="67EEE736" w:rsidR="00335B1B" w:rsidRPr="005F75D6" w:rsidRDefault="00335B1B" w:rsidP="00335B1B">
            <w:pPr>
              <w:pStyle w:val="Tabletext"/>
              <w:jc w:val="center"/>
              <w:rPr>
                <w:lang w:val="es-ES"/>
              </w:rPr>
            </w:pPr>
            <w:r w:rsidRPr="005F75D6">
              <w:rPr>
                <w:lang w:val="es-ES"/>
              </w:rPr>
              <w:t>0,15</w:t>
            </w:r>
          </w:p>
        </w:tc>
      </w:tr>
      <w:tr w:rsidR="00335B1B" w:rsidRPr="005F75D6" w14:paraId="728B465F" w14:textId="77777777" w:rsidTr="00335B1B">
        <w:trPr>
          <w:cantSplit/>
          <w:jc w:val="center"/>
        </w:trPr>
        <w:tc>
          <w:tcPr>
            <w:tcW w:w="3473" w:type="dxa"/>
            <w:noWrap/>
          </w:tcPr>
          <w:p w14:paraId="1646AD8C" w14:textId="77777777" w:rsidR="00335B1B" w:rsidRPr="005F75D6" w:rsidRDefault="00335B1B" w:rsidP="00335B1B">
            <w:pPr>
              <w:pStyle w:val="Tabletext"/>
              <w:jc w:val="center"/>
              <w:rPr>
                <w:lang w:val="es-ES"/>
              </w:rPr>
            </w:pPr>
            <w:r w:rsidRPr="005F75D6">
              <w:rPr>
                <w:lang w:val="es-ES"/>
              </w:rPr>
              <w:t>12</w:t>
            </w:r>
          </w:p>
        </w:tc>
        <w:tc>
          <w:tcPr>
            <w:tcW w:w="2274" w:type="dxa"/>
            <w:noWrap/>
          </w:tcPr>
          <w:p w14:paraId="307C9460" w14:textId="77777777" w:rsidR="00335B1B" w:rsidRPr="005F75D6" w:rsidRDefault="00335B1B" w:rsidP="00335B1B">
            <w:pPr>
              <w:pStyle w:val="Tabletext"/>
              <w:jc w:val="center"/>
              <w:rPr>
                <w:lang w:val="es-ES"/>
              </w:rPr>
            </w:pPr>
            <w:r w:rsidRPr="005F75D6">
              <w:rPr>
                <w:lang w:val="es-ES"/>
              </w:rPr>
              <w:t>1</w:t>
            </w:r>
          </w:p>
        </w:tc>
        <w:tc>
          <w:tcPr>
            <w:tcW w:w="1887" w:type="dxa"/>
            <w:noWrap/>
          </w:tcPr>
          <w:p w14:paraId="3654E96A" w14:textId="219A84EB" w:rsidR="00335B1B" w:rsidRPr="005F75D6" w:rsidRDefault="00335B1B" w:rsidP="00335B1B">
            <w:pPr>
              <w:pStyle w:val="Tabletext"/>
              <w:jc w:val="center"/>
              <w:rPr>
                <w:lang w:val="es-ES"/>
              </w:rPr>
            </w:pPr>
            <w:r w:rsidRPr="005F75D6">
              <w:rPr>
                <w:lang w:val="es-ES"/>
              </w:rPr>
              <w:t>0,15</w:t>
            </w:r>
          </w:p>
        </w:tc>
      </w:tr>
    </w:tbl>
    <w:p w14:paraId="6417938F" w14:textId="77777777" w:rsidR="00335B1B" w:rsidRPr="005F75D6" w:rsidRDefault="00335B1B" w:rsidP="00335B1B">
      <w:pPr>
        <w:pStyle w:val="Tablefin"/>
        <w:rPr>
          <w:lang w:val="es-ES" w:eastAsia="zh-CN"/>
        </w:rPr>
      </w:pPr>
    </w:p>
    <w:p w14:paraId="7784C843" w14:textId="3402B98D" w:rsidR="00335B1B" w:rsidRPr="005F75D6" w:rsidRDefault="00335B1B" w:rsidP="00335B1B">
      <w:pPr>
        <w:rPr>
          <w:lang w:val="es-ES"/>
        </w:rPr>
      </w:pPr>
      <w:bookmarkStart w:id="31" w:name="lt_pId095"/>
      <w:r w:rsidRPr="005F75D6">
        <w:rPr>
          <w:lang w:val="es-ES"/>
        </w:rPr>
        <w:t xml:space="preserve">En el Documento </w:t>
      </w:r>
      <w:hyperlink r:id="rId15" w:history="1">
        <w:r w:rsidRPr="005F75D6">
          <w:rPr>
            <w:rStyle w:val="Hyperlink"/>
            <w:lang w:val="es-ES"/>
          </w:rPr>
          <w:t>4A/550</w:t>
        </w:r>
      </w:hyperlink>
      <w:r w:rsidRPr="005F75D6">
        <w:rPr>
          <w:lang w:val="es-ES"/>
        </w:rPr>
        <w:t xml:space="preserve"> s</w:t>
      </w:r>
      <w:r w:rsidR="00B26C80" w:rsidRPr="005F75D6">
        <w:rPr>
          <w:lang w:val="es-ES"/>
        </w:rPr>
        <w:t>e presentó</w:t>
      </w:r>
      <w:r w:rsidRPr="005F75D6">
        <w:rPr>
          <w:lang w:val="es-ES"/>
        </w:rPr>
        <w:t xml:space="preserve"> un análisis de los datos enviados por la BR en virtud de la Resolución </w:t>
      </w:r>
      <w:r w:rsidRPr="005F75D6">
        <w:rPr>
          <w:b/>
          <w:bCs/>
          <w:lang w:val="es-ES"/>
        </w:rPr>
        <w:t>40 (Rev.CMR-19)</w:t>
      </w:r>
      <w:r w:rsidRPr="005F75D6">
        <w:rPr>
          <w:lang w:val="es-ES"/>
        </w:rPr>
        <w:t xml:space="preserve"> y se indic</w:t>
      </w:r>
      <w:r w:rsidR="005B67E5" w:rsidRPr="005F75D6">
        <w:rPr>
          <w:lang w:val="es-ES"/>
        </w:rPr>
        <w:t>ó</w:t>
      </w:r>
      <w:r w:rsidRPr="005F75D6">
        <w:rPr>
          <w:lang w:val="es-ES"/>
        </w:rPr>
        <w:t xml:space="preserve"> lo siguiente</w:t>
      </w:r>
      <w:bookmarkEnd w:id="31"/>
      <w:r w:rsidRPr="005F75D6">
        <w:rPr>
          <w:lang w:val="es-ES" w:eastAsia="ko-KR"/>
        </w:rPr>
        <w:t xml:space="preserve">: </w:t>
      </w:r>
    </w:p>
    <w:p w14:paraId="3C03A116" w14:textId="38343F61" w:rsidR="00335B1B" w:rsidRPr="005F75D6" w:rsidRDefault="00335B1B" w:rsidP="00335B1B">
      <w:pPr>
        <w:pStyle w:val="enumlev1"/>
        <w:rPr>
          <w:lang w:val="es-ES" w:eastAsia="ko-KR"/>
        </w:rPr>
      </w:pPr>
      <w:r w:rsidRPr="005F75D6">
        <w:rPr>
          <w:lang w:val="es-ES"/>
        </w:rPr>
        <w:t>a)</w:t>
      </w:r>
      <w:r w:rsidRPr="005F75D6">
        <w:rPr>
          <w:lang w:val="es-ES"/>
        </w:rPr>
        <w:tab/>
        <w:t xml:space="preserve">Conviene destacar que existe un caso de </w:t>
      </w:r>
      <w:r w:rsidRPr="005F75D6">
        <w:rPr>
          <w:color w:val="000000"/>
          <w:lang w:val="es-ES"/>
        </w:rPr>
        <w:t xml:space="preserve">utilización de una sola estación espacial para la puesta en servicio </w:t>
      </w:r>
      <w:r w:rsidRPr="005F75D6">
        <w:rPr>
          <w:lang w:val="es-ES"/>
        </w:rPr>
        <w:t xml:space="preserve">o la reanudación del servicio de </w:t>
      </w:r>
      <w:r w:rsidRPr="005F75D6">
        <w:rPr>
          <w:color w:val="000000"/>
          <w:lang w:val="es-ES"/>
        </w:rPr>
        <w:t xml:space="preserve">asignaciones de frecuencias en 12 posiciones orbitales. Como se muestra en la figura, se ha utilizado una sola estación espacial para la puesta en servicio </w:t>
      </w:r>
      <w:r w:rsidRPr="005F75D6">
        <w:rPr>
          <w:lang w:val="es-ES"/>
        </w:rPr>
        <w:t xml:space="preserve">o la reanudación del servicio de </w:t>
      </w:r>
      <w:r w:rsidRPr="005F75D6">
        <w:rPr>
          <w:color w:val="000000"/>
          <w:lang w:val="es-ES"/>
        </w:rPr>
        <w:t>asignaciones de frecuenc</w:t>
      </w:r>
      <w:r w:rsidR="005B67E5" w:rsidRPr="005F75D6">
        <w:rPr>
          <w:color w:val="000000"/>
          <w:lang w:val="es-ES"/>
        </w:rPr>
        <w:t>ias en 12 posiciones orbitales; dicha estación</w:t>
      </w:r>
      <w:r w:rsidRPr="005F75D6">
        <w:rPr>
          <w:color w:val="000000"/>
          <w:lang w:val="es-ES"/>
        </w:rPr>
        <w:t xml:space="preserve"> se ha mantenido entre 91 días y 193 días en una posición orbital, hasta que se trasladó a otra órbita</w:t>
      </w:r>
      <w:r w:rsidR="005B67E5" w:rsidRPr="005F75D6">
        <w:rPr>
          <w:color w:val="000000"/>
          <w:lang w:val="es-ES"/>
        </w:rPr>
        <w:t>. E</w:t>
      </w:r>
      <w:r w:rsidRPr="005F75D6">
        <w:rPr>
          <w:color w:val="000000"/>
          <w:lang w:val="es-ES"/>
        </w:rPr>
        <w:t xml:space="preserve">n 7 de los 11 casos, la estación espacial se mantenido en una posición orbital, justo antes de trasladarse a otra posición orbital, durante </w:t>
      </w:r>
      <w:r w:rsidR="005B67E5" w:rsidRPr="005F75D6">
        <w:rPr>
          <w:color w:val="000000"/>
          <w:lang w:val="es-ES"/>
        </w:rPr>
        <w:t xml:space="preserve">tan solo </w:t>
      </w:r>
      <w:r w:rsidRPr="005F75D6">
        <w:rPr>
          <w:color w:val="000000"/>
          <w:lang w:val="es-ES"/>
        </w:rPr>
        <w:t>90 días</w:t>
      </w:r>
      <w:r w:rsidR="005B67E5" w:rsidRPr="005F75D6">
        <w:rPr>
          <w:color w:val="000000"/>
          <w:lang w:val="es-ES"/>
        </w:rPr>
        <w:t xml:space="preserve"> aproximadamente</w:t>
      </w:r>
      <w:r w:rsidRPr="005F75D6">
        <w:rPr>
          <w:color w:val="000000"/>
          <w:lang w:val="es-ES"/>
        </w:rPr>
        <w:t xml:space="preserve">, que es el periodo mínimo continuo necesario en virtud de los números </w:t>
      </w:r>
      <w:r w:rsidRPr="005F75D6">
        <w:rPr>
          <w:b/>
          <w:bCs/>
          <w:lang w:val="es-ES"/>
        </w:rPr>
        <w:t>11.44B</w:t>
      </w:r>
      <w:r w:rsidRPr="005F75D6">
        <w:rPr>
          <w:lang w:val="es-ES"/>
        </w:rPr>
        <w:t xml:space="preserve"> y </w:t>
      </w:r>
      <w:r w:rsidRPr="005F75D6">
        <w:rPr>
          <w:b/>
          <w:bCs/>
          <w:lang w:val="es-ES"/>
        </w:rPr>
        <w:t xml:space="preserve">11.49.1 </w:t>
      </w:r>
      <w:r w:rsidRPr="005F75D6">
        <w:rPr>
          <w:bCs/>
          <w:lang w:val="es-ES"/>
        </w:rPr>
        <w:t>del RR</w:t>
      </w:r>
      <w:r w:rsidRPr="005F75D6">
        <w:rPr>
          <w:lang w:val="es-ES"/>
        </w:rPr>
        <w:t>.</w:t>
      </w:r>
    </w:p>
    <w:p w14:paraId="72478E73" w14:textId="280F5ACC" w:rsidR="00335B1B" w:rsidRPr="005F75D6" w:rsidRDefault="00335B1B" w:rsidP="00335B1B">
      <w:pPr>
        <w:pStyle w:val="Figure"/>
        <w:rPr>
          <w:lang w:val="es-ES" w:eastAsia="zh-CN"/>
        </w:rPr>
      </w:pPr>
      <w:r w:rsidRPr="005F75D6">
        <w:rPr>
          <w:noProof/>
          <w:lang w:val="es-ES" w:eastAsia="es-ES"/>
        </w:rPr>
        <w:drawing>
          <wp:inline distT="0" distB="0" distL="0" distR="0" wp14:anchorId="1D98A56C" wp14:editId="040EE46C">
            <wp:extent cx="6031658" cy="2850078"/>
            <wp:effectExtent l="0" t="0" r="7620" b="7620"/>
            <wp:docPr id="1" name="그림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descr="A graph with numbers and lines&#10;&#10;Description automatically generated"/>
                    <pic:cNvPicPr/>
                  </pic:nvPicPr>
                  <pic:blipFill rotWithShape="1">
                    <a:blip r:embed="rId16" cstate="print">
                      <a:extLst>
                        <a:ext uri="{28A0092B-C50C-407E-A947-70E740481C1C}">
                          <a14:useLocalDpi xmlns:a14="http://schemas.microsoft.com/office/drawing/2010/main" val="0"/>
                        </a:ext>
                      </a:extLst>
                    </a:blip>
                    <a:srcRect t="3322" b="2148"/>
                    <a:stretch/>
                  </pic:blipFill>
                  <pic:spPr bwMode="auto">
                    <a:xfrm>
                      <a:off x="0" y="0"/>
                      <a:ext cx="6175590" cy="2918089"/>
                    </a:xfrm>
                    <a:prstGeom prst="rect">
                      <a:avLst/>
                    </a:prstGeom>
                    <a:ln>
                      <a:noFill/>
                    </a:ln>
                    <a:extLst>
                      <a:ext uri="{53640926-AAD7-44D8-BBD7-CCE9431645EC}">
                        <a14:shadowObscured xmlns:a14="http://schemas.microsoft.com/office/drawing/2010/main"/>
                      </a:ext>
                    </a:extLst>
                  </pic:spPr>
                </pic:pic>
              </a:graphicData>
            </a:graphic>
          </wp:inline>
        </w:drawing>
      </w:r>
    </w:p>
    <w:p w14:paraId="6F4181D0" w14:textId="2F315468" w:rsidR="00335B1B" w:rsidRPr="007335C5" w:rsidRDefault="00335B1B" w:rsidP="007335C5">
      <w:pPr>
        <w:pStyle w:val="Figurelegend"/>
        <w:rPr>
          <w:lang w:val="es-ES"/>
        </w:rPr>
      </w:pPr>
      <w:r w:rsidRPr="007335C5">
        <w:rPr>
          <w:lang w:val="es-ES"/>
        </w:rPr>
        <w:t>Leyenda</w:t>
      </w:r>
      <w:r w:rsidR="007335C5" w:rsidRPr="007335C5">
        <w:rPr>
          <w:lang w:val="es-ES"/>
        </w:rPr>
        <w:t>:</w:t>
      </w:r>
    </w:p>
    <w:p w14:paraId="3F1DFB81" w14:textId="77777777" w:rsidR="00335B1B" w:rsidRPr="007335C5" w:rsidRDefault="00335B1B" w:rsidP="007335C5">
      <w:pPr>
        <w:pStyle w:val="Figurelegend"/>
        <w:rPr>
          <w:lang w:val="es-ES"/>
        </w:rPr>
      </w:pPr>
      <w:r w:rsidRPr="007335C5">
        <w:rPr>
          <w:lang w:val="es-ES"/>
        </w:rPr>
        <w:t xml:space="preserve">Nominal </w:t>
      </w:r>
      <w:proofErr w:type="spellStart"/>
      <w:r w:rsidRPr="007335C5">
        <w:rPr>
          <w:lang w:val="es-ES"/>
        </w:rPr>
        <w:t>longitude</w:t>
      </w:r>
      <w:proofErr w:type="spellEnd"/>
      <w:r w:rsidRPr="007335C5">
        <w:rPr>
          <w:lang w:val="es-ES"/>
        </w:rPr>
        <w:t xml:space="preserve"> </w:t>
      </w:r>
      <w:proofErr w:type="spellStart"/>
      <w:r w:rsidRPr="007335C5">
        <w:rPr>
          <w:lang w:val="es-ES"/>
        </w:rPr>
        <w:t>of</w:t>
      </w:r>
      <w:proofErr w:type="spellEnd"/>
      <w:r w:rsidRPr="007335C5">
        <w:rPr>
          <w:lang w:val="es-ES"/>
        </w:rPr>
        <w:t xml:space="preserve"> </w:t>
      </w:r>
      <w:proofErr w:type="spellStart"/>
      <w:r w:rsidRPr="007335C5">
        <w:rPr>
          <w:lang w:val="es-ES"/>
        </w:rPr>
        <w:t>the</w:t>
      </w:r>
      <w:proofErr w:type="spellEnd"/>
      <w:r w:rsidRPr="007335C5">
        <w:rPr>
          <w:lang w:val="es-ES"/>
        </w:rPr>
        <w:t xml:space="preserve"> </w:t>
      </w:r>
      <w:proofErr w:type="spellStart"/>
      <w:r w:rsidRPr="007335C5">
        <w:rPr>
          <w:lang w:val="es-ES"/>
        </w:rPr>
        <w:t>space</w:t>
      </w:r>
      <w:proofErr w:type="spellEnd"/>
      <w:r w:rsidRPr="007335C5">
        <w:rPr>
          <w:lang w:val="es-ES"/>
        </w:rPr>
        <w:t xml:space="preserve"> </w:t>
      </w:r>
      <w:proofErr w:type="spellStart"/>
      <w:r w:rsidRPr="007335C5">
        <w:rPr>
          <w:lang w:val="es-ES"/>
        </w:rPr>
        <w:t>station</w:t>
      </w:r>
      <w:proofErr w:type="spellEnd"/>
      <w:r w:rsidRPr="007335C5">
        <w:rPr>
          <w:lang w:val="es-ES"/>
        </w:rPr>
        <w:t>: Longitud nominal de la estación espacial</w:t>
      </w:r>
    </w:p>
    <w:p w14:paraId="7C464FEA" w14:textId="77777777" w:rsidR="00335B1B" w:rsidRPr="007335C5" w:rsidRDefault="00335B1B" w:rsidP="007335C5">
      <w:pPr>
        <w:pStyle w:val="Figurelegend"/>
        <w:rPr>
          <w:lang w:val="es-ES"/>
        </w:rPr>
      </w:pPr>
      <w:proofErr w:type="spellStart"/>
      <w:r w:rsidRPr="007335C5">
        <w:rPr>
          <w:lang w:val="es-ES"/>
        </w:rPr>
        <w:t>Number</w:t>
      </w:r>
      <w:proofErr w:type="spellEnd"/>
      <w:r w:rsidRPr="007335C5">
        <w:rPr>
          <w:lang w:val="es-ES"/>
        </w:rPr>
        <w:t xml:space="preserve"> </w:t>
      </w:r>
      <w:proofErr w:type="spellStart"/>
      <w:r w:rsidRPr="007335C5">
        <w:rPr>
          <w:lang w:val="es-ES"/>
        </w:rPr>
        <w:t>of</w:t>
      </w:r>
      <w:proofErr w:type="spellEnd"/>
      <w:r w:rsidRPr="007335C5">
        <w:rPr>
          <w:lang w:val="es-ES"/>
        </w:rPr>
        <w:t xml:space="preserve"> </w:t>
      </w:r>
      <w:proofErr w:type="spellStart"/>
      <w:r w:rsidRPr="007335C5">
        <w:rPr>
          <w:lang w:val="es-ES"/>
        </w:rPr>
        <w:t>days</w:t>
      </w:r>
      <w:proofErr w:type="spellEnd"/>
      <w:r w:rsidRPr="007335C5">
        <w:rPr>
          <w:lang w:val="es-ES"/>
        </w:rPr>
        <w:t xml:space="preserve"> </w:t>
      </w:r>
      <w:proofErr w:type="spellStart"/>
      <w:r w:rsidRPr="007335C5">
        <w:rPr>
          <w:lang w:val="es-ES"/>
        </w:rPr>
        <w:t>the</w:t>
      </w:r>
      <w:proofErr w:type="spellEnd"/>
      <w:r w:rsidRPr="007335C5">
        <w:rPr>
          <w:lang w:val="es-ES"/>
        </w:rPr>
        <w:t xml:space="preserve"> </w:t>
      </w:r>
      <w:proofErr w:type="spellStart"/>
      <w:r w:rsidRPr="007335C5">
        <w:rPr>
          <w:lang w:val="es-ES"/>
        </w:rPr>
        <w:t>satellite</w:t>
      </w:r>
      <w:proofErr w:type="spellEnd"/>
      <w:r w:rsidRPr="007335C5">
        <w:rPr>
          <w:lang w:val="es-ES"/>
        </w:rPr>
        <w:t xml:space="preserve"> </w:t>
      </w:r>
      <w:proofErr w:type="spellStart"/>
      <w:r w:rsidRPr="007335C5">
        <w:rPr>
          <w:lang w:val="es-ES"/>
        </w:rPr>
        <w:t>was</w:t>
      </w:r>
      <w:proofErr w:type="spellEnd"/>
      <w:r w:rsidRPr="007335C5">
        <w:rPr>
          <w:lang w:val="es-ES"/>
        </w:rPr>
        <w:t xml:space="preserve"> at position: Número de días que el satélite mantuvo la posición</w:t>
      </w:r>
    </w:p>
    <w:p w14:paraId="3074ABDC" w14:textId="77777777" w:rsidR="00335B1B" w:rsidRPr="007335C5" w:rsidRDefault="00335B1B" w:rsidP="007335C5">
      <w:pPr>
        <w:pStyle w:val="Figurelegend"/>
        <w:rPr>
          <w:lang w:val="es-ES"/>
        </w:rPr>
      </w:pPr>
      <w:proofErr w:type="spellStart"/>
      <w:r w:rsidRPr="007335C5">
        <w:rPr>
          <w:lang w:val="es-ES"/>
        </w:rPr>
        <w:t>Previous</w:t>
      </w:r>
      <w:proofErr w:type="spellEnd"/>
      <w:r w:rsidRPr="007335C5">
        <w:rPr>
          <w:lang w:val="es-ES"/>
        </w:rPr>
        <w:t xml:space="preserve"> position: Posición anterior</w:t>
      </w:r>
    </w:p>
    <w:p w14:paraId="06F1E779" w14:textId="77777777" w:rsidR="00335B1B" w:rsidRPr="005F75D6" w:rsidRDefault="00335B1B" w:rsidP="007335C5">
      <w:pPr>
        <w:pStyle w:val="Figurelegend"/>
        <w:rPr>
          <w:lang w:val="es-ES"/>
        </w:rPr>
      </w:pPr>
      <w:proofErr w:type="spellStart"/>
      <w:r w:rsidRPr="007335C5">
        <w:rPr>
          <w:lang w:val="es-ES"/>
        </w:rPr>
        <w:t>Latest</w:t>
      </w:r>
      <w:proofErr w:type="spellEnd"/>
      <w:r w:rsidRPr="007335C5">
        <w:rPr>
          <w:lang w:val="es-ES"/>
        </w:rPr>
        <w:t xml:space="preserve"> position: Última posición</w:t>
      </w:r>
    </w:p>
    <w:p w14:paraId="3E30BA3A" w14:textId="2B7F791C" w:rsidR="00335B1B" w:rsidRPr="005F75D6" w:rsidRDefault="00335B1B" w:rsidP="00335B1B">
      <w:pPr>
        <w:pStyle w:val="enumlev1"/>
        <w:rPr>
          <w:bCs/>
          <w:lang w:val="es-ES" w:eastAsia="ko-KR"/>
        </w:rPr>
      </w:pPr>
      <w:r w:rsidRPr="005F75D6">
        <w:rPr>
          <w:lang w:val="es-ES"/>
        </w:rPr>
        <w:t>b)</w:t>
      </w:r>
      <w:r w:rsidRPr="005F75D6">
        <w:rPr>
          <w:lang w:val="es-ES"/>
        </w:rPr>
        <w:tab/>
      </w:r>
      <w:bookmarkStart w:id="32" w:name="lt_pId099"/>
      <w:r w:rsidRPr="005F75D6">
        <w:rPr>
          <w:lang w:val="es-ES"/>
        </w:rPr>
        <w:t xml:space="preserve">Según informó la Oficina en la CMR-19, también conviene destacar que existe un ejemplo de </w:t>
      </w:r>
      <w:r w:rsidR="006734D6" w:rsidRPr="005F75D6">
        <w:rPr>
          <w:lang w:val="es-ES"/>
        </w:rPr>
        <w:t xml:space="preserve">un satélite que efectuó la </w:t>
      </w:r>
      <w:r w:rsidRPr="005F75D6">
        <w:rPr>
          <w:lang w:val="es-ES"/>
        </w:rPr>
        <w:t xml:space="preserve">puesta en servicio, o la reanudación del servicio tras su suspensión, de las asignaciones de frecuencia en 8 posiciones orbitales diferentes en un plazo de cuatro años a partir de noviembre de 2015, como se muestra en la Figura </w:t>
      </w:r>
      <w:r w:rsidRPr="007C681C">
        <w:rPr>
          <w:lang w:val="es-ES"/>
        </w:rPr>
        <w:lastRenderedPageBreak/>
        <w:t>4/7/8.2-1</w:t>
      </w:r>
      <w:r w:rsidRPr="005F75D6">
        <w:rPr>
          <w:lang w:val="es-ES"/>
        </w:rPr>
        <w:t>.</w:t>
      </w:r>
      <w:bookmarkEnd w:id="32"/>
      <w:r w:rsidRPr="005F75D6">
        <w:rPr>
          <w:lang w:val="es-ES"/>
        </w:rPr>
        <w:t xml:space="preserve"> </w:t>
      </w:r>
      <w:r w:rsidRPr="005F75D6">
        <w:rPr>
          <w:bCs/>
          <w:lang w:val="es-ES" w:eastAsia="ko-KR"/>
        </w:rPr>
        <w:t>Aunque se reconoce que debe existir un motivo legítimo concreto para trasladar un vehículo esp</w:t>
      </w:r>
      <w:r w:rsidR="00232BBE" w:rsidRPr="005F75D6">
        <w:rPr>
          <w:bCs/>
          <w:lang w:val="es-ES" w:eastAsia="ko-KR"/>
        </w:rPr>
        <w:t>a</w:t>
      </w:r>
      <w:r w:rsidRPr="005F75D6">
        <w:rPr>
          <w:bCs/>
          <w:lang w:val="es-ES" w:eastAsia="ko-KR"/>
        </w:rPr>
        <w:t xml:space="preserve">cial desde una posición orbital hasta una posición orbital nueva, esta situación muestra que las disposiciones del Reglamento de Radiocomunicaciones, en especial de sus números </w:t>
      </w:r>
      <w:r w:rsidRPr="005F75D6">
        <w:rPr>
          <w:b/>
          <w:bCs/>
          <w:lang w:val="es-ES" w:eastAsia="ko-KR"/>
        </w:rPr>
        <w:t>11.44B</w:t>
      </w:r>
      <w:r w:rsidRPr="005F75D6">
        <w:rPr>
          <w:bCs/>
          <w:lang w:val="es-ES" w:eastAsia="ko-KR"/>
        </w:rPr>
        <w:t xml:space="preserve"> y </w:t>
      </w:r>
      <w:r w:rsidRPr="005F75D6">
        <w:rPr>
          <w:b/>
          <w:bCs/>
          <w:lang w:val="es-ES" w:eastAsia="ko-KR"/>
        </w:rPr>
        <w:t>11.49</w:t>
      </w:r>
      <w:r w:rsidRPr="005F75D6">
        <w:rPr>
          <w:bCs/>
          <w:lang w:val="es-ES" w:eastAsia="ko-KR"/>
        </w:rPr>
        <w:t xml:space="preserve">, y de la Resolución </w:t>
      </w:r>
      <w:r w:rsidRPr="005F75D6">
        <w:rPr>
          <w:b/>
          <w:bCs/>
          <w:lang w:val="es-ES" w:eastAsia="ko-KR"/>
        </w:rPr>
        <w:t xml:space="preserve">40 </w:t>
      </w:r>
      <w:r w:rsidRPr="005F75D6">
        <w:rPr>
          <w:b/>
          <w:szCs w:val="24"/>
          <w:lang w:val="es-ES" w:eastAsia="ja-JP"/>
        </w:rPr>
        <w:t>(Rev.</w:t>
      </w:r>
      <w:r w:rsidRPr="005F75D6">
        <w:rPr>
          <w:b/>
          <w:szCs w:val="24"/>
          <w:lang w:val="es-ES" w:eastAsia="ko-KR"/>
        </w:rPr>
        <w:t xml:space="preserve">CMR-19) </w:t>
      </w:r>
      <w:r w:rsidRPr="005F75D6">
        <w:rPr>
          <w:szCs w:val="24"/>
          <w:lang w:val="es-ES" w:eastAsia="ko-KR"/>
        </w:rPr>
        <w:t>se utilizaron</w:t>
      </w:r>
      <w:r w:rsidRPr="005F75D6">
        <w:rPr>
          <w:b/>
          <w:szCs w:val="24"/>
          <w:lang w:val="es-ES" w:eastAsia="ko-KR"/>
        </w:rPr>
        <w:t xml:space="preserve"> </w:t>
      </w:r>
      <w:r w:rsidRPr="005F75D6">
        <w:rPr>
          <w:lang w:val="es-ES" w:eastAsia="ko-KR"/>
        </w:rPr>
        <w:t>en demasiadas ocasiones para reservar recursos de espectro y órbita, y se ha expresado preocupación por la situación en relación con el art. 196</w:t>
      </w:r>
      <w:r w:rsidRPr="005F75D6">
        <w:rPr>
          <w:b/>
          <w:bCs/>
          <w:lang w:val="es-ES" w:eastAsia="ko-KR"/>
        </w:rPr>
        <w:t xml:space="preserve"> </w:t>
      </w:r>
      <w:r w:rsidRPr="005F75D6">
        <w:rPr>
          <w:bCs/>
          <w:lang w:val="es-ES" w:eastAsia="ko-KR"/>
        </w:rPr>
        <w:t>de la Constitución.</w:t>
      </w:r>
    </w:p>
    <w:p w14:paraId="6E652500" w14:textId="72129A9F" w:rsidR="00335B1B" w:rsidRPr="005F75D6" w:rsidRDefault="00335B1B" w:rsidP="007C681C">
      <w:pPr>
        <w:pStyle w:val="FigureNo"/>
        <w:rPr>
          <w:lang w:val="es-ES"/>
        </w:rPr>
      </w:pPr>
      <w:r w:rsidRPr="007C681C">
        <w:t>FigurA</w:t>
      </w:r>
      <w:r w:rsidRPr="005F75D6">
        <w:rPr>
          <w:lang w:val="es-ES"/>
        </w:rPr>
        <w:t xml:space="preserve"> 4/7/8.2-1</w:t>
      </w:r>
    </w:p>
    <w:p w14:paraId="39495A5A" w14:textId="05BBB81A" w:rsidR="00335B1B" w:rsidRPr="007C681C" w:rsidRDefault="00335B1B" w:rsidP="007C681C">
      <w:pPr>
        <w:pStyle w:val="Figuretitle"/>
        <w:jc w:val="center"/>
        <w:rPr>
          <w:b/>
          <w:bCs/>
          <w:sz w:val="20"/>
          <w:lang w:val="es-ES" w:eastAsia="ko-KR"/>
        </w:rPr>
      </w:pPr>
      <w:bookmarkStart w:id="33" w:name="lt_pId102"/>
      <w:r w:rsidRPr="007C681C">
        <w:rPr>
          <w:b/>
          <w:bCs/>
          <w:sz w:val="20"/>
          <w:lang w:val="es-ES" w:eastAsia="ko-KR"/>
        </w:rPr>
        <w:t xml:space="preserve">Situación aproximada de un satélite </w:t>
      </w:r>
      <w:r w:rsidR="00232BBE" w:rsidRPr="007C681C">
        <w:rPr>
          <w:b/>
          <w:bCs/>
          <w:sz w:val="20"/>
          <w:lang w:val="es-ES" w:eastAsia="ko-KR"/>
        </w:rPr>
        <w:t>al efectuar</w:t>
      </w:r>
      <w:r w:rsidRPr="007C681C">
        <w:rPr>
          <w:b/>
          <w:bCs/>
          <w:sz w:val="20"/>
          <w:lang w:val="es-ES" w:eastAsia="ko-KR"/>
        </w:rPr>
        <w:t xml:space="preserve"> la puesta en servicio, o la reanudación del servicio tras su suspensión, de asignaciones de </w:t>
      </w:r>
      <w:r w:rsidRPr="007C681C">
        <w:rPr>
          <w:b/>
          <w:bCs/>
          <w:sz w:val="20"/>
        </w:rPr>
        <w:t>frecuencias</w:t>
      </w:r>
      <w:r w:rsidRPr="007C681C">
        <w:rPr>
          <w:b/>
          <w:bCs/>
          <w:sz w:val="20"/>
          <w:lang w:val="es-ES" w:eastAsia="ko-KR"/>
        </w:rPr>
        <w:t xml:space="preserve"> en 8 posiciones orbitales diferentes</w:t>
      </w:r>
      <w:bookmarkEnd w:id="33"/>
    </w:p>
    <w:p w14:paraId="4E1BF128" w14:textId="056F0BDC" w:rsidR="00335B1B" w:rsidRPr="005F75D6" w:rsidRDefault="00335B1B" w:rsidP="00335B1B">
      <w:pPr>
        <w:pStyle w:val="Figure"/>
        <w:rPr>
          <w:lang w:val="es-ES" w:eastAsia="ko-KR"/>
        </w:rPr>
      </w:pPr>
      <w:r w:rsidRPr="005F75D6">
        <w:rPr>
          <w:noProof/>
          <w:lang w:val="es-ES" w:eastAsia="es-ES"/>
        </w:rPr>
        <w:drawing>
          <wp:inline distT="0" distB="0" distL="0" distR="0" wp14:anchorId="4A5DC1F3" wp14:editId="09E66265">
            <wp:extent cx="5374698" cy="2339439"/>
            <wp:effectExtent l="0" t="0" r="0" b="0"/>
            <wp:docPr id="1236182807" name="Picture 1236182807" descr="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p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2649" cy="2373368"/>
                    </a:xfrm>
                    <a:prstGeom prst="rect">
                      <a:avLst/>
                    </a:prstGeom>
                    <a:noFill/>
                    <a:ln>
                      <a:noFill/>
                    </a:ln>
                  </pic:spPr>
                </pic:pic>
              </a:graphicData>
            </a:graphic>
          </wp:inline>
        </w:drawing>
      </w:r>
    </w:p>
    <w:p w14:paraId="1026A767" w14:textId="5E7DE6F2" w:rsidR="00335B1B" w:rsidRPr="007C681C" w:rsidRDefault="00335B1B" w:rsidP="007C681C">
      <w:pPr>
        <w:pStyle w:val="Figurelegend"/>
        <w:rPr>
          <w:lang w:val="es-ES" w:eastAsia="ko-KR"/>
        </w:rPr>
      </w:pPr>
      <w:r w:rsidRPr="007C681C">
        <w:rPr>
          <w:lang w:val="es-ES" w:eastAsia="ko-KR"/>
        </w:rPr>
        <w:t>Leyenda</w:t>
      </w:r>
      <w:r w:rsidR="007C681C">
        <w:rPr>
          <w:lang w:val="es-ES" w:eastAsia="ko-KR"/>
        </w:rPr>
        <w:t>:</w:t>
      </w:r>
    </w:p>
    <w:p w14:paraId="662CAA58" w14:textId="39BE10EE" w:rsidR="00335B1B" w:rsidRPr="007C681C" w:rsidRDefault="00335B1B" w:rsidP="007C681C">
      <w:pPr>
        <w:pStyle w:val="Figurelegend"/>
        <w:rPr>
          <w:lang w:val="es-ES" w:eastAsia="ko-KR"/>
        </w:rPr>
      </w:pPr>
      <w:r w:rsidRPr="007C681C">
        <w:rPr>
          <w:lang w:val="es-ES" w:eastAsia="ko-KR"/>
        </w:rPr>
        <w:t xml:space="preserve">Orbital </w:t>
      </w:r>
      <w:proofErr w:type="spellStart"/>
      <w:r w:rsidRPr="007C681C">
        <w:rPr>
          <w:lang w:val="es-ES" w:eastAsia="ko-KR"/>
        </w:rPr>
        <w:t>location</w:t>
      </w:r>
      <w:proofErr w:type="spellEnd"/>
      <w:r w:rsidRPr="007C681C">
        <w:rPr>
          <w:lang w:val="es-ES" w:eastAsia="ko-KR"/>
        </w:rPr>
        <w:t>: Posición orbital</w:t>
      </w:r>
    </w:p>
    <w:p w14:paraId="4B9C3CC6" w14:textId="1A96A0C7"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a</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a</w:t>
      </w:r>
      <w:r w:rsidR="007C681C">
        <w:rPr>
          <w:lang w:val="es-ES" w:eastAsia="ko-KR"/>
        </w:rPr>
        <w:t>»</w:t>
      </w:r>
    </w:p>
    <w:p w14:paraId="35C8C7C3" w14:textId="7F679EF0" w:rsidR="00335B1B" w:rsidRPr="007C681C" w:rsidRDefault="00335B1B" w:rsidP="007C681C">
      <w:pPr>
        <w:pStyle w:val="Figurelegend"/>
        <w:rPr>
          <w:lang w:val="es-ES" w:eastAsia="ko-KR"/>
        </w:rPr>
      </w:pPr>
      <w:proofErr w:type="spellStart"/>
      <w:r w:rsidRPr="007C681C">
        <w:rPr>
          <w:lang w:val="es-ES" w:eastAsia="ko-KR"/>
        </w:rPr>
        <w:t>Not</w:t>
      </w:r>
      <w:proofErr w:type="spellEnd"/>
      <w:r w:rsidRPr="007C681C">
        <w:rPr>
          <w:lang w:val="es-ES" w:eastAsia="ko-KR"/>
        </w:rPr>
        <w:t xml:space="preserve"> </w:t>
      </w:r>
      <w:proofErr w:type="spellStart"/>
      <w:r w:rsidRPr="007C681C">
        <w:rPr>
          <w:lang w:val="es-ES" w:eastAsia="ko-KR"/>
        </w:rPr>
        <w:t>relocated</w:t>
      </w:r>
      <w:proofErr w:type="spellEnd"/>
      <w:r w:rsidRPr="007C681C">
        <w:rPr>
          <w:lang w:val="es-ES" w:eastAsia="ko-KR"/>
        </w:rPr>
        <w:t>: Sin cambio de posición</w:t>
      </w:r>
    </w:p>
    <w:p w14:paraId="6483FFEB" w14:textId="3AF93A54"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c</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c</w:t>
      </w:r>
      <w:r w:rsidR="007C681C">
        <w:rPr>
          <w:lang w:val="es-ES" w:eastAsia="ko-KR"/>
        </w:rPr>
        <w:t>»</w:t>
      </w:r>
    </w:p>
    <w:p w14:paraId="76EB2B10" w14:textId="4D397193"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d</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d</w:t>
      </w:r>
      <w:r w:rsidR="007C681C">
        <w:rPr>
          <w:lang w:val="es-ES" w:eastAsia="ko-KR"/>
        </w:rPr>
        <w:t>»</w:t>
      </w:r>
    </w:p>
    <w:p w14:paraId="6295D6F1" w14:textId="45F2B762"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e</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e</w:t>
      </w:r>
      <w:r w:rsidR="007C681C">
        <w:rPr>
          <w:lang w:val="es-ES" w:eastAsia="ko-KR"/>
        </w:rPr>
        <w:t>»</w:t>
      </w:r>
    </w:p>
    <w:p w14:paraId="69539879" w14:textId="036D4806"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f</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f</w:t>
      </w:r>
      <w:r w:rsidR="007C681C">
        <w:rPr>
          <w:lang w:val="es-ES" w:eastAsia="ko-KR"/>
        </w:rPr>
        <w:t>»</w:t>
      </w:r>
    </w:p>
    <w:p w14:paraId="3814C5FA" w14:textId="7B490F37"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g</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g</w:t>
      </w:r>
      <w:r w:rsidR="007C681C">
        <w:rPr>
          <w:lang w:val="es-ES" w:eastAsia="ko-KR"/>
        </w:rPr>
        <w:t>»</w:t>
      </w:r>
    </w:p>
    <w:p w14:paraId="5CCC793D" w14:textId="181D190D" w:rsidR="00335B1B" w:rsidRPr="007C681C" w:rsidRDefault="00335B1B" w:rsidP="007C681C">
      <w:pPr>
        <w:pStyle w:val="Figurelegend"/>
        <w:rPr>
          <w:lang w:val="es-ES" w:eastAsia="ko-KR"/>
        </w:rPr>
      </w:pPr>
      <w:proofErr w:type="spellStart"/>
      <w:r w:rsidRPr="007C681C">
        <w:rPr>
          <w:lang w:val="es-ES" w:eastAsia="ko-KR"/>
        </w:rPr>
        <w:t>Moving</w:t>
      </w:r>
      <w:proofErr w:type="spellEnd"/>
      <w:r w:rsidRPr="007C681C">
        <w:rPr>
          <w:lang w:val="es-ES" w:eastAsia="ko-KR"/>
        </w:rPr>
        <w:t xml:space="preserve"> </w:t>
      </w:r>
      <w:proofErr w:type="spellStart"/>
      <w:r w:rsidRPr="007C681C">
        <w:rPr>
          <w:lang w:val="es-ES" w:eastAsia="ko-KR"/>
        </w:rPr>
        <w:t>to</w:t>
      </w:r>
      <w:proofErr w:type="spellEnd"/>
      <w:r w:rsidRPr="007C681C">
        <w:rPr>
          <w:lang w:val="es-ES" w:eastAsia="ko-KR"/>
        </w:rPr>
        <w:t xml:space="preserve"> </w:t>
      </w:r>
      <w:proofErr w:type="spellStart"/>
      <w:r w:rsidRPr="007C681C">
        <w:rPr>
          <w:lang w:val="es-ES" w:eastAsia="ko-KR"/>
        </w:rPr>
        <w:t>orbit</w:t>
      </w:r>
      <w:proofErr w:type="spellEnd"/>
      <w:r w:rsidRPr="007C681C">
        <w:rPr>
          <w:lang w:val="es-ES" w:eastAsia="ko-KR"/>
        </w:rPr>
        <w:t xml:space="preserve"> </w:t>
      </w:r>
      <w:r w:rsidR="007C681C">
        <w:rPr>
          <w:lang w:val="es-ES" w:eastAsia="ko-KR"/>
        </w:rPr>
        <w:t>«</w:t>
      </w:r>
      <w:r w:rsidRPr="007C681C">
        <w:rPr>
          <w:lang w:val="es-ES" w:eastAsia="ko-KR"/>
        </w:rPr>
        <w:t>h</w:t>
      </w:r>
      <w:r w:rsidR="007C681C">
        <w:rPr>
          <w:lang w:val="es-ES" w:eastAsia="ko-KR"/>
        </w:rPr>
        <w:t>»</w:t>
      </w:r>
      <w:r w:rsidRPr="007C681C">
        <w:rPr>
          <w:lang w:val="es-ES" w:eastAsia="ko-KR"/>
        </w:rPr>
        <w:t xml:space="preserve">: Traslado a la órbita </w:t>
      </w:r>
      <w:r w:rsidR="007C681C">
        <w:rPr>
          <w:lang w:val="es-ES" w:eastAsia="ko-KR"/>
        </w:rPr>
        <w:t>«</w:t>
      </w:r>
      <w:r w:rsidRPr="007C681C">
        <w:rPr>
          <w:lang w:val="es-ES" w:eastAsia="ko-KR"/>
        </w:rPr>
        <w:t>h</w:t>
      </w:r>
      <w:r w:rsidR="007C681C">
        <w:rPr>
          <w:lang w:val="es-ES" w:eastAsia="ko-KR"/>
        </w:rPr>
        <w:t>»</w:t>
      </w:r>
    </w:p>
    <w:p w14:paraId="77B6A895" w14:textId="794C6D8E" w:rsidR="00335B1B" w:rsidRPr="007C681C" w:rsidRDefault="00335B1B" w:rsidP="007C681C">
      <w:pPr>
        <w:pStyle w:val="Figurelegend"/>
        <w:rPr>
          <w:lang w:val="es-ES" w:eastAsia="ko-KR"/>
        </w:rPr>
      </w:pPr>
      <w:proofErr w:type="spellStart"/>
      <w:r w:rsidRPr="007C681C">
        <w:rPr>
          <w:lang w:val="es-ES" w:eastAsia="ko-KR"/>
        </w:rPr>
        <w:t>Bringing</w:t>
      </w:r>
      <w:proofErr w:type="spellEnd"/>
      <w:r w:rsidRPr="007C681C">
        <w:rPr>
          <w:lang w:val="es-ES" w:eastAsia="ko-KR"/>
        </w:rPr>
        <w:t xml:space="preserve"> </w:t>
      </w:r>
      <w:proofErr w:type="spellStart"/>
      <w:r w:rsidRPr="007C681C">
        <w:rPr>
          <w:lang w:val="es-ES" w:eastAsia="ko-KR"/>
        </w:rPr>
        <w:t>into</w:t>
      </w:r>
      <w:proofErr w:type="spellEnd"/>
      <w:r w:rsidRPr="007C681C">
        <w:rPr>
          <w:lang w:val="es-ES" w:eastAsia="ko-KR"/>
        </w:rPr>
        <w:t xml:space="preserve"> use: Puesta en servicio</w:t>
      </w:r>
    </w:p>
    <w:p w14:paraId="5CEFBA4F" w14:textId="09112D6A" w:rsidR="00335B1B" w:rsidRPr="007C681C" w:rsidRDefault="00335B1B" w:rsidP="007C681C">
      <w:pPr>
        <w:pStyle w:val="Figurelegend"/>
        <w:rPr>
          <w:lang w:val="es-ES" w:eastAsia="ko-KR"/>
        </w:rPr>
      </w:pPr>
      <w:r w:rsidRPr="007C681C">
        <w:rPr>
          <w:lang w:val="es-ES" w:eastAsia="ko-KR"/>
        </w:rPr>
        <w:t>Suspensión: Suspensión</w:t>
      </w:r>
    </w:p>
    <w:p w14:paraId="7307E790" w14:textId="14C10CBF" w:rsidR="00335B1B" w:rsidRPr="007C681C" w:rsidRDefault="00335B1B" w:rsidP="007C681C">
      <w:pPr>
        <w:pStyle w:val="Figurelegend"/>
        <w:rPr>
          <w:lang w:val="en-GB" w:eastAsia="ko-KR"/>
        </w:rPr>
      </w:pPr>
      <w:r w:rsidRPr="007C681C">
        <w:rPr>
          <w:lang w:val="en-GB" w:eastAsia="ko-KR"/>
        </w:rPr>
        <w:t xml:space="preserve">Bringing back into use: </w:t>
      </w:r>
      <w:proofErr w:type="spellStart"/>
      <w:r w:rsidRPr="007C681C">
        <w:rPr>
          <w:lang w:val="en-GB" w:eastAsia="ko-KR"/>
        </w:rPr>
        <w:t>Reanudación</w:t>
      </w:r>
      <w:proofErr w:type="spellEnd"/>
      <w:r w:rsidRPr="007C681C">
        <w:rPr>
          <w:lang w:val="en-GB" w:eastAsia="ko-KR"/>
        </w:rPr>
        <w:t xml:space="preserve"> del </w:t>
      </w:r>
      <w:proofErr w:type="spellStart"/>
      <w:r w:rsidRPr="007C681C">
        <w:rPr>
          <w:lang w:val="en-GB" w:eastAsia="ko-KR"/>
        </w:rPr>
        <w:t>servicio</w:t>
      </w:r>
      <w:proofErr w:type="spellEnd"/>
    </w:p>
    <w:p w14:paraId="4D12C38B" w14:textId="043968EA" w:rsidR="00335B1B" w:rsidRPr="009A5DBC" w:rsidRDefault="00335B1B" w:rsidP="007C681C">
      <w:pPr>
        <w:pStyle w:val="Figurelegend"/>
        <w:rPr>
          <w:lang w:val="en-GB" w:eastAsia="ko-KR"/>
        </w:rPr>
      </w:pPr>
      <w:r w:rsidRPr="007C681C">
        <w:rPr>
          <w:lang w:val="en-GB" w:eastAsia="ko-KR"/>
        </w:rPr>
        <w:t xml:space="preserve">Period (within 4 year): </w:t>
      </w:r>
      <w:proofErr w:type="spellStart"/>
      <w:r w:rsidRPr="007C681C">
        <w:rPr>
          <w:lang w:val="en-GB" w:eastAsia="ko-KR"/>
        </w:rPr>
        <w:t>Periodo</w:t>
      </w:r>
      <w:proofErr w:type="spellEnd"/>
      <w:r w:rsidRPr="007C681C">
        <w:rPr>
          <w:lang w:val="en-GB" w:eastAsia="ko-KR"/>
        </w:rPr>
        <w:t xml:space="preserve"> (4 </w:t>
      </w:r>
      <w:proofErr w:type="spellStart"/>
      <w:r w:rsidRPr="007C681C">
        <w:rPr>
          <w:lang w:val="en-GB" w:eastAsia="ko-KR"/>
        </w:rPr>
        <w:t>años</w:t>
      </w:r>
      <w:proofErr w:type="spellEnd"/>
      <w:r w:rsidRPr="007C681C">
        <w:rPr>
          <w:lang w:val="en-GB" w:eastAsia="ko-KR"/>
        </w:rPr>
        <w:t>)</w:t>
      </w:r>
    </w:p>
    <w:p w14:paraId="20FF69CB" w14:textId="34B7F4CF" w:rsidR="00335B1B" w:rsidRPr="005F75D6" w:rsidRDefault="00335B1B" w:rsidP="00335B1B">
      <w:pPr>
        <w:pStyle w:val="Heading1"/>
        <w:rPr>
          <w:lang w:val="es-ES"/>
        </w:rPr>
      </w:pPr>
      <w:r w:rsidRPr="005F75D6">
        <w:rPr>
          <w:lang w:val="es-ES"/>
        </w:rPr>
        <w:t>3</w:t>
      </w:r>
      <w:r w:rsidRPr="005F75D6">
        <w:rPr>
          <w:lang w:val="es-ES"/>
        </w:rPr>
        <w:tab/>
      </w:r>
      <w:r w:rsidR="007C3765" w:rsidRPr="005F75D6">
        <w:rPr>
          <w:lang w:val="es-ES"/>
        </w:rPr>
        <w:t>Propuesta</w:t>
      </w:r>
    </w:p>
    <w:p w14:paraId="018A578F" w14:textId="6C58AB1D" w:rsidR="00335B1B" w:rsidRPr="005F75D6" w:rsidRDefault="007C3765" w:rsidP="00335B1B">
      <w:pPr>
        <w:rPr>
          <w:lang w:val="es-ES"/>
        </w:rPr>
      </w:pPr>
      <w:bookmarkStart w:id="34" w:name="lt_pId105"/>
      <w:r w:rsidRPr="005F75D6">
        <w:rPr>
          <w:lang w:val="es-ES"/>
        </w:rPr>
        <w:t xml:space="preserve">Las Administraciones árabes desean hacer hincapié en que este enfoque afecta a los </w:t>
      </w:r>
      <w:r w:rsidRPr="005F75D6">
        <w:rPr>
          <w:lang w:val="es-ES" w:eastAsia="zh-CN"/>
        </w:rPr>
        <w:t>operadores de satélites que disponen de satélites en órbita para su arrendamie</w:t>
      </w:r>
      <w:r w:rsidRPr="005F75D6">
        <w:rPr>
          <w:lang w:val="es-ES"/>
        </w:rPr>
        <w:t>nto únicamente.</w:t>
      </w:r>
      <w:bookmarkEnd w:id="34"/>
      <w:r w:rsidRPr="005F75D6">
        <w:rPr>
          <w:lang w:val="es-ES"/>
        </w:rPr>
        <w:t xml:space="preserve"> </w:t>
      </w:r>
      <w:bookmarkStart w:id="35" w:name="lt_pId106"/>
      <w:r w:rsidRPr="005F75D6">
        <w:rPr>
          <w:lang w:val="es-ES"/>
        </w:rPr>
        <w:t>Aunque la ocurrencia de casos sea escasa, podría</w:t>
      </w:r>
      <w:r w:rsidR="004A12A9" w:rsidRPr="005F75D6">
        <w:rPr>
          <w:lang w:val="es-ES"/>
        </w:rPr>
        <w:t xml:space="preserve">n limitar </w:t>
      </w:r>
      <w:r w:rsidRPr="005F75D6">
        <w:rPr>
          <w:lang w:val="es-ES"/>
        </w:rPr>
        <w:t xml:space="preserve">la posibilidad de que otras administraciones utilicen los recursos de la red de satélites. Por lo tanto, se tendrían que elaborar medidas reglamentarias adecuadas para evitar casos nuevos de uso excesivo de las disposiciones reglamentarias aplicables en el futuro y para garantizar </w:t>
      </w:r>
      <w:bookmarkEnd w:id="35"/>
      <w:r w:rsidRPr="005F75D6">
        <w:rPr>
          <w:lang w:val="es-ES"/>
        </w:rPr>
        <w:t>el uso racional, eficiente y económico de las radiofrecuencias y la órbita de satélites geoestacionarios y el acceso a ellos</w:t>
      </w:r>
      <w:r w:rsidR="00335B1B" w:rsidRPr="005F75D6">
        <w:rPr>
          <w:lang w:val="es-ES"/>
        </w:rPr>
        <w:t>.</w:t>
      </w:r>
    </w:p>
    <w:p w14:paraId="334DAF04" w14:textId="5B3952EF" w:rsidR="00335B1B" w:rsidRPr="005F75D6" w:rsidRDefault="007C3765" w:rsidP="00335B1B">
      <w:pPr>
        <w:rPr>
          <w:lang w:val="es-ES"/>
        </w:rPr>
      </w:pPr>
      <w:r w:rsidRPr="005F75D6">
        <w:rPr>
          <w:lang w:val="es-ES"/>
        </w:rPr>
        <w:t xml:space="preserve">El ASMG respalda la propuesta de la Junta de </w:t>
      </w:r>
      <w:r w:rsidR="003B72BC" w:rsidRPr="005F75D6">
        <w:rPr>
          <w:lang w:val="es-ES"/>
        </w:rPr>
        <w:t>acotar</w:t>
      </w:r>
      <w:r w:rsidRPr="005F75D6">
        <w:rPr>
          <w:lang w:val="es-ES"/>
        </w:rPr>
        <w:t xml:space="preserve"> aún más las prácticas de reserva de espectro, e invita a la CMR-23 a solicitar al UIT</w:t>
      </w:r>
      <w:r w:rsidRPr="005F75D6">
        <w:rPr>
          <w:lang w:val="es-ES"/>
        </w:rPr>
        <w:noBreakHyphen/>
        <w:t xml:space="preserve">R que estudie las posibles medidas para limitar la utilización </w:t>
      </w:r>
      <w:r w:rsidRPr="005F75D6">
        <w:rPr>
          <w:lang w:val="es-ES"/>
        </w:rPr>
        <w:lastRenderedPageBreak/>
        <w:t xml:space="preserve">de un mismo satélite o de satélites distintos para la puesta en servicio o la reanudación del servicio </w:t>
      </w:r>
      <w:r w:rsidR="00E62C62" w:rsidRPr="005F75D6">
        <w:rPr>
          <w:lang w:val="es-ES"/>
        </w:rPr>
        <w:t xml:space="preserve">repetidas </w:t>
      </w:r>
      <w:r w:rsidR="00C62C18" w:rsidRPr="005F75D6">
        <w:rPr>
          <w:lang w:val="es-ES"/>
        </w:rPr>
        <w:t xml:space="preserve">de las mismas asignaciones de frecuencias </w:t>
      </w:r>
      <w:r w:rsidRPr="005F75D6">
        <w:rPr>
          <w:lang w:val="es-ES"/>
        </w:rPr>
        <w:t>a una red o sistema de satélites sólo durante un breve periodo de tiempo, a fin de abordarlas en una futura CMR competente</w:t>
      </w:r>
      <w:r w:rsidR="00335B1B" w:rsidRPr="005F75D6">
        <w:rPr>
          <w:lang w:val="es-ES"/>
        </w:rPr>
        <w:t>.</w:t>
      </w:r>
    </w:p>
    <w:p w14:paraId="463FEA6C" w14:textId="1E1438F5" w:rsidR="00335B1B" w:rsidRPr="005F75D6" w:rsidRDefault="000F264B" w:rsidP="00335B1B">
      <w:pPr>
        <w:rPr>
          <w:lang w:val="es-ES"/>
        </w:rPr>
      </w:pPr>
      <w:r w:rsidRPr="005F75D6">
        <w:rPr>
          <w:lang w:val="es-ES" w:eastAsia="zh-CN"/>
        </w:rPr>
        <w:t xml:space="preserve">El ASMG considera que se podría modificar el Artículo </w:t>
      </w:r>
      <w:r w:rsidRPr="005F75D6">
        <w:rPr>
          <w:b/>
          <w:bCs/>
          <w:lang w:val="es-ES" w:eastAsia="zh-CN"/>
        </w:rPr>
        <w:t>11</w:t>
      </w:r>
      <w:r w:rsidRPr="005F75D6">
        <w:rPr>
          <w:lang w:val="es-ES" w:eastAsia="zh-CN"/>
        </w:rPr>
        <w:t xml:space="preserve"> del RR para aplicar el requisito de periodo continuo de forma diferente en función del número de utilizacio</w:t>
      </w:r>
      <w:r w:rsidR="00E62C62" w:rsidRPr="005F75D6">
        <w:rPr>
          <w:lang w:val="es-ES" w:eastAsia="zh-CN"/>
        </w:rPr>
        <w:t>nes previas de una estación espa</w:t>
      </w:r>
      <w:r w:rsidRPr="005F75D6">
        <w:rPr>
          <w:lang w:val="es-ES" w:eastAsia="zh-CN"/>
        </w:rPr>
        <w:t xml:space="preserve">cial para la puesta en servicio o la reanudación del servicio de las asignaciones de frecuencias. Este requisito se podría </w:t>
      </w:r>
      <w:r w:rsidR="008D6A0C" w:rsidRPr="005F75D6">
        <w:rPr>
          <w:lang w:val="es-ES" w:eastAsia="zh-CN"/>
        </w:rPr>
        <w:t xml:space="preserve">aplicar de manera </w:t>
      </w:r>
      <w:r w:rsidRPr="005F75D6">
        <w:rPr>
          <w:lang w:val="es-ES" w:eastAsia="zh-CN"/>
        </w:rPr>
        <w:t>más estricta cuando una estación espacial se haya usado alternativamente en dos posiciones orbitales únicamente, separadas por menos de 1 grado</w:t>
      </w:r>
      <w:r w:rsidR="00335B1B" w:rsidRPr="005F75D6">
        <w:rPr>
          <w:lang w:val="es-ES" w:eastAsia="zh-CN"/>
        </w:rPr>
        <w:t>.</w:t>
      </w:r>
    </w:p>
    <w:p w14:paraId="701BD509" w14:textId="77777777" w:rsidR="000F264B" w:rsidRPr="005F75D6" w:rsidRDefault="000F264B" w:rsidP="00082DA2">
      <w:pPr>
        <w:rPr>
          <w:lang w:val="es-ES"/>
        </w:rPr>
      </w:pPr>
      <w:bookmarkStart w:id="36" w:name="lt_pId110"/>
      <w:r w:rsidRPr="005F75D6">
        <w:rPr>
          <w:lang w:val="es-ES"/>
        </w:rPr>
        <w:t>Por lo tanto, el ASMG propone incluir la declaración siguiente en las actas finales de la CMR-23:</w:t>
      </w:r>
      <w:bookmarkEnd w:id="36"/>
    </w:p>
    <w:p w14:paraId="76C8B4D9" w14:textId="319515C8" w:rsidR="000F264B" w:rsidRPr="005F75D6" w:rsidRDefault="000F264B" w:rsidP="000F264B">
      <w:pPr>
        <w:pStyle w:val="enumlev1"/>
        <w:rPr>
          <w:lang w:val="es-ES"/>
        </w:rPr>
      </w:pPr>
      <w:r w:rsidRPr="005F75D6">
        <w:rPr>
          <w:lang w:val="es-ES"/>
        </w:rPr>
        <w:tab/>
      </w:r>
      <w:bookmarkStart w:id="37" w:name="lt_pId111"/>
      <w:r w:rsidR="00082DA2">
        <w:rPr>
          <w:lang w:val="es-ES"/>
        </w:rPr>
        <w:t>«</w:t>
      </w:r>
      <w:r w:rsidRPr="005F75D6">
        <w:rPr>
          <w:lang w:val="es-ES"/>
        </w:rPr>
        <w:t>La CMR-23 reconoce que el enfoque basado en la puesta en servicio o reanudación del servicio</w:t>
      </w:r>
      <w:r w:rsidR="00C62C18" w:rsidRPr="005F75D6">
        <w:rPr>
          <w:lang w:val="es-ES"/>
        </w:rPr>
        <w:t xml:space="preserve"> repetidas </w:t>
      </w:r>
      <w:r w:rsidRPr="005F75D6">
        <w:rPr>
          <w:lang w:val="es-ES"/>
        </w:rPr>
        <w:t xml:space="preserve">durante un </w:t>
      </w:r>
      <w:r w:rsidR="00C62C18" w:rsidRPr="005F75D6">
        <w:rPr>
          <w:lang w:val="es-ES"/>
        </w:rPr>
        <w:t xml:space="preserve">breve </w:t>
      </w:r>
      <w:r w:rsidRPr="005F75D6">
        <w:rPr>
          <w:lang w:val="es-ES"/>
        </w:rPr>
        <w:t xml:space="preserve">periodo de tiempo de las asignaciones de frecuencias de la red de satélites a fin de mantener su inscripción en el Registro Internacional de Frecuencias, </w:t>
      </w:r>
      <w:r w:rsidR="00AC0083" w:rsidRPr="005F75D6">
        <w:rPr>
          <w:lang w:val="es-ES" w:eastAsia="zh-CN"/>
        </w:rPr>
        <w:t>satisfaciendo simplemente los requisitos de puesta en servicio/reanudación del servicio sin mantener un satélite con la capacidad de transmisión y recepción necesaria más de 90 días obligatorios</w:t>
      </w:r>
      <w:r w:rsidR="00277059" w:rsidRPr="005F75D6">
        <w:rPr>
          <w:lang w:val="es-ES" w:eastAsia="zh-CN"/>
        </w:rPr>
        <w:t xml:space="preserve">, podría dar lugar a un uso indebido de </w:t>
      </w:r>
      <w:r w:rsidR="00277059" w:rsidRPr="005F75D6">
        <w:rPr>
          <w:lang w:val="es-ES"/>
        </w:rPr>
        <w:t>los recursos orbitales y las asignaciones de frecuencias</w:t>
      </w:r>
      <w:r w:rsidRPr="005F75D6">
        <w:rPr>
          <w:lang w:val="es-ES"/>
        </w:rPr>
        <w:t>.</w:t>
      </w:r>
      <w:bookmarkEnd w:id="37"/>
    </w:p>
    <w:p w14:paraId="0CCEEF55" w14:textId="77777777" w:rsidR="000F264B" w:rsidRPr="005F75D6" w:rsidRDefault="000F264B" w:rsidP="000F264B">
      <w:pPr>
        <w:pStyle w:val="enumlev1"/>
        <w:rPr>
          <w:lang w:val="es-ES"/>
        </w:rPr>
      </w:pPr>
      <w:r w:rsidRPr="005F75D6">
        <w:rPr>
          <w:lang w:val="es-ES"/>
        </w:rPr>
        <w:tab/>
      </w:r>
      <w:bookmarkStart w:id="38" w:name="lt_pId112"/>
      <w:r w:rsidRPr="005F75D6">
        <w:rPr>
          <w:lang w:val="es-ES"/>
        </w:rPr>
        <w:t>La CMR-23 considera que esta práctica es contraria a los principios del Artículo 44 de la Constitución.</w:t>
      </w:r>
      <w:bookmarkEnd w:id="38"/>
      <w:r w:rsidRPr="005F75D6">
        <w:rPr>
          <w:lang w:val="es-ES"/>
        </w:rPr>
        <w:t xml:space="preserve"> </w:t>
      </w:r>
    </w:p>
    <w:p w14:paraId="15678BD8" w14:textId="7EB07D92" w:rsidR="00335B1B" w:rsidRPr="005F75D6" w:rsidRDefault="000F264B" w:rsidP="000F264B">
      <w:pPr>
        <w:pStyle w:val="enumlev1"/>
        <w:rPr>
          <w:lang w:val="es-ES"/>
        </w:rPr>
      </w:pPr>
      <w:r w:rsidRPr="005F75D6">
        <w:rPr>
          <w:lang w:val="es-ES"/>
        </w:rPr>
        <w:tab/>
      </w:r>
      <w:bookmarkStart w:id="39" w:name="lt_pId113"/>
      <w:r w:rsidRPr="005F75D6">
        <w:rPr>
          <w:lang w:val="es-ES"/>
        </w:rPr>
        <w:t>Habida cuenta de lo anterior, la CMR-23 invita al UIT-R a elaborar</w:t>
      </w:r>
      <w:r w:rsidR="0075129E" w:rsidRPr="005F75D6">
        <w:rPr>
          <w:lang w:val="es-ES"/>
        </w:rPr>
        <w:t>, con miras a su examen en una CMR futura</w:t>
      </w:r>
      <w:r w:rsidR="00026A21" w:rsidRPr="005F75D6">
        <w:rPr>
          <w:lang w:val="es-ES"/>
        </w:rPr>
        <w:t>,</w:t>
      </w:r>
      <w:r w:rsidRPr="005F75D6">
        <w:rPr>
          <w:lang w:val="es-ES"/>
        </w:rPr>
        <w:t xml:space="preserve"> posibles medidas para limitar la utilización del mismo satélite o de varios satélites para la </w:t>
      </w:r>
      <w:r w:rsidRPr="005F75D6">
        <w:rPr>
          <w:lang w:val="es-ES" w:eastAsia="zh-CN"/>
        </w:rPr>
        <w:t xml:space="preserve">puesta en servicio o la reanudación del servicio </w:t>
      </w:r>
      <w:r w:rsidR="00C62C18" w:rsidRPr="005F75D6">
        <w:rPr>
          <w:lang w:val="es-ES" w:eastAsia="zh-CN"/>
        </w:rPr>
        <w:t>repetidas</w:t>
      </w:r>
      <w:r w:rsidRPr="005F75D6">
        <w:rPr>
          <w:lang w:val="es-ES" w:eastAsia="zh-CN"/>
        </w:rPr>
        <w:t xml:space="preserve"> de la asignación de frecuencias</w:t>
      </w:r>
      <w:r w:rsidRPr="005F75D6">
        <w:rPr>
          <w:lang w:val="es-ES"/>
        </w:rPr>
        <w:t xml:space="preserve"> de un sistema o red de satélites durante un </w:t>
      </w:r>
      <w:r w:rsidR="00C62C18" w:rsidRPr="005F75D6">
        <w:rPr>
          <w:lang w:val="es-ES"/>
        </w:rPr>
        <w:t>breve periodo de tiempo</w:t>
      </w:r>
      <w:r w:rsidRPr="005F75D6">
        <w:rPr>
          <w:lang w:val="es-ES"/>
        </w:rPr>
        <w:t xml:space="preserve">. Además, la CMR-23 considera que se podría modificar el Artículo </w:t>
      </w:r>
      <w:bookmarkStart w:id="40" w:name="lt_pId114"/>
      <w:bookmarkEnd w:id="39"/>
      <w:r w:rsidRPr="005F75D6">
        <w:rPr>
          <w:b/>
          <w:bCs/>
          <w:lang w:val="es-ES"/>
        </w:rPr>
        <w:t>11</w:t>
      </w:r>
      <w:r w:rsidRPr="005F75D6">
        <w:rPr>
          <w:lang w:val="es-ES"/>
        </w:rPr>
        <w:t xml:space="preserve"> del RR a fin de aplicar los requisitos de periodo continuo de formas diferentes, en función del número de veces que se ha utilizado una estación esp</w:t>
      </w:r>
      <w:r w:rsidR="0010320B">
        <w:rPr>
          <w:lang w:val="es-ES"/>
        </w:rPr>
        <w:t>a</w:t>
      </w:r>
      <w:r w:rsidRPr="005F75D6">
        <w:rPr>
          <w:lang w:val="es-ES"/>
        </w:rPr>
        <w:t>cial para la puesta en servicio o la reanudación del servicio de las asignaciones de frecuencias; este requisito podría ser más estricto cuando se haya utilizado una estación espacial de forma alternativa, solo en dos posiciones orbitales situadas a menos de 1 grado de distancia.</w:t>
      </w:r>
      <w:bookmarkEnd w:id="40"/>
      <w:r w:rsidR="00082DA2">
        <w:rPr>
          <w:lang w:val="es-ES"/>
        </w:rPr>
        <w:t>»</w:t>
      </w:r>
    </w:p>
    <w:p w14:paraId="2DC08A4D" w14:textId="77777777" w:rsidR="00082DA2" w:rsidRDefault="00082DA2" w:rsidP="00411C49">
      <w:pPr>
        <w:pStyle w:val="Reasons"/>
      </w:pPr>
    </w:p>
    <w:p w14:paraId="4E867A59" w14:textId="77777777" w:rsidR="00082DA2" w:rsidRDefault="00082DA2">
      <w:pPr>
        <w:jc w:val="center"/>
      </w:pPr>
      <w:r>
        <w:t>______________</w:t>
      </w:r>
    </w:p>
    <w:sectPr w:rsidR="00082DA2">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DEC6" w14:textId="77777777" w:rsidR="00C62C18" w:rsidRDefault="00C62C18">
      <w:r>
        <w:separator/>
      </w:r>
    </w:p>
  </w:endnote>
  <w:endnote w:type="continuationSeparator" w:id="0">
    <w:p w14:paraId="5960BA2C" w14:textId="77777777" w:rsidR="00C62C18" w:rsidRDefault="00C6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EB28" w14:textId="77777777" w:rsidR="00C62C18" w:rsidRDefault="00C62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B0732" w14:textId="0B799AA0" w:rsidR="00C62C18" w:rsidRDefault="00C62C18">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1B0831">
      <w:rPr>
        <w:noProof/>
      </w:rPr>
      <w:t>07.11.23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31C4" w14:textId="66C325B8" w:rsidR="00C62C18" w:rsidRDefault="00841E92" w:rsidP="00D65776">
    <w:pPr>
      <w:pStyle w:val="Footer"/>
      <w:rPr>
        <w:lang w:val="en-US"/>
      </w:rPr>
    </w:pPr>
    <w:r>
      <w:fldChar w:fldCharType="begin"/>
    </w:r>
    <w:r>
      <w:instrText xml:space="preserve"> FILENAME \p  \* MERGEFORMAT </w:instrText>
    </w:r>
    <w:r>
      <w:fldChar w:fldCharType="separate"/>
    </w:r>
    <w:r>
      <w:t>P:\ESP\ITU-R\CONF-R\CMR23\100\100ADD26V2S.docx</w:t>
    </w:r>
    <w:r>
      <w:fldChar w:fldCharType="end"/>
    </w:r>
    <w:r w:rsidR="00D65776">
      <w:t xml:space="preserve"> (530216)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89BB" w14:textId="606AF311" w:rsidR="00C62C18" w:rsidRPr="007356FF" w:rsidRDefault="00841E92" w:rsidP="00D65776">
    <w:pPr>
      <w:pStyle w:val="Footer"/>
      <w:rPr>
        <w:lang w:val="en-US"/>
      </w:rPr>
    </w:pPr>
    <w:r>
      <w:fldChar w:fldCharType="begin"/>
    </w:r>
    <w:r>
      <w:instrText xml:space="preserve"> FILENAME \p  \* MERGEFORMAT </w:instrText>
    </w:r>
    <w:r>
      <w:fldChar w:fldCharType="separate"/>
    </w:r>
    <w:r>
      <w:t>P:\ESP\ITU-R\CONF-R\CMR23\100\100ADD26V2S.docx</w:t>
    </w:r>
    <w:r>
      <w:fldChar w:fldCharType="end"/>
    </w:r>
    <w:r w:rsidR="00D65776">
      <w:t xml:space="preserve"> (530216)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3163" w14:textId="77777777" w:rsidR="00C62C18" w:rsidRDefault="00C62C18">
      <w:r>
        <w:rPr>
          <w:b/>
        </w:rPr>
        <w:t>_______________</w:t>
      </w:r>
    </w:p>
  </w:footnote>
  <w:footnote w:type="continuationSeparator" w:id="0">
    <w:p w14:paraId="0FDA4D87" w14:textId="77777777" w:rsidR="00C62C18" w:rsidRDefault="00C6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DA52" w14:textId="18CF8A2A" w:rsidR="00C62C18" w:rsidRDefault="00C62C1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0320B">
      <w:rPr>
        <w:rStyle w:val="PageNumber"/>
        <w:noProof/>
      </w:rPr>
      <w:t>7</w:t>
    </w:r>
    <w:r>
      <w:rPr>
        <w:rStyle w:val="PageNumber"/>
      </w:rPr>
      <w:fldChar w:fldCharType="end"/>
    </w:r>
  </w:p>
  <w:p w14:paraId="047A46A5" w14:textId="77777777" w:rsidR="00C62C18" w:rsidRDefault="00C62C18" w:rsidP="00C44E9E">
    <w:pPr>
      <w:pStyle w:val="Header"/>
      <w:rPr>
        <w:lang w:val="en-US"/>
      </w:rPr>
    </w:pPr>
    <w:r>
      <w:rPr>
        <w:lang w:val="en-US"/>
      </w:rPr>
      <w:t>WRC23/</w:t>
    </w:r>
    <w:r>
      <w:t>100(Add.26)-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54306570">
    <w:abstractNumId w:val="8"/>
  </w:num>
  <w:num w:numId="2" w16cid:durableId="123951069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95912927">
    <w:abstractNumId w:val="9"/>
  </w:num>
  <w:num w:numId="4" w16cid:durableId="2137410093">
    <w:abstractNumId w:val="7"/>
  </w:num>
  <w:num w:numId="5" w16cid:durableId="1941720281">
    <w:abstractNumId w:val="6"/>
  </w:num>
  <w:num w:numId="6" w16cid:durableId="956713423">
    <w:abstractNumId w:val="5"/>
  </w:num>
  <w:num w:numId="7" w16cid:durableId="223219291">
    <w:abstractNumId w:val="4"/>
  </w:num>
  <w:num w:numId="8" w16cid:durableId="451555017">
    <w:abstractNumId w:val="3"/>
  </w:num>
  <w:num w:numId="9" w16cid:durableId="1106269989">
    <w:abstractNumId w:val="2"/>
  </w:num>
  <w:num w:numId="10" w16cid:durableId="1609505578">
    <w:abstractNumId w:val="1"/>
  </w:num>
  <w:num w:numId="11" w16cid:durableId="117017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6A21"/>
    <w:rsid w:val="0002785D"/>
    <w:rsid w:val="00082DA2"/>
    <w:rsid w:val="00087AE8"/>
    <w:rsid w:val="00091054"/>
    <w:rsid w:val="000A2A7D"/>
    <w:rsid w:val="000A5B9A"/>
    <w:rsid w:val="000E5BF9"/>
    <w:rsid w:val="000F0E6D"/>
    <w:rsid w:val="000F264B"/>
    <w:rsid w:val="0010320B"/>
    <w:rsid w:val="00117D4C"/>
    <w:rsid w:val="00121170"/>
    <w:rsid w:val="00123CC5"/>
    <w:rsid w:val="0015142D"/>
    <w:rsid w:val="001616DC"/>
    <w:rsid w:val="00163962"/>
    <w:rsid w:val="00173A12"/>
    <w:rsid w:val="00191A97"/>
    <w:rsid w:val="0019729C"/>
    <w:rsid w:val="001A083F"/>
    <w:rsid w:val="001B0831"/>
    <w:rsid w:val="001C3C1C"/>
    <w:rsid w:val="001C41FA"/>
    <w:rsid w:val="001E2B52"/>
    <w:rsid w:val="001E3F27"/>
    <w:rsid w:val="001E7D42"/>
    <w:rsid w:val="00232BBE"/>
    <w:rsid w:val="0023659C"/>
    <w:rsid w:val="00236D2A"/>
    <w:rsid w:val="0024569E"/>
    <w:rsid w:val="00255F12"/>
    <w:rsid w:val="00262C09"/>
    <w:rsid w:val="00277059"/>
    <w:rsid w:val="002A791F"/>
    <w:rsid w:val="002C1A52"/>
    <w:rsid w:val="002C1B26"/>
    <w:rsid w:val="002C5D6C"/>
    <w:rsid w:val="002E701F"/>
    <w:rsid w:val="003248A9"/>
    <w:rsid w:val="00324FFA"/>
    <w:rsid w:val="0032680B"/>
    <w:rsid w:val="00335B1B"/>
    <w:rsid w:val="00363A65"/>
    <w:rsid w:val="003B1E8C"/>
    <w:rsid w:val="003B72BC"/>
    <w:rsid w:val="003C0613"/>
    <w:rsid w:val="003C2508"/>
    <w:rsid w:val="003D0AA3"/>
    <w:rsid w:val="003E2086"/>
    <w:rsid w:val="003F7F66"/>
    <w:rsid w:val="00440B3A"/>
    <w:rsid w:val="0044375A"/>
    <w:rsid w:val="0045384C"/>
    <w:rsid w:val="00454553"/>
    <w:rsid w:val="00472A86"/>
    <w:rsid w:val="004A12A9"/>
    <w:rsid w:val="004B124A"/>
    <w:rsid w:val="004B3095"/>
    <w:rsid w:val="004D2749"/>
    <w:rsid w:val="004D2C7C"/>
    <w:rsid w:val="004F1369"/>
    <w:rsid w:val="005133B5"/>
    <w:rsid w:val="00524392"/>
    <w:rsid w:val="00532097"/>
    <w:rsid w:val="0058350F"/>
    <w:rsid w:val="00583C7E"/>
    <w:rsid w:val="0059098E"/>
    <w:rsid w:val="005B67E5"/>
    <w:rsid w:val="005D46FB"/>
    <w:rsid w:val="005F2605"/>
    <w:rsid w:val="005F3B0E"/>
    <w:rsid w:val="005F3DB8"/>
    <w:rsid w:val="005F559C"/>
    <w:rsid w:val="005F75D6"/>
    <w:rsid w:val="00602857"/>
    <w:rsid w:val="006124AD"/>
    <w:rsid w:val="00624009"/>
    <w:rsid w:val="00662BA0"/>
    <w:rsid w:val="00666B37"/>
    <w:rsid w:val="0067344B"/>
    <w:rsid w:val="006734D6"/>
    <w:rsid w:val="00684A94"/>
    <w:rsid w:val="00692AAE"/>
    <w:rsid w:val="006C0E38"/>
    <w:rsid w:val="006D6E67"/>
    <w:rsid w:val="006E1A13"/>
    <w:rsid w:val="00701C20"/>
    <w:rsid w:val="00702F3D"/>
    <w:rsid w:val="0070518E"/>
    <w:rsid w:val="007335C5"/>
    <w:rsid w:val="007354E9"/>
    <w:rsid w:val="007356FF"/>
    <w:rsid w:val="007424E8"/>
    <w:rsid w:val="0074579D"/>
    <w:rsid w:val="0075129E"/>
    <w:rsid w:val="00765578"/>
    <w:rsid w:val="00766333"/>
    <w:rsid w:val="0077084A"/>
    <w:rsid w:val="007952C7"/>
    <w:rsid w:val="007C0B95"/>
    <w:rsid w:val="007C2317"/>
    <w:rsid w:val="007C3765"/>
    <w:rsid w:val="007C681C"/>
    <w:rsid w:val="007D330A"/>
    <w:rsid w:val="0080079E"/>
    <w:rsid w:val="0083036B"/>
    <w:rsid w:val="00841E92"/>
    <w:rsid w:val="008504C2"/>
    <w:rsid w:val="00866AE6"/>
    <w:rsid w:val="008750A8"/>
    <w:rsid w:val="008D3316"/>
    <w:rsid w:val="008D6A0C"/>
    <w:rsid w:val="008E5AF2"/>
    <w:rsid w:val="0090121B"/>
    <w:rsid w:val="009144C9"/>
    <w:rsid w:val="0094091F"/>
    <w:rsid w:val="00962171"/>
    <w:rsid w:val="00973754"/>
    <w:rsid w:val="009A5DBC"/>
    <w:rsid w:val="009C0BED"/>
    <w:rsid w:val="009E11EC"/>
    <w:rsid w:val="00A021CC"/>
    <w:rsid w:val="00A118DB"/>
    <w:rsid w:val="00A4450C"/>
    <w:rsid w:val="00AA5E6C"/>
    <w:rsid w:val="00AC0083"/>
    <w:rsid w:val="00AC4042"/>
    <w:rsid w:val="00AC49B1"/>
    <w:rsid w:val="00AE5677"/>
    <w:rsid w:val="00AE658F"/>
    <w:rsid w:val="00AF2F78"/>
    <w:rsid w:val="00B239FA"/>
    <w:rsid w:val="00B26C80"/>
    <w:rsid w:val="00B372AB"/>
    <w:rsid w:val="00B47331"/>
    <w:rsid w:val="00B52D55"/>
    <w:rsid w:val="00B8288C"/>
    <w:rsid w:val="00B86034"/>
    <w:rsid w:val="00BE2E80"/>
    <w:rsid w:val="00BE5EDD"/>
    <w:rsid w:val="00BE6A1F"/>
    <w:rsid w:val="00C126C4"/>
    <w:rsid w:val="00C44E9E"/>
    <w:rsid w:val="00C62C18"/>
    <w:rsid w:val="00C63EB5"/>
    <w:rsid w:val="00C866C2"/>
    <w:rsid w:val="00C87DA7"/>
    <w:rsid w:val="00CA4945"/>
    <w:rsid w:val="00CB40D0"/>
    <w:rsid w:val="00CB4440"/>
    <w:rsid w:val="00CC01E0"/>
    <w:rsid w:val="00CD5FEE"/>
    <w:rsid w:val="00CE60D2"/>
    <w:rsid w:val="00CE7431"/>
    <w:rsid w:val="00D00CA8"/>
    <w:rsid w:val="00D0288A"/>
    <w:rsid w:val="00D11B19"/>
    <w:rsid w:val="00D51000"/>
    <w:rsid w:val="00D6496B"/>
    <w:rsid w:val="00D65776"/>
    <w:rsid w:val="00D72A5D"/>
    <w:rsid w:val="00DA71A3"/>
    <w:rsid w:val="00DB73F9"/>
    <w:rsid w:val="00DC1922"/>
    <w:rsid w:val="00DC629B"/>
    <w:rsid w:val="00DE1C31"/>
    <w:rsid w:val="00E05BFF"/>
    <w:rsid w:val="00E262F1"/>
    <w:rsid w:val="00E3176A"/>
    <w:rsid w:val="00E36CE4"/>
    <w:rsid w:val="00E54754"/>
    <w:rsid w:val="00E56BD3"/>
    <w:rsid w:val="00E62C62"/>
    <w:rsid w:val="00E71D14"/>
    <w:rsid w:val="00EA77F0"/>
    <w:rsid w:val="00F32316"/>
    <w:rsid w:val="00F66597"/>
    <w:rsid w:val="00F675D0"/>
    <w:rsid w:val="00F8150C"/>
    <w:rsid w:val="00F85AEB"/>
    <w:rsid w:val="00F95538"/>
    <w:rsid w:val="00FD03C4"/>
    <w:rsid w:val="00FE4574"/>
    <w:rsid w:val="00FF2F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157ED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uiPriority w:val="99"/>
    <w:qFormat/>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customStyle="1" w:styleId="href">
    <w:name w:val="href"/>
    <w:uiPriority w:val="99"/>
    <w:rsid w:val="00335B1B"/>
    <w:rPr>
      <w:rFonts w:cs="Times New Roman"/>
    </w:rPr>
  </w:style>
  <w:style w:type="paragraph" w:customStyle="1" w:styleId="Tablefin">
    <w:name w:val="Table_fin"/>
    <w:basedOn w:val="Tabletext"/>
    <w:qFormat/>
    <w:rsid w:val="00335B1B"/>
    <w:pPr>
      <w:spacing w:before="0" w:after="0"/>
    </w:pPr>
    <w:rPr>
      <w:lang w:val="en-GB"/>
    </w:rPr>
  </w:style>
  <w:style w:type="character" w:customStyle="1" w:styleId="TableNoChar">
    <w:name w:val="Table_No Char"/>
    <w:basedOn w:val="DefaultParagraphFont"/>
    <w:link w:val="TableNo"/>
    <w:locked/>
    <w:rsid w:val="00335B1B"/>
    <w:rPr>
      <w:rFonts w:ascii="Times New Roman" w:hAnsi="Times New Roman"/>
      <w:caps/>
      <w:lang w:val="es-ES_tradnl" w:eastAsia="en-US"/>
    </w:rPr>
  </w:style>
  <w:style w:type="character" w:customStyle="1" w:styleId="TabletitleChar">
    <w:name w:val="Table_title Char"/>
    <w:basedOn w:val="DefaultParagraphFont"/>
    <w:link w:val="Tabletitle"/>
    <w:qFormat/>
    <w:locked/>
    <w:rsid w:val="00335B1B"/>
    <w:rPr>
      <w:rFonts w:ascii="Times New Roman Bold" w:hAnsi="Times New Roman Bold"/>
      <w:b/>
      <w:lang w:val="es-ES_tradnl" w:eastAsia="en-US"/>
    </w:rPr>
  </w:style>
  <w:style w:type="table" w:styleId="TableGrid">
    <w:name w:val="Table Grid"/>
    <w:basedOn w:val="TableNormal"/>
    <w:rsid w:val="00335B1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rsid w:val="00335B1B"/>
    <w:rPr>
      <w:rFonts w:ascii="Times New Roman" w:hAnsi="Times New Roman"/>
      <w:sz w:val="24"/>
      <w:lang w:val="es-ES_tradnl" w:eastAsia="en-US"/>
    </w:rPr>
  </w:style>
  <w:style w:type="character" w:customStyle="1" w:styleId="FiguretitleChar">
    <w:name w:val="Figure_title Char"/>
    <w:basedOn w:val="DefaultParagraphFont"/>
    <w:link w:val="Figuretitle"/>
    <w:rsid w:val="00335B1B"/>
    <w:rPr>
      <w:rFonts w:ascii="Times New Roman" w:hAnsi="Times New Roman"/>
      <w:sz w:val="24"/>
      <w:lang w:val="es-ES_tradnl" w:eastAsia="en-US"/>
    </w:rPr>
  </w:style>
  <w:style w:type="character" w:customStyle="1" w:styleId="FigureNoChar">
    <w:name w:val="Figure_No Char"/>
    <w:link w:val="FigureNo"/>
    <w:uiPriority w:val="99"/>
    <w:qFormat/>
    <w:locked/>
    <w:rsid w:val="00335B1B"/>
    <w:rPr>
      <w:rFonts w:ascii="Times New Roman" w:hAnsi="Times New Roman"/>
      <w:caps/>
      <w:lang w:val="es-ES_tradnl" w:eastAsia="en-US"/>
    </w:rPr>
  </w:style>
  <w:style w:type="character" w:styleId="FollowedHyperlink">
    <w:name w:val="FollowedHyperlink"/>
    <w:basedOn w:val="DefaultParagraphFont"/>
    <w:semiHidden/>
    <w:unhideWhenUsed/>
    <w:rsid w:val="00117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9-WP4A-C-0550/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402/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2D9242-EECA-4D72-9931-BFA81D4BD6BE}">
  <ds:schemaRefs>
    <ds:schemaRef ds:uri="http://schemas.openxmlformats.org/officeDocument/2006/bibliography"/>
  </ds:schemaRefs>
</ds:datastoreItem>
</file>

<file path=customXml/itemProps2.xml><?xml version="1.0" encoding="utf-8"?>
<ds:datastoreItem xmlns:ds="http://schemas.openxmlformats.org/officeDocument/2006/customXml" ds:itemID="{0EEF3055-62D6-48B1-A35A-D628909C1563}">
  <ds:schemaRef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AC3764D-4FAF-4FD0-B168-FB021981A6D7}">
  <ds:schemaRefs>
    <ds:schemaRef ds:uri="http://schemas.microsoft.com/sharepoint/v3/contenttype/forms"/>
  </ds:schemaRefs>
</ds:datastoreItem>
</file>

<file path=customXml/itemProps4.xml><?xml version="1.0" encoding="utf-8"?>
<ds:datastoreItem xmlns:ds="http://schemas.openxmlformats.org/officeDocument/2006/customXml" ds:itemID="{9EBDE514-C6D2-4D2F-956E-20A375E3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35498C-8D41-47EF-8A8F-4F09DD5312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2241</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R23-WRC23-C-0100!A26!MSW-S</vt:lpstr>
    </vt:vector>
  </TitlesOfParts>
  <Manager>Secretaría General - Pool</Manager>
  <Company>Unión Internacional de Telecomunicaciones (UIT)</Company>
  <LinksUpToDate>false</LinksUpToDate>
  <CharactersWithSpaces>13778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R23-WRC23-C-0100!A26!MSW-S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2023-11-08T09:13:00Z</dcterms:created>
  <dcterms:modified xsi:type="dcterms:W3CDTF">2023-11-08T09:14:00Z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