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E5BE6BD" w14:textId="77777777" w:rsidTr="0080079E">
        <w:trPr>
          <w:cantSplit/>
        </w:trPr>
        <w:tc>
          <w:tcPr>
            <w:tcW w:w="1418" w:type="dxa"/>
            <w:vAlign w:val="center"/>
          </w:tcPr>
          <w:p w14:paraId="6B74E3C3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F0D696" wp14:editId="7664FA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E52971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17B32E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AE26211" wp14:editId="79D8EBC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F33FA4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AFA3F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B31591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DC4F2A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815931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B7D72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930DDC8" w14:textId="77777777" w:rsidTr="0090121B">
        <w:trPr>
          <w:cantSplit/>
        </w:trPr>
        <w:tc>
          <w:tcPr>
            <w:tcW w:w="6911" w:type="dxa"/>
            <w:gridSpan w:val="2"/>
          </w:tcPr>
          <w:p w14:paraId="579E504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F79A80D" w14:textId="77777777" w:rsidR="0090121B" w:rsidRPr="0096441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96441B">
              <w:rPr>
                <w:rFonts w:ascii="Verdana" w:hAnsi="Verdana"/>
                <w:b/>
                <w:sz w:val="18"/>
                <w:szCs w:val="18"/>
                <w:lang w:val="es-ES"/>
              </w:rPr>
              <w:t>Addéndum 4 al</w:t>
            </w:r>
            <w:r w:rsidRPr="0096441B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100(Add.27)</w:t>
            </w:r>
            <w:r w:rsidR="0090121B" w:rsidRPr="0096441B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96441B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2F193F23" w14:textId="77777777" w:rsidTr="0090121B">
        <w:trPr>
          <w:cantSplit/>
        </w:trPr>
        <w:tc>
          <w:tcPr>
            <w:tcW w:w="6911" w:type="dxa"/>
            <w:gridSpan w:val="2"/>
          </w:tcPr>
          <w:p w14:paraId="52B8FA3A" w14:textId="77777777" w:rsidR="000A5B9A" w:rsidRPr="0096441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D64623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40E1A332" w14:textId="77777777" w:rsidTr="0090121B">
        <w:trPr>
          <w:cantSplit/>
        </w:trPr>
        <w:tc>
          <w:tcPr>
            <w:tcW w:w="6911" w:type="dxa"/>
            <w:gridSpan w:val="2"/>
          </w:tcPr>
          <w:p w14:paraId="7697E30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BEE528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8321FDC" w14:textId="77777777" w:rsidTr="006744FC">
        <w:trPr>
          <w:cantSplit/>
        </w:trPr>
        <w:tc>
          <w:tcPr>
            <w:tcW w:w="10031" w:type="dxa"/>
            <w:gridSpan w:val="4"/>
          </w:tcPr>
          <w:p w14:paraId="2B3E82F1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4F35DF9" w14:textId="77777777" w:rsidTr="0050008E">
        <w:trPr>
          <w:cantSplit/>
        </w:trPr>
        <w:tc>
          <w:tcPr>
            <w:tcW w:w="10031" w:type="dxa"/>
            <w:gridSpan w:val="4"/>
          </w:tcPr>
          <w:p w14:paraId="55FCF943" w14:textId="77777777" w:rsidR="000A5B9A" w:rsidRPr="0096441B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96441B">
              <w:rPr>
                <w:lang w:val="es-ES"/>
              </w:rPr>
              <w:t>Propuestas Comunes de los Estados Árabes</w:t>
            </w:r>
          </w:p>
        </w:tc>
      </w:tr>
      <w:tr w:rsidR="000A5B9A" w:rsidRPr="000C7163" w14:paraId="42A900FE" w14:textId="77777777" w:rsidTr="0050008E">
        <w:trPr>
          <w:cantSplit/>
        </w:trPr>
        <w:tc>
          <w:tcPr>
            <w:tcW w:w="10031" w:type="dxa"/>
            <w:gridSpan w:val="4"/>
          </w:tcPr>
          <w:p w14:paraId="6769031B" w14:textId="4123E237" w:rsidR="000A5B9A" w:rsidRPr="000C7163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0C7163">
              <w:rPr>
                <w:lang w:val="es-ES"/>
              </w:rPr>
              <w:t>PROP</w:t>
            </w:r>
            <w:r w:rsidR="000C7163" w:rsidRPr="000C7163">
              <w:rPr>
                <w:lang w:val="es-ES"/>
              </w:rPr>
              <w:t>uestas para los trabajos de la conferenci</w:t>
            </w:r>
            <w:r w:rsidR="000C7163">
              <w:rPr>
                <w:lang w:val="es-ES"/>
              </w:rPr>
              <w:t>a</w:t>
            </w:r>
          </w:p>
        </w:tc>
      </w:tr>
      <w:tr w:rsidR="000A5B9A" w:rsidRPr="000C7163" w14:paraId="28D776DF" w14:textId="77777777" w:rsidTr="0050008E">
        <w:trPr>
          <w:cantSplit/>
        </w:trPr>
        <w:tc>
          <w:tcPr>
            <w:tcW w:w="10031" w:type="dxa"/>
            <w:gridSpan w:val="4"/>
          </w:tcPr>
          <w:p w14:paraId="6897F679" w14:textId="77777777" w:rsidR="000A5B9A" w:rsidRPr="000C7163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22227A1" w14:textId="77777777" w:rsidTr="0050008E">
        <w:trPr>
          <w:cantSplit/>
        </w:trPr>
        <w:tc>
          <w:tcPr>
            <w:tcW w:w="10031" w:type="dxa"/>
            <w:gridSpan w:val="4"/>
          </w:tcPr>
          <w:p w14:paraId="6CF8069A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7356EB54" w14:textId="77777777" w:rsidR="0096441B" w:rsidRPr="007E716E" w:rsidRDefault="0096441B" w:rsidP="007E716E"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688EFD49" w14:textId="77777777" w:rsidR="00363A65" w:rsidRDefault="00363A65" w:rsidP="002C1A52"/>
    <w:p w14:paraId="048CFAEB" w14:textId="388BE568" w:rsidR="000C7163" w:rsidRPr="00815DCD" w:rsidRDefault="000C7163" w:rsidP="000C7163">
      <w:pPr>
        <w:pStyle w:val="Headingb"/>
        <w:rPr>
          <w:lang w:val="es-ES"/>
        </w:rPr>
      </w:pPr>
      <w:r w:rsidRPr="00815DCD">
        <w:rPr>
          <w:lang w:val="es-ES"/>
        </w:rPr>
        <w:t>Introducción</w:t>
      </w:r>
    </w:p>
    <w:p w14:paraId="2F82B4FB" w14:textId="73FA0D1F" w:rsidR="000C7163" w:rsidRDefault="000C7163" w:rsidP="000C7163">
      <w:pPr>
        <w:rPr>
          <w:lang w:val="es-ES"/>
        </w:rPr>
      </w:pPr>
      <w:r w:rsidRPr="000C7163">
        <w:rPr>
          <w:lang w:val="es-ES"/>
        </w:rPr>
        <w:t>Los países cosignatarios proponen un nuevo punto del orden del día de la Conferencia Mundial de Radiocomunicaciones de 2027 relativo a la posible revisión de la atribución al servicio fijo por satélite (SFS) en la banda de frecuencias 51,4-52</w:t>
      </w:r>
      <w:r>
        <w:rPr>
          <w:lang w:val="es-ES"/>
        </w:rPr>
        <w:t>,</w:t>
      </w:r>
      <w:r w:rsidRPr="000C7163">
        <w:rPr>
          <w:lang w:val="es-ES"/>
        </w:rPr>
        <w:t>4 GHz (</w:t>
      </w:r>
      <w:r>
        <w:rPr>
          <w:lang w:val="es-ES"/>
        </w:rPr>
        <w:t xml:space="preserve">Tierra-espacio) para permitir su utilización por sistemas no OSG del SFS y las estaciones terrenas de pasarela asociadas a título primario. </w:t>
      </w:r>
      <w:r w:rsidRPr="000C7163">
        <w:rPr>
          <w:lang w:val="es-ES"/>
        </w:rPr>
        <w:t>Se propone considerar la posibilidad de atribuir esta banda para su utilización por sistemas no OSG del SFS.</w:t>
      </w:r>
    </w:p>
    <w:p w14:paraId="4580A139" w14:textId="468CB560" w:rsidR="00D540B6" w:rsidRDefault="00D540B6" w:rsidP="00D540B6">
      <w:pPr>
        <w:pStyle w:val="Headingb"/>
        <w:rPr>
          <w:lang w:val="es-ES"/>
        </w:rPr>
      </w:pPr>
      <w:r>
        <w:rPr>
          <w:lang w:val="es-ES"/>
        </w:rPr>
        <w:t>Propuestas</w:t>
      </w:r>
    </w:p>
    <w:p w14:paraId="03BE7500" w14:textId="77777777" w:rsidR="00D540B6" w:rsidRPr="00D540B6" w:rsidRDefault="00D540B6" w:rsidP="00D540B6">
      <w:pPr>
        <w:rPr>
          <w:lang w:val="es-ES"/>
        </w:rPr>
      </w:pPr>
    </w:p>
    <w:p w14:paraId="5097CF88" w14:textId="77777777" w:rsidR="008750A8" w:rsidRPr="000C716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C7163">
        <w:rPr>
          <w:lang w:val="es-ES"/>
        </w:rPr>
        <w:br w:type="page"/>
      </w:r>
    </w:p>
    <w:p w14:paraId="6B017177" w14:textId="77777777" w:rsidR="00046365" w:rsidRDefault="0096441B">
      <w:pPr>
        <w:pStyle w:val="Proposal"/>
      </w:pPr>
      <w:r>
        <w:lastRenderedPageBreak/>
        <w:t>ADD</w:t>
      </w:r>
      <w:r>
        <w:tab/>
        <w:t>ARB/100A27A4/1</w:t>
      </w:r>
    </w:p>
    <w:p w14:paraId="316AD300" w14:textId="16B94AAD" w:rsidR="00046365" w:rsidRDefault="0096441B">
      <w:pPr>
        <w:pStyle w:val="ResNo"/>
      </w:pPr>
      <w:r>
        <w:t>Proyecto de nueva Resolución [ARB-</w:t>
      </w:r>
      <w:r w:rsidR="000C7163" w:rsidRPr="000C7163">
        <w:rPr>
          <w:rFonts w:eastAsia="Batang"/>
        </w:rPr>
        <w:t xml:space="preserve"> </w:t>
      </w:r>
      <w:r w:rsidR="000C7163" w:rsidRPr="00041F37">
        <w:rPr>
          <w:rFonts w:eastAsia="Batang"/>
        </w:rPr>
        <w:t xml:space="preserve">AI 10 </w:t>
      </w:r>
      <w:r w:rsidR="000C7163" w:rsidRPr="00041F37">
        <w:t>non-GSO in 51.4</w:t>
      </w:r>
      <w:r w:rsidR="00691461">
        <w:noBreakHyphen/>
      </w:r>
      <w:r w:rsidR="000C7163" w:rsidRPr="00041F37">
        <w:t>52.4</w:t>
      </w:r>
      <w:r w:rsidR="00691461">
        <w:t> </w:t>
      </w:r>
      <w:r w:rsidR="000C7163" w:rsidRPr="00041F37">
        <w:t>GHz</w:t>
      </w:r>
      <w:r>
        <w:t>]</w:t>
      </w:r>
      <w:r w:rsidR="000C7163">
        <w:t xml:space="preserve"> (CMR-23)</w:t>
      </w:r>
    </w:p>
    <w:p w14:paraId="6A2D68B6" w14:textId="6B883997" w:rsidR="00046365" w:rsidRDefault="000C7163" w:rsidP="00D540B6">
      <w:pPr>
        <w:pStyle w:val="Restitle"/>
      </w:pPr>
      <w:r>
        <w:t xml:space="preserve">Estudios sobre la posible revisión de la atribución al servicio fijo por satélite en la banda de frecuencias 51,4-52,4 </w:t>
      </w:r>
      <w:r w:rsidRPr="00D540B6">
        <w:t>GHz</w:t>
      </w:r>
      <w:r>
        <w:t xml:space="preserve"> (Tierra-espacio) para permitir su utilización por sistemas no OSG del servicio fijo por satélite y las estaciones terrenas de pasarela asociadas a título primario</w:t>
      </w:r>
    </w:p>
    <w:p w14:paraId="376A1258" w14:textId="44475114" w:rsidR="000C7163" w:rsidRPr="000C7163" w:rsidRDefault="000C7163" w:rsidP="000C7163">
      <w:pPr>
        <w:pStyle w:val="Normalaftertitle"/>
        <w:rPr>
          <w:lang w:val="es-ES"/>
        </w:rPr>
      </w:pPr>
      <w:r w:rsidRPr="000C7163">
        <w:rPr>
          <w:lang w:val="es-ES"/>
        </w:rPr>
        <w:t>La Conferencia Mundial de Radiocomunicacio</w:t>
      </w:r>
      <w:r>
        <w:rPr>
          <w:lang w:val="es-ES"/>
        </w:rPr>
        <w:t>nes (Dubái</w:t>
      </w:r>
      <w:r w:rsidRPr="000C7163">
        <w:rPr>
          <w:lang w:val="es-ES"/>
        </w:rPr>
        <w:t>,</w:t>
      </w:r>
      <w:r w:rsidRPr="000C7163">
        <w:rPr>
          <w:spacing w:val="-1"/>
          <w:lang w:val="es-ES"/>
        </w:rPr>
        <w:t xml:space="preserve"> </w:t>
      </w:r>
      <w:r w:rsidRPr="000C7163">
        <w:rPr>
          <w:lang w:val="es-ES"/>
        </w:rPr>
        <w:t>2023),</w:t>
      </w:r>
    </w:p>
    <w:p w14:paraId="7B4E96A7" w14:textId="11B7088F" w:rsidR="000C7163" w:rsidRPr="00D540B6" w:rsidRDefault="000C7163" w:rsidP="000C7163">
      <w:pPr>
        <w:pStyle w:val="Call"/>
        <w:rPr>
          <w:lang w:val="es-ES"/>
        </w:rPr>
      </w:pPr>
      <w:r w:rsidRPr="00D540B6">
        <w:rPr>
          <w:lang w:val="es-ES"/>
        </w:rPr>
        <w:t>considerando</w:t>
      </w:r>
    </w:p>
    <w:p w14:paraId="10F678F6" w14:textId="1E6FDE08" w:rsidR="000C7163" w:rsidRPr="000C7163" w:rsidRDefault="000C7163" w:rsidP="000C7163">
      <w:pPr>
        <w:rPr>
          <w:lang w:val="es-ES"/>
        </w:rPr>
      </w:pPr>
      <w:r w:rsidRPr="000C7163">
        <w:rPr>
          <w:i/>
          <w:iCs/>
          <w:lang w:val="es-ES"/>
        </w:rPr>
        <w:t>a)</w:t>
      </w:r>
      <w:r w:rsidRPr="000C7163">
        <w:rPr>
          <w:lang w:val="es-ES"/>
        </w:rPr>
        <w:tab/>
        <w:t xml:space="preserve">que se emplean cada vez más sistemas de satélites para la prestación de servicios de banda ancha y que pueden facilitar el acceso a la </w:t>
      </w:r>
      <w:r>
        <w:rPr>
          <w:lang w:val="es-ES"/>
        </w:rPr>
        <w:t>banda ancha</w:t>
      </w:r>
      <w:r w:rsidRPr="000C7163">
        <w:rPr>
          <w:lang w:val="es-ES"/>
        </w:rPr>
        <w:t>;</w:t>
      </w:r>
    </w:p>
    <w:p w14:paraId="5A8B253F" w14:textId="191A2012" w:rsidR="000C7163" w:rsidRPr="000C7163" w:rsidRDefault="000C7163" w:rsidP="000C7163">
      <w:pPr>
        <w:rPr>
          <w:lang w:val="es-ES"/>
        </w:rPr>
      </w:pPr>
      <w:r w:rsidRPr="000C7163">
        <w:rPr>
          <w:i/>
          <w:iCs/>
          <w:lang w:val="es-ES"/>
        </w:rPr>
        <w:t>b)</w:t>
      </w:r>
      <w:r w:rsidRPr="000C7163">
        <w:rPr>
          <w:lang w:val="es-ES"/>
        </w:rPr>
        <w:tab/>
        <w:t xml:space="preserve">que las tecnologías del servicio fijo por satélite (SFS) de la próxima generación para banda </w:t>
      </w:r>
      <w:r>
        <w:rPr>
          <w:lang w:val="es-ES"/>
        </w:rPr>
        <w:t>ancha aumentarán la velocidad, previéndose velocidades más altas en un futuro próximo</w:t>
      </w:r>
      <w:r w:rsidRPr="000C7163">
        <w:rPr>
          <w:lang w:val="es-ES"/>
        </w:rPr>
        <w:t>;</w:t>
      </w:r>
    </w:p>
    <w:p w14:paraId="2720BE5A" w14:textId="73400A15" w:rsidR="000C7163" w:rsidRPr="000C7163" w:rsidRDefault="000C7163" w:rsidP="000C7163">
      <w:pPr>
        <w:rPr>
          <w:lang w:val="es-ES"/>
        </w:rPr>
      </w:pPr>
      <w:r w:rsidRPr="000C7163">
        <w:rPr>
          <w:i/>
          <w:iCs/>
          <w:lang w:val="es-ES"/>
        </w:rPr>
        <w:t>c)</w:t>
      </w:r>
      <w:r w:rsidRPr="000C7163">
        <w:rPr>
          <w:lang w:val="es-ES"/>
        </w:rPr>
        <w:tab/>
        <w:t>que adelantos tecnológicos tales como los avances de las tecnologías de haces puntuales y la reutilización de frecuencias son em</w:t>
      </w:r>
      <w:r>
        <w:rPr>
          <w:lang w:val="es-ES"/>
        </w:rPr>
        <w:t>pleados por el SFS por encima de</w:t>
      </w:r>
      <w:r w:rsidRPr="000C7163">
        <w:rPr>
          <w:lang w:val="es-ES"/>
        </w:rPr>
        <w:t xml:space="preserve"> 30 GHz </w:t>
      </w:r>
      <w:r>
        <w:rPr>
          <w:lang w:val="es-ES"/>
        </w:rPr>
        <w:t>a fin de aumentar la eficacia de la utilización del espectro</w:t>
      </w:r>
      <w:r w:rsidRPr="000C7163">
        <w:rPr>
          <w:lang w:val="es-ES"/>
        </w:rPr>
        <w:t>,</w:t>
      </w:r>
    </w:p>
    <w:p w14:paraId="2E333BB8" w14:textId="33793741" w:rsidR="000C7163" w:rsidRPr="00D540B6" w:rsidRDefault="000C7163" w:rsidP="000C7163">
      <w:pPr>
        <w:pStyle w:val="Call"/>
        <w:rPr>
          <w:lang w:val="es-ES"/>
        </w:rPr>
      </w:pPr>
      <w:r w:rsidRPr="00D540B6">
        <w:rPr>
          <w:lang w:val="es-ES"/>
        </w:rPr>
        <w:t>reconociendo</w:t>
      </w:r>
    </w:p>
    <w:p w14:paraId="7E86BE15" w14:textId="1DE9F844" w:rsidR="000C7163" w:rsidRPr="000C7163" w:rsidRDefault="000C7163" w:rsidP="000C7163">
      <w:pPr>
        <w:rPr>
          <w:lang w:val="es-ES"/>
        </w:rPr>
      </w:pPr>
      <w:r w:rsidRPr="000C7163">
        <w:rPr>
          <w:i/>
          <w:iCs/>
          <w:lang w:val="es-ES"/>
        </w:rPr>
        <w:t>a)</w:t>
      </w:r>
      <w:r w:rsidRPr="000C7163">
        <w:rPr>
          <w:lang w:val="es-ES"/>
        </w:rPr>
        <w:tab/>
        <w:t>la necesidad de proteger los servicios existentes al considerar bandas de frecuencias para posibles atribuciones adicionales a cualquier serv</w:t>
      </w:r>
      <w:r>
        <w:rPr>
          <w:lang w:val="es-ES"/>
        </w:rPr>
        <w:t>icio</w:t>
      </w:r>
      <w:r w:rsidRPr="000C7163">
        <w:rPr>
          <w:lang w:val="es-ES"/>
        </w:rPr>
        <w:t>;</w:t>
      </w:r>
    </w:p>
    <w:p w14:paraId="12372D55" w14:textId="7FBFB0A1" w:rsidR="000C7163" w:rsidRPr="003776D2" w:rsidRDefault="000C7163" w:rsidP="000C7163">
      <w:pPr>
        <w:rPr>
          <w:lang w:val="es-ES"/>
        </w:rPr>
      </w:pPr>
      <w:r w:rsidRPr="003776D2">
        <w:rPr>
          <w:i/>
          <w:iCs/>
          <w:lang w:val="es-ES"/>
        </w:rPr>
        <w:t>b)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 la banda de frecuencias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51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4-52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GHz</w:t>
      </w:r>
      <w:r w:rsidRPr="003776D2">
        <w:rPr>
          <w:spacing w:val="1"/>
          <w:lang w:val="es-ES"/>
        </w:rPr>
        <w:t xml:space="preserve"> </w:t>
      </w:r>
      <w:r w:rsidR="003776D2" w:rsidRPr="003776D2">
        <w:rPr>
          <w:spacing w:val="1"/>
          <w:lang w:val="es-ES"/>
        </w:rPr>
        <w:t>está atribuida a los servicios fijo y móvil, que deberán protegerse, y está disponible para ap</w:t>
      </w:r>
      <w:r w:rsidR="003776D2">
        <w:rPr>
          <w:spacing w:val="1"/>
          <w:lang w:val="es-ES"/>
        </w:rPr>
        <w:t>licaciones de alta densidad del servicio fijo, como se indica en el número</w:t>
      </w:r>
      <w:r w:rsidRPr="003776D2">
        <w:rPr>
          <w:lang w:val="es-ES"/>
        </w:rPr>
        <w:t xml:space="preserve"> </w:t>
      </w:r>
      <w:r w:rsidRPr="003776D2">
        <w:rPr>
          <w:b/>
          <w:bCs/>
          <w:lang w:val="es-ES"/>
        </w:rPr>
        <w:t>5.547</w:t>
      </w:r>
      <w:r w:rsidRPr="003776D2">
        <w:rPr>
          <w:lang w:val="es-ES"/>
        </w:rPr>
        <w:t>;</w:t>
      </w:r>
    </w:p>
    <w:p w14:paraId="69D2D989" w14:textId="407F1927" w:rsidR="000C7163" w:rsidRPr="003776D2" w:rsidRDefault="000C7163" w:rsidP="000C7163">
      <w:pPr>
        <w:rPr>
          <w:rFonts w:ascii="Calibri"/>
          <w:lang w:val="es-ES"/>
        </w:rPr>
      </w:pPr>
      <w:r w:rsidRPr="003776D2">
        <w:rPr>
          <w:i/>
          <w:iCs/>
          <w:lang w:val="es-ES"/>
        </w:rPr>
        <w:t>c)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 xml:space="preserve">que en el número </w:t>
      </w:r>
      <w:r w:rsidR="003776D2" w:rsidRPr="003776D2">
        <w:rPr>
          <w:b/>
          <w:bCs/>
          <w:lang w:val="es-ES"/>
        </w:rPr>
        <w:t xml:space="preserve">5.556 </w:t>
      </w:r>
      <w:r w:rsidR="003776D2" w:rsidRPr="003776D2">
        <w:rPr>
          <w:lang w:val="es-ES"/>
        </w:rPr>
        <w:t>se indica que en la banda de frecuencias</w:t>
      </w:r>
      <w:r w:rsidRPr="003776D2">
        <w:rPr>
          <w:lang w:val="es-ES"/>
        </w:rPr>
        <w:t xml:space="preserve"> 51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4-54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25 GHz</w:t>
      </w:r>
      <w:r w:rsidR="003776D2" w:rsidRPr="003776D2">
        <w:rPr>
          <w:lang w:val="es-ES"/>
        </w:rPr>
        <w:t xml:space="preserve"> se llevan a cabo observacio</w:t>
      </w:r>
      <w:r w:rsidR="003776D2">
        <w:rPr>
          <w:lang w:val="es-ES"/>
        </w:rPr>
        <w:t>nes radioastronómicas conformes a las disposiciones nacionales correspondientes, y que es posible que deban definirse medidas apropiadas para proteger el servicio de radioastronomía</w:t>
      </w:r>
      <w:r w:rsidRPr="003776D2">
        <w:rPr>
          <w:lang w:val="es-ES"/>
        </w:rPr>
        <w:t>;</w:t>
      </w:r>
    </w:p>
    <w:p w14:paraId="58F05DCB" w14:textId="797C3892" w:rsidR="000C7163" w:rsidRPr="003776D2" w:rsidRDefault="000C7163" w:rsidP="000C7163">
      <w:pPr>
        <w:rPr>
          <w:lang w:val="es-ES"/>
        </w:rPr>
      </w:pPr>
      <w:r w:rsidRPr="003776D2">
        <w:rPr>
          <w:i/>
          <w:iCs/>
          <w:lang w:val="es-ES"/>
        </w:rPr>
        <w:t>d)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</w:t>
      </w:r>
      <w:r w:rsidR="003776D2">
        <w:rPr>
          <w:lang w:val="es-ES"/>
        </w:rPr>
        <w:t>, como resultado de los estudios de la CMR-19,</w:t>
      </w:r>
      <w:r w:rsidR="003776D2" w:rsidRPr="003776D2">
        <w:rPr>
          <w:lang w:val="es-ES"/>
        </w:rPr>
        <w:t xml:space="preserve"> la utilización de la banda de frecuencias</w:t>
      </w:r>
      <w:r w:rsidRPr="003776D2">
        <w:rPr>
          <w:lang w:val="es-ES"/>
        </w:rPr>
        <w:t xml:space="preserve"> 51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4-52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 xml:space="preserve">4 GHz </w:t>
      </w:r>
      <w:r w:rsidR="003776D2" w:rsidRPr="003776D2">
        <w:rPr>
          <w:lang w:val="es-ES"/>
        </w:rPr>
        <w:t xml:space="preserve">por el SFS (Tierra-espacio) está limitada a redes </w:t>
      </w:r>
      <w:r w:rsidR="003776D2">
        <w:rPr>
          <w:lang w:val="es-ES"/>
        </w:rPr>
        <w:t>de</w:t>
      </w:r>
      <w:r w:rsidR="003776D2" w:rsidRPr="003776D2">
        <w:rPr>
          <w:lang w:val="es-ES"/>
        </w:rPr>
        <w:t xml:space="preserve"> satélites geoestacio</w:t>
      </w:r>
      <w:r w:rsidR="003776D2">
        <w:rPr>
          <w:lang w:val="es-ES"/>
        </w:rPr>
        <w:t>narios (OSG) y las estaciones terrenas de pasarela asociadas con un diámetro de antena mínimo de 2,4 metros, de conformidad con el número</w:t>
      </w:r>
      <w:r w:rsidRPr="003776D2">
        <w:rPr>
          <w:lang w:val="es-ES"/>
        </w:rPr>
        <w:t xml:space="preserve"> </w:t>
      </w:r>
      <w:r w:rsidRPr="003776D2">
        <w:rPr>
          <w:b/>
          <w:bCs/>
          <w:lang w:val="es-ES"/>
        </w:rPr>
        <w:t>5.555C</w:t>
      </w:r>
      <w:r w:rsidRPr="003776D2">
        <w:rPr>
          <w:lang w:val="es-ES"/>
        </w:rPr>
        <w:t>;</w:t>
      </w:r>
    </w:p>
    <w:p w14:paraId="184B2CB6" w14:textId="33FA3257" w:rsidR="000C7163" w:rsidRPr="003776D2" w:rsidRDefault="000C7163" w:rsidP="000C7163">
      <w:pPr>
        <w:rPr>
          <w:rFonts w:ascii="Calibri"/>
          <w:lang w:val="es-ES"/>
        </w:rPr>
      </w:pPr>
      <w:r w:rsidRPr="003776D2">
        <w:rPr>
          <w:i/>
          <w:iCs/>
          <w:lang w:val="es-ES"/>
        </w:rPr>
        <w:t>e)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que, como se indica en el número</w:t>
      </w:r>
      <w:r w:rsidR="003776D2">
        <w:rPr>
          <w:lang w:val="es-ES"/>
        </w:rPr>
        <w:t xml:space="preserve"> </w:t>
      </w:r>
      <w:r w:rsidR="003776D2">
        <w:rPr>
          <w:b/>
          <w:bCs/>
          <w:lang w:val="es-ES"/>
        </w:rPr>
        <w:t>5.338A</w:t>
      </w:r>
      <w:r w:rsidR="003776D2">
        <w:rPr>
          <w:lang w:val="es-ES"/>
        </w:rPr>
        <w:t>,</w:t>
      </w:r>
      <w:r w:rsidR="003776D2">
        <w:rPr>
          <w:b/>
          <w:bCs/>
          <w:lang w:val="es-ES"/>
        </w:rPr>
        <w:t xml:space="preserve"> </w:t>
      </w:r>
      <w:r w:rsidR="003776D2">
        <w:rPr>
          <w:lang w:val="es-ES"/>
        </w:rPr>
        <w:t>en la banda de frecuencias</w:t>
      </w:r>
      <w:r w:rsidRPr="003776D2">
        <w:rPr>
          <w:lang w:val="es-ES"/>
        </w:rPr>
        <w:t xml:space="preserve"> 51</w:t>
      </w:r>
      <w:r w:rsidR="003776D2">
        <w:rPr>
          <w:lang w:val="es-ES"/>
        </w:rPr>
        <w:t>,</w:t>
      </w:r>
      <w:r w:rsidRPr="003776D2">
        <w:rPr>
          <w:lang w:val="es-ES"/>
        </w:rPr>
        <w:t>4-52</w:t>
      </w:r>
      <w:r w:rsidR="003776D2">
        <w:rPr>
          <w:lang w:val="es-ES"/>
        </w:rPr>
        <w:t>,</w:t>
      </w:r>
      <w:r w:rsidRPr="003776D2">
        <w:rPr>
          <w:lang w:val="es-ES"/>
        </w:rPr>
        <w:t>4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GHz</w:t>
      </w:r>
      <w:r w:rsidR="003776D2">
        <w:rPr>
          <w:lang w:val="es-ES"/>
        </w:rPr>
        <w:t xml:space="preserve"> es</w:t>
      </w:r>
      <w:r w:rsidR="00D96F44">
        <w:rPr>
          <w:lang w:val="es-ES"/>
        </w:rPr>
        <w:t xml:space="preserve"> </w:t>
      </w:r>
      <w:r w:rsidR="003776D2">
        <w:rPr>
          <w:lang w:val="es-ES"/>
        </w:rPr>
        <w:t>de aplicación la Resolución</w:t>
      </w:r>
      <w:r w:rsidRPr="003776D2">
        <w:rPr>
          <w:spacing w:val="-1"/>
          <w:lang w:val="es-ES"/>
        </w:rPr>
        <w:t xml:space="preserve"> </w:t>
      </w:r>
      <w:r w:rsidRPr="003776D2">
        <w:rPr>
          <w:b/>
          <w:bCs/>
          <w:lang w:val="es-ES"/>
        </w:rPr>
        <w:t>750</w:t>
      </w:r>
      <w:r w:rsidRPr="003776D2">
        <w:rPr>
          <w:b/>
          <w:bCs/>
          <w:spacing w:val="-1"/>
          <w:lang w:val="es-ES"/>
        </w:rPr>
        <w:t xml:space="preserve"> </w:t>
      </w:r>
      <w:r w:rsidRPr="003776D2">
        <w:rPr>
          <w:b/>
          <w:bCs/>
          <w:lang w:val="es-ES"/>
        </w:rPr>
        <w:t>(Rev.C</w:t>
      </w:r>
      <w:r w:rsidR="003776D2">
        <w:rPr>
          <w:b/>
          <w:bCs/>
          <w:lang w:val="es-ES"/>
        </w:rPr>
        <w:t>MR</w:t>
      </w:r>
      <w:r w:rsidRPr="003776D2">
        <w:rPr>
          <w:b/>
          <w:bCs/>
          <w:lang w:val="es-ES"/>
        </w:rPr>
        <w:t>-19)</w:t>
      </w:r>
      <w:r w:rsidRPr="003776D2">
        <w:rPr>
          <w:lang w:val="es-ES"/>
        </w:rPr>
        <w:t>;</w:t>
      </w:r>
    </w:p>
    <w:p w14:paraId="16FEEE2E" w14:textId="10121864" w:rsidR="000C7163" w:rsidRPr="003776D2" w:rsidRDefault="000C7163" w:rsidP="000C7163">
      <w:pPr>
        <w:rPr>
          <w:lang w:val="es-ES"/>
        </w:rPr>
      </w:pPr>
      <w:r w:rsidRPr="003776D2">
        <w:rPr>
          <w:i/>
          <w:iCs/>
          <w:lang w:val="es-ES"/>
        </w:rPr>
        <w:t>f)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 en el Informe UIT</w:t>
      </w:r>
      <w:r w:rsidRPr="003776D2">
        <w:rPr>
          <w:lang w:val="es-ES"/>
        </w:rPr>
        <w:t xml:space="preserve">-R S.2461 </w:t>
      </w:r>
      <w:r w:rsidR="003776D2" w:rsidRPr="003776D2">
        <w:rPr>
          <w:lang w:val="es-ES"/>
        </w:rPr>
        <w:t xml:space="preserve">se identifican las necesidades de espectro </w:t>
      </w:r>
      <w:r w:rsidR="003776D2">
        <w:rPr>
          <w:lang w:val="es-ES"/>
        </w:rPr>
        <w:t xml:space="preserve">adicional </w:t>
      </w:r>
      <w:r w:rsidR="003776D2" w:rsidRPr="003776D2">
        <w:rPr>
          <w:lang w:val="es-ES"/>
        </w:rPr>
        <w:t>en la banda de frecuencias</w:t>
      </w:r>
      <w:r w:rsidRPr="003776D2">
        <w:rPr>
          <w:lang w:val="es-ES"/>
        </w:rPr>
        <w:t xml:space="preserve"> 51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4-52</w:t>
      </w:r>
      <w:r w:rsidR="003776D2">
        <w:rPr>
          <w:lang w:val="es-ES"/>
        </w:rPr>
        <w:t>,</w:t>
      </w:r>
      <w:r w:rsidRPr="003776D2">
        <w:rPr>
          <w:lang w:val="es-ES"/>
        </w:rPr>
        <w:t xml:space="preserve">4 GHz </w:t>
      </w:r>
      <w:r w:rsidR="003776D2">
        <w:rPr>
          <w:lang w:val="es-ES"/>
        </w:rPr>
        <w:t>para redes OSG y sistemas no OSG del SFS (Tierra</w:t>
      </w:r>
      <w:r w:rsidR="00691461">
        <w:rPr>
          <w:lang w:val="es-ES"/>
        </w:rPr>
        <w:noBreakHyphen/>
      </w:r>
      <w:r w:rsidR="003776D2">
        <w:rPr>
          <w:lang w:val="es-ES"/>
        </w:rPr>
        <w:t>espacio)</w:t>
      </w:r>
      <w:r w:rsidRPr="003776D2">
        <w:rPr>
          <w:lang w:val="es-ES"/>
        </w:rPr>
        <w:t>;</w:t>
      </w:r>
    </w:p>
    <w:p w14:paraId="4D0406B2" w14:textId="175E5EFA" w:rsidR="000C7163" w:rsidRPr="003776D2" w:rsidRDefault="000C7163" w:rsidP="000C7163">
      <w:pPr>
        <w:rPr>
          <w:lang w:val="es-ES"/>
        </w:rPr>
      </w:pPr>
      <w:r w:rsidRPr="003776D2">
        <w:rPr>
          <w:i/>
          <w:iCs/>
          <w:lang w:val="es-ES"/>
        </w:rPr>
        <w:t>g)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 en el Informe UIT</w:t>
      </w:r>
      <w:r w:rsidRPr="003776D2">
        <w:rPr>
          <w:lang w:val="es-ES"/>
        </w:rPr>
        <w:t>-R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S.2462</w:t>
      </w:r>
      <w:r w:rsidRPr="003776D2">
        <w:rPr>
          <w:spacing w:val="-2"/>
          <w:lang w:val="es-ES"/>
        </w:rPr>
        <w:t xml:space="preserve"> </w:t>
      </w:r>
      <w:r w:rsidR="003776D2" w:rsidRPr="003776D2">
        <w:rPr>
          <w:spacing w:val="-2"/>
          <w:lang w:val="es-ES"/>
        </w:rPr>
        <w:t>se presentan los estudios de compartición y compatibil</w:t>
      </w:r>
      <w:r w:rsidR="003776D2">
        <w:rPr>
          <w:spacing w:val="-2"/>
          <w:lang w:val="es-ES"/>
        </w:rPr>
        <w:t>idad entre redes OSG del SFS y sistemas no OSG del SFS en la gama</w:t>
      </w:r>
      <w:r w:rsidR="003776D2">
        <w:rPr>
          <w:lang w:val="es-ES"/>
        </w:rPr>
        <w:t xml:space="preserve"> de frecuencias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50/40 GHz;</w:t>
      </w:r>
    </w:p>
    <w:p w14:paraId="2E81A60B" w14:textId="1F6F96F7" w:rsidR="000C7163" w:rsidRPr="003776D2" w:rsidRDefault="000C7163" w:rsidP="000C7163">
      <w:pPr>
        <w:rPr>
          <w:lang w:val="es-ES"/>
        </w:rPr>
      </w:pPr>
      <w:r w:rsidRPr="003776D2">
        <w:rPr>
          <w:i/>
          <w:iCs/>
          <w:lang w:val="es-ES"/>
        </w:rPr>
        <w:t>h)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que sigue necesitándose espectro de enlace ascendente adicional en la gama de</w:t>
      </w:r>
      <w:r w:rsidR="003776D2">
        <w:rPr>
          <w:lang w:val="es-ES"/>
        </w:rPr>
        <w:t xml:space="preserve"> frecuencias de</w:t>
      </w:r>
      <w:r w:rsidRPr="003776D2">
        <w:rPr>
          <w:spacing w:val="-2"/>
          <w:lang w:val="es-ES"/>
        </w:rPr>
        <w:t xml:space="preserve"> </w:t>
      </w:r>
      <w:r w:rsidRPr="003776D2">
        <w:rPr>
          <w:lang w:val="es-ES"/>
        </w:rPr>
        <w:t>50</w:t>
      </w:r>
      <w:r w:rsidRPr="003776D2">
        <w:rPr>
          <w:spacing w:val="-1"/>
          <w:lang w:val="es-ES"/>
        </w:rPr>
        <w:t xml:space="preserve"> </w:t>
      </w:r>
      <w:r w:rsidRPr="003776D2">
        <w:rPr>
          <w:lang w:val="es-ES"/>
        </w:rPr>
        <w:t>GHz</w:t>
      </w:r>
      <w:r w:rsidRPr="003776D2">
        <w:rPr>
          <w:spacing w:val="1"/>
          <w:lang w:val="es-ES"/>
        </w:rPr>
        <w:t xml:space="preserve"> </w:t>
      </w:r>
      <w:r w:rsidR="003776D2">
        <w:rPr>
          <w:spacing w:val="1"/>
          <w:lang w:val="es-ES"/>
        </w:rPr>
        <w:t>para las pasarelas no OSG del SFS</w:t>
      </w:r>
      <w:r w:rsidRPr="003776D2">
        <w:rPr>
          <w:lang w:val="es-ES"/>
        </w:rPr>
        <w:t>,</w:t>
      </w:r>
    </w:p>
    <w:p w14:paraId="3ECBC37F" w14:textId="4EFA515C" w:rsidR="000C7163" w:rsidRPr="00D540B6" w:rsidRDefault="000C7163" w:rsidP="000C7163">
      <w:pPr>
        <w:pStyle w:val="Call"/>
        <w:rPr>
          <w:lang w:val="es-ES"/>
        </w:rPr>
      </w:pPr>
      <w:r w:rsidRPr="00D540B6">
        <w:rPr>
          <w:lang w:val="es-ES"/>
        </w:rPr>
        <w:lastRenderedPageBreak/>
        <w:t>res</w:t>
      </w:r>
      <w:r w:rsidR="003776D2" w:rsidRPr="00D540B6">
        <w:rPr>
          <w:lang w:val="es-ES"/>
        </w:rPr>
        <w:t>ue</w:t>
      </w:r>
      <w:r w:rsidRPr="00D540B6">
        <w:rPr>
          <w:lang w:val="es-ES"/>
        </w:rPr>
        <w:t>lve</w:t>
      </w:r>
    </w:p>
    <w:p w14:paraId="2A17AE43" w14:textId="4A7906EB" w:rsidR="000C7163" w:rsidRPr="003776D2" w:rsidRDefault="003776D2" w:rsidP="000C7163">
      <w:pPr>
        <w:rPr>
          <w:lang w:val="es-ES"/>
        </w:rPr>
      </w:pPr>
      <w:r w:rsidRPr="003776D2">
        <w:rPr>
          <w:lang w:val="es-ES"/>
        </w:rPr>
        <w:t>invitar al Sector de Radiocomunicaciones de la UIT a realizar y completar a tiempo para la</w:t>
      </w:r>
      <w:r>
        <w:rPr>
          <w:lang w:val="es-ES"/>
        </w:rPr>
        <w:t xml:space="preserve"> CMR</w:t>
      </w:r>
      <w:r w:rsidR="00AF4D6B">
        <w:rPr>
          <w:lang w:val="es-ES"/>
        </w:rPr>
        <w:noBreakHyphen/>
      </w:r>
      <w:r w:rsidR="000C7163" w:rsidRPr="003776D2">
        <w:rPr>
          <w:lang w:val="es-ES"/>
        </w:rPr>
        <w:t>27:</w:t>
      </w:r>
    </w:p>
    <w:p w14:paraId="698512FC" w14:textId="10BDF4FA" w:rsidR="000C7163" w:rsidRPr="003776D2" w:rsidRDefault="000C7163" w:rsidP="000C7163">
      <w:pPr>
        <w:rPr>
          <w:lang w:val="es-ES"/>
        </w:rPr>
      </w:pPr>
      <w:r w:rsidRPr="003776D2">
        <w:rPr>
          <w:lang w:val="es-ES"/>
        </w:rPr>
        <w:t>1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estudios de compartición y compatibilidad con los servicios existentes de categoría primaria y secundaria, incluidas, si procede, las bandas adyacentes, para determinar la conveniencia, incluso para la protección de los servicios fijo y móvil, de otorgar una atribución al SFS en la banda de frecuencias</w:t>
      </w:r>
      <w:r w:rsidRPr="003776D2">
        <w:rPr>
          <w:lang w:val="es-ES"/>
        </w:rPr>
        <w:t xml:space="preserve"> 51</w:t>
      </w:r>
      <w:r w:rsidR="003776D2" w:rsidRPr="003776D2">
        <w:rPr>
          <w:lang w:val="es-ES"/>
        </w:rPr>
        <w:t>,</w:t>
      </w:r>
      <w:r w:rsidRPr="003776D2">
        <w:rPr>
          <w:lang w:val="es-ES"/>
        </w:rPr>
        <w:t>4-52</w:t>
      </w:r>
      <w:r w:rsidR="003776D2">
        <w:rPr>
          <w:lang w:val="es-ES"/>
        </w:rPr>
        <w:t>,</w:t>
      </w:r>
      <w:r w:rsidRPr="003776D2">
        <w:rPr>
          <w:lang w:val="es-ES"/>
        </w:rPr>
        <w:t>4 GHz (</w:t>
      </w:r>
      <w:r w:rsidR="003776D2">
        <w:rPr>
          <w:lang w:val="es-ES"/>
        </w:rPr>
        <w:t>Tierra-espacio) para permitir su utilización por sistemas no OSG del SFS y las estaciones terrenas de pasarela asociadas a título primario, así como las eventuales medidas reglamentarias conexas</w:t>
      </w:r>
      <w:r w:rsidRPr="003776D2">
        <w:rPr>
          <w:lang w:val="es-ES"/>
        </w:rPr>
        <w:t>;</w:t>
      </w:r>
    </w:p>
    <w:p w14:paraId="313634CD" w14:textId="3BC58F03" w:rsidR="000C7163" w:rsidRPr="003776D2" w:rsidRDefault="000C7163" w:rsidP="000C7163">
      <w:pPr>
        <w:rPr>
          <w:lang w:val="es-ES"/>
        </w:rPr>
      </w:pPr>
      <w:r w:rsidRPr="003776D2">
        <w:rPr>
          <w:lang w:val="es-ES"/>
        </w:rPr>
        <w:t>2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estudios de compatibilidad en relación con la protección de los sistemas que utilizan la banda de frecuencia</w:t>
      </w:r>
      <w:r w:rsidR="003776D2">
        <w:rPr>
          <w:lang w:val="es-ES"/>
        </w:rPr>
        <w:t>s</w:t>
      </w:r>
      <w:r w:rsidRPr="003776D2">
        <w:rPr>
          <w:lang w:val="es-ES"/>
        </w:rPr>
        <w:t xml:space="preserve"> 52</w:t>
      </w:r>
      <w:r w:rsidR="003776D2">
        <w:rPr>
          <w:lang w:val="es-ES"/>
        </w:rPr>
        <w:t>,</w:t>
      </w:r>
      <w:r w:rsidRPr="003776D2">
        <w:rPr>
          <w:lang w:val="es-ES"/>
        </w:rPr>
        <w:t>6-54</w:t>
      </w:r>
      <w:r w:rsidR="003776D2">
        <w:rPr>
          <w:lang w:val="es-ES"/>
        </w:rPr>
        <w:t>,</w:t>
      </w:r>
      <w:r w:rsidRPr="003776D2">
        <w:rPr>
          <w:lang w:val="es-ES"/>
        </w:rPr>
        <w:t xml:space="preserve">25 GHz </w:t>
      </w:r>
      <w:r w:rsidR="003776D2">
        <w:rPr>
          <w:lang w:val="es-ES"/>
        </w:rPr>
        <w:t>pasiva contra las emisiones de las estaciones terrenas de pasarela asociadas del SFS no OSG</w:t>
      </w:r>
      <w:r w:rsidRPr="003776D2">
        <w:rPr>
          <w:lang w:val="es-ES"/>
        </w:rPr>
        <w:t>;</w:t>
      </w:r>
    </w:p>
    <w:p w14:paraId="07945B7E" w14:textId="3D7B65A0" w:rsidR="000C7163" w:rsidRPr="003776D2" w:rsidRDefault="000C7163" w:rsidP="000C7163">
      <w:pPr>
        <w:rPr>
          <w:lang w:val="es-ES"/>
        </w:rPr>
      </w:pPr>
      <w:r w:rsidRPr="003776D2">
        <w:rPr>
          <w:lang w:val="es-ES"/>
        </w:rPr>
        <w:t>3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estudios sobre la protección de la radioastronomía, como se indica en el</w:t>
      </w:r>
      <w:r w:rsidR="003776D2">
        <w:rPr>
          <w:lang w:val="es-ES"/>
        </w:rPr>
        <w:t xml:space="preserve"> </w:t>
      </w:r>
      <w:r w:rsidR="003776D2">
        <w:rPr>
          <w:i/>
          <w:iCs/>
          <w:lang w:val="es-ES"/>
        </w:rPr>
        <w:t>reconociendo</w:t>
      </w:r>
      <w:r w:rsidRPr="003776D2">
        <w:rPr>
          <w:i/>
          <w:spacing w:val="-2"/>
          <w:lang w:val="es-ES"/>
        </w:rPr>
        <w:t xml:space="preserve"> </w:t>
      </w:r>
      <w:r w:rsidRPr="003776D2">
        <w:rPr>
          <w:i/>
          <w:lang w:val="es-ES"/>
        </w:rPr>
        <w:t>c)</w:t>
      </w:r>
      <w:r w:rsidRPr="003776D2">
        <w:rPr>
          <w:lang w:val="es-ES"/>
        </w:rPr>
        <w:t>,</w:t>
      </w:r>
      <w:r w:rsidR="003776D2">
        <w:rPr>
          <w:lang w:val="es-ES"/>
        </w:rPr>
        <w:t xml:space="preserve"> incluidas, si procede, medidas reglamentarias</w:t>
      </w:r>
      <w:r w:rsidRPr="003776D2">
        <w:rPr>
          <w:lang w:val="es-ES"/>
        </w:rPr>
        <w:t>;</w:t>
      </w:r>
    </w:p>
    <w:p w14:paraId="61869B08" w14:textId="64EDD810" w:rsidR="000C7163" w:rsidRPr="003776D2" w:rsidRDefault="000C7163" w:rsidP="000C7163">
      <w:pPr>
        <w:rPr>
          <w:lang w:val="es-ES"/>
        </w:rPr>
      </w:pPr>
      <w:r w:rsidRPr="003776D2">
        <w:rPr>
          <w:lang w:val="es-ES"/>
        </w:rPr>
        <w:t>4</w:t>
      </w:r>
      <w:r w:rsidRPr="003776D2">
        <w:rPr>
          <w:lang w:val="es-ES"/>
        </w:rPr>
        <w:tab/>
      </w:r>
      <w:r w:rsidR="003776D2" w:rsidRPr="003776D2">
        <w:rPr>
          <w:lang w:val="es-ES"/>
        </w:rPr>
        <w:t>estudios sobre la protección de las redes OSG del SFS y sus estaciones terrenas asociadas contra las emisio</w:t>
      </w:r>
      <w:r w:rsidR="003776D2">
        <w:rPr>
          <w:lang w:val="es-ES"/>
        </w:rPr>
        <w:t>nes de los sistemas no OSG del SFS</w:t>
      </w:r>
      <w:r w:rsidRPr="003776D2">
        <w:rPr>
          <w:lang w:val="es-ES"/>
        </w:rPr>
        <w:t>,</w:t>
      </w:r>
    </w:p>
    <w:p w14:paraId="03F66CD5" w14:textId="2063724A" w:rsidR="000C7163" w:rsidRPr="00D540B6" w:rsidRDefault="003776D2" w:rsidP="000C7163">
      <w:pPr>
        <w:pStyle w:val="Call"/>
        <w:rPr>
          <w:lang w:val="es-ES"/>
        </w:rPr>
      </w:pPr>
      <w:r w:rsidRPr="00D540B6">
        <w:rPr>
          <w:lang w:val="es-ES"/>
        </w:rPr>
        <w:t>resuelve además</w:t>
      </w:r>
    </w:p>
    <w:p w14:paraId="1FB9E293" w14:textId="2F326D5C" w:rsidR="000C7163" w:rsidRPr="00AE2819" w:rsidRDefault="00AE2819" w:rsidP="000C7163">
      <w:pPr>
        <w:rPr>
          <w:lang w:val="es-ES"/>
        </w:rPr>
      </w:pPr>
      <w:r w:rsidRPr="00AE2819">
        <w:rPr>
          <w:lang w:val="es-ES"/>
        </w:rPr>
        <w:t>invitar a la CMR-27 a considerar los resultados de los estudios indicados más arriba y a tomar las medidas pe</w:t>
      </w:r>
      <w:r>
        <w:rPr>
          <w:lang w:val="es-ES"/>
        </w:rPr>
        <w:t>rtinentes</w:t>
      </w:r>
      <w:r w:rsidR="000C7163" w:rsidRPr="00AE2819">
        <w:rPr>
          <w:lang w:val="es-ES"/>
        </w:rPr>
        <w:t>,</w:t>
      </w:r>
    </w:p>
    <w:p w14:paraId="3935E7E9" w14:textId="42D69E67" w:rsidR="000C7163" w:rsidRPr="00D540B6" w:rsidRDefault="000C7163" w:rsidP="000C7163">
      <w:pPr>
        <w:pStyle w:val="Call"/>
        <w:rPr>
          <w:lang w:val="es-ES"/>
        </w:rPr>
      </w:pPr>
      <w:r w:rsidRPr="00D540B6">
        <w:rPr>
          <w:lang w:val="es-ES"/>
        </w:rPr>
        <w:t>invit</w:t>
      </w:r>
      <w:r w:rsidR="00AE2819" w:rsidRPr="00D540B6">
        <w:rPr>
          <w:lang w:val="es-ES"/>
        </w:rPr>
        <w:t>a a las administraciones</w:t>
      </w:r>
    </w:p>
    <w:p w14:paraId="640EAC8F" w14:textId="6587E2FD" w:rsidR="000C7163" w:rsidRPr="00AE2819" w:rsidRDefault="00AE2819" w:rsidP="000C7163">
      <w:pPr>
        <w:rPr>
          <w:lang w:val="es-ES"/>
        </w:rPr>
      </w:pPr>
      <w:r w:rsidRPr="00AE2819">
        <w:rPr>
          <w:lang w:val="es-ES"/>
        </w:rPr>
        <w:t>a participar activamente en dichos estudios presentando contribuciones al UIT</w:t>
      </w:r>
      <w:r w:rsidR="000C7163" w:rsidRPr="00AE2819">
        <w:rPr>
          <w:lang w:val="es-ES"/>
        </w:rPr>
        <w:t>-R.</w:t>
      </w:r>
    </w:p>
    <w:p w14:paraId="21FEDEC4" w14:textId="77777777" w:rsidR="000C7163" w:rsidRPr="00AE2819" w:rsidRDefault="000C7163" w:rsidP="000C7163">
      <w:pPr>
        <w:pStyle w:val="Reasons"/>
        <w:rPr>
          <w:lang w:val="es-ES"/>
        </w:rPr>
      </w:pPr>
    </w:p>
    <w:p w14:paraId="49B4BF7F" w14:textId="77777777" w:rsidR="000C7163" w:rsidRPr="00AE2819" w:rsidRDefault="000C7163" w:rsidP="000C71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E2819">
        <w:rPr>
          <w:lang w:val="es-ES"/>
        </w:rPr>
        <w:br w:type="page"/>
      </w:r>
    </w:p>
    <w:p w14:paraId="3623511D" w14:textId="00714E8C" w:rsidR="000C7163" w:rsidRPr="00D540B6" w:rsidRDefault="000C7163" w:rsidP="000C7163">
      <w:pPr>
        <w:pStyle w:val="AnnexNo"/>
        <w:rPr>
          <w:lang w:val="es-ES"/>
        </w:rPr>
      </w:pPr>
      <w:r w:rsidRPr="00D540B6">
        <w:rPr>
          <w:lang w:val="es-ES"/>
        </w:rPr>
        <w:lastRenderedPageBreak/>
        <w:t>A</w:t>
      </w:r>
      <w:r w:rsidR="00AE2819" w:rsidRPr="00D540B6">
        <w:rPr>
          <w:lang w:val="es-ES"/>
        </w:rPr>
        <w:t>djunto</w:t>
      </w:r>
    </w:p>
    <w:p w14:paraId="03EBA78C" w14:textId="682EA9CA" w:rsidR="000C7163" w:rsidRPr="00AE2819" w:rsidRDefault="000C7163" w:rsidP="000C7163">
      <w:pPr>
        <w:pStyle w:val="Annextitle"/>
        <w:rPr>
          <w:lang w:val="es-ES"/>
        </w:rPr>
      </w:pPr>
      <w:r w:rsidRPr="00AE2819">
        <w:rPr>
          <w:lang w:val="es-ES"/>
        </w:rPr>
        <w:t>Prop</w:t>
      </w:r>
      <w:r w:rsidR="00AE2819" w:rsidRPr="00AE2819">
        <w:rPr>
          <w:lang w:val="es-ES"/>
        </w:rPr>
        <w:t>uesta de punto del orden del día adicional sobre la utilización de la banda de frecuencias</w:t>
      </w:r>
      <w:r w:rsidRPr="00AE2819">
        <w:rPr>
          <w:lang w:val="es-ES"/>
        </w:rPr>
        <w:t xml:space="preserve"> 51</w:t>
      </w:r>
      <w:r w:rsidR="00AE2819" w:rsidRPr="00AE2819">
        <w:rPr>
          <w:lang w:val="es-ES"/>
        </w:rPr>
        <w:t>,</w:t>
      </w:r>
      <w:r w:rsidRPr="00AE2819">
        <w:rPr>
          <w:lang w:val="es-ES"/>
        </w:rPr>
        <w:t>4-52</w:t>
      </w:r>
      <w:r w:rsidR="00AE2819" w:rsidRPr="00AE2819">
        <w:rPr>
          <w:lang w:val="es-ES"/>
        </w:rPr>
        <w:t>,</w:t>
      </w:r>
      <w:r w:rsidRPr="00AE2819">
        <w:rPr>
          <w:lang w:val="es-ES"/>
        </w:rPr>
        <w:t xml:space="preserve">4 GHz </w:t>
      </w:r>
      <w:r w:rsidR="00AE2819" w:rsidRPr="00AE2819">
        <w:rPr>
          <w:lang w:val="es-ES"/>
        </w:rPr>
        <w:t>por estaciones terrenas de p</w:t>
      </w:r>
      <w:r w:rsidR="00AE2819">
        <w:rPr>
          <w:lang w:val="es-ES"/>
        </w:rPr>
        <w:t>asarela que comunican con sistemas de satélites no geoestacionarios del SFS (Tierra-espacio</w:t>
      </w:r>
      <w:r w:rsidRPr="00AE2819">
        <w:rPr>
          <w:lang w:val="es-ES"/>
        </w:rPr>
        <w:t>)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0C7163" w:rsidRPr="00AE2819" w14:paraId="1B19A555" w14:textId="77777777" w:rsidTr="00160976">
        <w:trPr>
          <w:cantSplit/>
        </w:trPr>
        <w:tc>
          <w:tcPr>
            <w:tcW w:w="9723" w:type="dxa"/>
            <w:gridSpan w:val="2"/>
            <w:hideMark/>
          </w:tcPr>
          <w:p w14:paraId="02874974" w14:textId="6FD576BD" w:rsidR="000C7163" w:rsidRPr="00CD6A37" w:rsidRDefault="00AE2819" w:rsidP="00CD6A37">
            <w:pPr>
              <w:spacing w:after="120"/>
            </w:pPr>
            <w:r w:rsidRPr="00CD6A37">
              <w:rPr>
                <w:b/>
                <w:bCs/>
              </w:rPr>
              <w:t>Asunto</w:t>
            </w:r>
            <w:r w:rsidR="000C7163" w:rsidRPr="00CD6A37">
              <w:rPr>
                <w:b/>
                <w:bCs/>
              </w:rPr>
              <w:t>:</w:t>
            </w:r>
            <w:r w:rsidR="000C7163" w:rsidRPr="00CD6A37">
              <w:t xml:space="preserve"> U</w:t>
            </w:r>
            <w:r w:rsidRPr="00CD6A37">
              <w:t>tilización de la banda de frecuencias</w:t>
            </w:r>
            <w:r w:rsidR="000C7163" w:rsidRPr="00CD6A37">
              <w:t xml:space="preserve"> 51</w:t>
            </w:r>
            <w:r w:rsidRPr="00CD6A37">
              <w:t>,</w:t>
            </w:r>
            <w:r w:rsidR="000C7163" w:rsidRPr="00CD6A37">
              <w:t>4-52</w:t>
            </w:r>
            <w:r w:rsidRPr="00CD6A37">
              <w:t>,</w:t>
            </w:r>
            <w:r w:rsidR="000C7163" w:rsidRPr="00CD6A37">
              <w:t xml:space="preserve">4 GHz </w:t>
            </w:r>
            <w:r w:rsidRPr="00CD6A37">
              <w:t>por estaciones terrenas de pasarela que comunican con sistemas de satélites no geoestacionarios del SFS (Tierra-espacio</w:t>
            </w:r>
            <w:r w:rsidR="000C7163" w:rsidRPr="00CD6A37">
              <w:t>)</w:t>
            </w:r>
          </w:p>
        </w:tc>
      </w:tr>
      <w:tr w:rsidR="000C7163" w:rsidRPr="00041F37" w14:paraId="0F4CD64D" w14:textId="77777777" w:rsidTr="00160976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E87E94" w14:textId="15091B3E" w:rsidR="000C7163" w:rsidRPr="00041F37" w:rsidRDefault="000C7163" w:rsidP="00CD6A37">
            <w:pPr>
              <w:spacing w:after="120"/>
              <w:rPr>
                <w:b/>
                <w:i/>
                <w:color w:val="000000"/>
              </w:rPr>
            </w:pPr>
            <w:r w:rsidRPr="00041F37">
              <w:rPr>
                <w:b/>
                <w:bCs/>
              </w:rPr>
              <w:t>Orig</w:t>
            </w:r>
            <w:r w:rsidR="00AE2819">
              <w:rPr>
                <w:b/>
                <w:bCs/>
              </w:rPr>
              <w:t>e</w:t>
            </w:r>
            <w:r w:rsidRPr="00041F37">
              <w:rPr>
                <w:b/>
                <w:bCs/>
              </w:rPr>
              <w:t>n:</w:t>
            </w:r>
            <w:r w:rsidRPr="00041F37">
              <w:rPr>
                <w:rFonts w:asciiTheme="majorBidi" w:hAnsiTheme="majorBidi" w:cstheme="majorBidi"/>
              </w:rPr>
              <w:t xml:space="preserve"> </w:t>
            </w:r>
            <w:r w:rsidR="00AE2819" w:rsidRPr="00CD6A37">
              <w:t>Estados</w:t>
            </w:r>
            <w:r w:rsidR="00AE2819">
              <w:rPr>
                <w:rFonts w:asciiTheme="majorBidi" w:hAnsiTheme="majorBidi" w:cstheme="majorBidi"/>
              </w:rPr>
              <w:t xml:space="preserve"> Á</w:t>
            </w:r>
            <w:r w:rsidRPr="00041F37">
              <w:rPr>
                <w:rFonts w:asciiTheme="majorBidi" w:hAnsiTheme="majorBidi" w:cstheme="majorBidi"/>
              </w:rPr>
              <w:t>rabes</w:t>
            </w:r>
          </w:p>
        </w:tc>
      </w:tr>
      <w:tr w:rsidR="000C7163" w:rsidRPr="00AE2819" w14:paraId="5CA3AF26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5F5FB" w14:textId="11BA0D89" w:rsidR="000C7163" w:rsidRPr="00D540B6" w:rsidRDefault="000C7163" w:rsidP="00CD6A37">
            <w:pPr>
              <w:keepNext/>
              <w:spacing w:after="120"/>
              <w:rPr>
                <w:b/>
                <w:i/>
                <w:color w:val="000000"/>
                <w:lang w:val="es-ES"/>
              </w:rPr>
            </w:pPr>
            <w:r w:rsidRPr="00D540B6">
              <w:rPr>
                <w:b/>
                <w:i/>
                <w:color w:val="000000"/>
                <w:lang w:val="es-ES"/>
              </w:rPr>
              <w:t>Prop</w:t>
            </w:r>
            <w:r w:rsidR="00AE2819" w:rsidRPr="00D540B6">
              <w:rPr>
                <w:b/>
                <w:i/>
                <w:color w:val="000000"/>
                <w:lang w:val="es-ES"/>
              </w:rPr>
              <w:t>uesta</w:t>
            </w:r>
            <w:r w:rsidRPr="00D540B6">
              <w:rPr>
                <w:b/>
                <w:iCs/>
                <w:color w:val="000000"/>
                <w:lang w:val="es-ES"/>
              </w:rPr>
              <w:t>:</w:t>
            </w:r>
          </w:p>
          <w:p w14:paraId="727A65E3" w14:textId="69BB9557" w:rsidR="000C7163" w:rsidRPr="00AE2819" w:rsidRDefault="00AE2819" w:rsidP="00CD6A37">
            <w:pPr>
              <w:spacing w:after="120"/>
              <w:rPr>
                <w:b/>
                <w:i/>
                <w:lang w:val="es-ES"/>
              </w:rPr>
            </w:pPr>
            <w:r w:rsidRPr="00AE2819">
              <w:rPr>
                <w:lang w:val="es-ES"/>
              </w:rPr>
              <w:t>considerar la posibilidad de revisar la atribución al SFS en la banda de frecuencias</w:t>
            </w:r>
            <w:r w:rsidR="000C7163" w:rsidRPr="00AE2819">
              <w:rPr>
                <w:lang w:val="es-ES"/>
              </w:rPr>
              <w:t xml:space="preserve"> 51</w:t>
            </w:r>
            <w:r w:rsidRPr="00AE2819">
              <w:rPr>
                <w:lang w:val="es-ES"/>
              </w:rPr>
              <w:t>,</w:t>
            </w:r>
            <w:r w:rsidR="000C7163" w:rsidRPr="00AE2819">
              <w:rPr>
                <w:lang w:val="es-ES"/>
              </w:rPr>
              <w:t>4-52</w:t>
            </w:r>
            <w:r w:rsidRPr="00AE2819">
              <w:rPr>
                <w:lang w:val="es-ES"/>
              </w:rPr>
              <w:t>,</w:t>
            </w:r>
            <w:r w:rsidR="000C7163" w:rsidRPr="00AE2819">
              <w:rPr>
                <w:lang w:val="es-ES"/>
              </w:rPr>
              <w:t>4</w:t>
            </w:r>
            <w:r w:rsidR="00AF4D6B">
              <w:rPr>
                <w:lang w:val="es-ES"/>
              </w:rPr>
              <w:t> </w:t>
            </w:r>
            <w:r w:rsidR="000C7163" w:rsidRPr="00AE2819">
              <w:rPr>
                <w:lang w:val="es-ES"/>
              </w:rPr>
              <w:t>GHz (</w:t>
            </w:r>
            <w:r w:rsidRPr="00AE2819">
              <w:rPr>
                <w:lang w:val="es-ES"/>
              </w:rPr>
              <w:t>Tierra-espacio) para permitir su utilización por si</w:t>
            </w:r>
            <w:r>
              <w:rPr>
                <w:lang w:val="es-ES"/>
              </w:rPr>
              <w:t>stemas no OSG del SFS y las estaciones terrenas de pasarela asociadas a título primario.</w:t>
            </w:r>
          </w:p>
        </w:tc>
      </w:tr>
      <w:tr w:rsidR="000C7163" w:rsidRPr="00AE2819" w14:paraId="724A3B33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31E0C" w14:textId="2CC652E7" w:rsidR="000C7163" w:rsidRPr="00D540B6" w:rsidRDefault="00AE2819" w:rsidP="00CD6A37">
            <w:pPr>
              <w:keepNext/>
              <w:spacing w:after="120"/>
              <w:rPr>
                <w:b/>
                <w:i/>
                <w:color w:val="000000"/>
                <w:lang w:val="es-ES"/>
              </w:rPr>
            </w:pPr>
            <w:r w:rsidRPr="00D540B6">
              <w:rPr>
                <w:b/>
                <w:i/>
                <w:color w:val="000000"/>
                <w:lang w:val="es-ES"/>
              </w:rPr>
              <w:t>Antecedentes/motivos</w:t>
            </w:r>
            <w:r w:rsidR="000C7163" w:rsidRPr="00D540B6">
              <w:rPr>
                <w:b/>
                <w:iCs/>
                <w:color w:val="000000"/>
                <w:lang w:val="es-ES"/>
              </w:rPr>
              <w:t>:</w:t>
            </w:r>
          </w:p>
          <w:p w14:paraId="572472A6" w14:textId="7A6BB975" w:rsidR="000C7163" w:rsidRPr="00AE2819" w:rsidRDefault="00AE2819" w:rsidP="00CD6A37">
            <w:pPr>
              <w:keepNext/>
              <w:spacing w:after="120"/>
              <w:rPr>
                <w:bCs/>
                <w:iCs/>
                <w:lang w:val="es-ES"/>
              </w:rPr>
            </w:pPr>
            <w:r w:rsidRPr="00AE2819">
              <w:rPr>
                <w:bCs/>
                <w:iCs/>
                <w:lang w:val="es-ES"/>
              </w:rPr>
              <w:t>La necesidad de espectro de enlace ascendente adicional para las estaciones terrenas de pasarela asociadas a sistemas no OSG del SFS en la gama de frecuencias</w:t>
            </w:r>
            <w:r w:rsidR="000C7163" w:rsidRPr="00AE2819">
              <w:rPr>
                <w:bCs/>
                <w:iCs/>
                <w:lang w:val="es-ES"/>
              </w:rPr>
              <w:t xml:space="preserve"> 50 GHz </w:t>
            </w:r>
            <w:r w:rsidRPr="00AE2819">
              <w:rPr>
                <w:bCs/>
                <w:iCs/>
                <w:lang w:val="es-ES"/>
              </w:rPr>
              <w:t>ya se abordó en la CMR</w:t>
            </w:r>
            <w:r w:rsidR="00AF4D6B">
              <w:rPr>
                <w:bCs/>
                <w:iCs/>
                <w:lang w:val="es-ES"/>
              </w:rPr>
              <w:noBreakHyphen/>
            </w:r>
            <w:r w:rsidRPr="00AE2819">
              <w:rPr>
                <w:bCs/>
                <w:iCs/>
                <w:lang w:val="es-ES"/>
              </w:rPr>
              <w:t xml:space="preserve">19, pero no se resolvió íntegramente al </w:t>
            </w:r>
            <w:r>
              <w:rPr>
                <w:bCs/>
                <w:iCs/>
                <w:lang w:val="es-ES"/>
              </w:rPr>
              <w:t>estar la gama limitada a su utilización únicamente por enlaces de conexión de redes OSG</w:t>
            </w:r>
            <w:r w:rsidR="000C7163" w:rsidRPr="00AE2819">
              <w:rPr>
                <w:bCs/>
                <w:iCs/>
                <w:lang w:val="es-ES"/>
              </w:rPr>
              <w:t>.</w:t>
            </w:r>
          </w:p>
          <w:p w14:paraId="2C4F1E4D" w14:textId="5650D7AC" w:rsidR="000C7163" w:rsidRPr="00AE2819" w:rsidRDefault="00AE2819" w:rsidP="00CD6A37">
            <w:pPr>
              <w:keepNext/>
              <w:spacing w:after="120"/>
              <w:rPr>
                <w:b/>
                <w:i/>
                <w:lang w:val="es-ES"/>
              </w:rPr>
            </w:pPr>
            <w:r w:rsidRPr="00AE2819">
              <w:rPr>
                <w:bCs/>
                <w:iCs/>
                <w:lang w:val="es-ES"/>
              </w:rPr>
              <w:t>Han de tenerse en cuenta los demás servicios con atribuci</w:t>
            </w:r>
            <w:r>
              <w:rPr>
                <w:bCs/>
                <w:iCs/>
                <w:lang w:val="es-ES"/>
              </w:rPr>
              <w:t>ones en esta banda y en las bandas adyacentes para garantizar su protección</w:t>
            </w:r>
            <w:r w:rsidR="000C7163" w:rsidRPr="00AE2819">
              <w:rPr>
                <w:bCs/>
                <w:iCs/>
                <w:lang w:val="es-ES"/>
              </w:rPr>
              <w:t>.</w:t>
            </w:r>
          </w:p>
        </w:tc>
      </w:tr>
      <w:tr w:rsidR="000C7163" w:rsidRPr="00AE2819" w14:paraId="2E9CF4FF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FB74" w14:textId="464FAF51" w:rsidR="000C7163" w:rsidRPr="00AE2819" w:rsidRDefault="00AE2819" w:rsidP="00CD6A37">
            <w:pPr>
              <w:keepNext/>
              <w:spacing w:after="120"/>
              <w:rPr>
                <w:b/>
                <w:i/>
                <w:lang w:val="es-ES"/>
              </w:rPr>
            </w:pPr>
            <w:r w:rsidRPr="00AE2819">
              <w:rPr>
                <w:b/>
                <w:i/>
                <w:lang w:val="es-ES"/>
              </w:rPr>
              <w:t>Servicios de radiocomunicacione</w:t>
            </w:r>
            <w:r>
              <w:rPr>
                <w:b/>
                <w:i/>
                <w:lang w:val="es-ES"/>
              </w:rPr>
              <w:t>s en cuestión</w:t>
            </w:r>
            <w:r w:rsidR="000C7163" w:rsidRPr="00AE2819">
              <w:rPr>
                <w:b/>
                <w:iCs/>
                <w:lang w:val="es-ES"/>
              </w:rPr>
              <w:t>:</w:t>
            </w:r>
          </w:p>
          <w:p w14:paraId="0D346896" w14:textId="0D9D7231" w:rsidR="000C7163" w:rsidRPr="00CD6A37" w:rsidRDefault="00AE2819" w:rsidP="00CD6A37">
            <w:pPr>
              <w:spacing w:after="120"/>
            </w:pPr>
            <w:r w:rsidRPr="00CD6A37">
              <w:t>Servicios de radiocomunicaciones con atribuciones en la banda de frecuencias</w:t>
            </w:r>
            <w:r w:rsidR="000C7163" w:rsidRPr="00CD6A37">
              <w:t xml:space="preserve"> 51</w:t>
            </w:r>
            <w:r w:rsidRPr="00CD6A37">
              <w:t>,</w:t>
            </w:r>
            <w:r w:rsidR="000C7163" w:rsidRPr="00CD6A37">
              <w:t>4-52</w:t>
            </w:r>
            <w:r w:rsidRPr="00CD6A37">
              <w:t>,</w:t>
            </w:r>
            <w:r w:rsidR="000C7163" w:rsidRPr="00CD6A37">
              <w:t xml:space="preserve">4 GHz </w:t>
            </w:r>
            <w:r w:rsidRPr="00CD6A37">
              <w:t>y las bandas de frecuencias adyacentes</w:t>
            </w:r>
            <w:r w:rsidR="000C7163" w:rsidRPr="00CD6A37">
              <w:t>.</w:t>
            </w:r>
          </w:p>
        </w:tc>
      </w:tr>
      <w:tr w:rsidR="000C7163" w:rsidRPr="00041F37" w14:paraId="0FEFB6D0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F9E72" w14:textId="73911CC6" w:rsidR="000C7163" w:rsidRPr="00043A60" w:rsidRDefault="000C7163" w:rsidP="00160976">
            <w:pPr>
              <w:keepNext/>
              <w:rPr>
                <w:b/>
                <w:i/>
              </w:rPr>
            </w:pPr>
            <w:r w:rsidRPr="00043A60">
              <w:rPr>
                <w:b/>
                <w:i/>
              </w:rPr>
              <w:t>Indica</w:t>
            </w:r>
            <w:r w:rsidR="00AE2819" w:rsidRPr="00043A60">
              <w:rPr>
                <w:b/>
                <w:i/>
              </w:rPr>
              <w:t>ción de posibles dificultades</w:t>
            </w:r>
            <w:r w:rsidRPr="00043A60">
              <w:rPr>
                <w:b/>
                <w:iCs/>
              </w:rPr>
              <w:t>:</w:t>
            </w:r>
          </w:p>
          <w:p w14:paraId="131E6404" w14:textId="3B606B78" w:rsidR="000C7163" w:rsidRPr="00043A60" w:rsidRDefault="00AE2819" w:rsidP="00CD6A37">
            <w:pPr>
              <w:spacing w:after="120"/>
            </w:pPr>
            <w:r w:rsidRPr="00043A60">
              <w:t>Por determinar</w:t>
            </w:r>
          </w:p>
        </w:tc>
      </w:tr>
      <w:tr w:rsidR="000C7163" w:rsidRPr="00AE2819" w14:paraId="6ACACB87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4F65E" w14:textId="7D4A30C3" w:rsidR="000C7163" w:rsidRPr="00AE2819" w:rsidRDefault="00AE2819" w:rsidP="00160976">
            <w:pPr>
              <w:keepNext/>
              <w:rPr>
                <w:b/>
                <w:i/>
                <w:lang w:val="es-ES"/>
              </w:rPr>
            </w:pPr>
            <w:r w:rsidRPr="00AE2819">
              <w:rPr>
                <w:b/>
                <w:i/>
                <w:lang w:val="es-ES"/>
              </w:rPr>
              <w:t>Estudios previos o en curso sobre el tema</w:t>
            </w:r>
            <w:r w:rsidR="000C7163" w:rsidRPr="00AE2819">
              <w:rPr>
                <w:b/>
                <w:iCs/>
                <w:lang w:val="es-ES"/>
              </w:rPr>
              <w:t>:</w:t>
            </w:r>
          </w:p>
          <w:p w14:paraId="42AC65D1" w14:textId="217990FB" w:rsidR="000C7163" w:rsidRPr="00AE2819" w:rsidRDefault="00AE2819" w:rsidP="00043A60">
            <w:pPr>
              <w:spacing w:after="120"/>
              <w:rPr>
                <w:b/>
                <w:i/>
                <w:lang w:val="es-ES"/>
              </w:rPr>
            </w:pPr>
            <w:r w:rsidRPr="00AE2819">
              <w:rPr>
                <w:rFonts w:asciiTheme="majorBidi" w:hAnsiTheme="majorBidi" w:cstheme="majorBidi"/>
                <w:lang w:val="es-ES"/>
              </w:rPr>
              <w:t>Tema 9.1</w:t>
            </w:r>
            <w:r>
              <w:rPr>
                <w:rFonts w:asciiTheme="majorBidi" w:hAnsiTheme="majorBidi" w:cstheme="majorBidi"/>
                <w:lang w:val="es-ES"/>
              </w:rPr>
              <w:t>.</w:t>
            </w:r>
            <w:r w:rsidRPr="00AE2819">
              <w:rPr>
                <w:rFonts w:asciiTheme="majorBidi" w:hAnsiTheme="majorBidi" w:cstheme="majorBidi"/>
                <w:lang w:val="es-ES"/>
              </w:rPr>
              <w:t>9 del punto 9.1 del or</w:t>
            </w:r>
            <w:r>
              <w:rPr>
                <w:rFonts w:asciiTheme="majorBidi" w:hAnsiTheme="majorBidi" w:cstheme="majorBidi"/>
                <w:lang w:val="es-ES"/>
              </w:rPr>
              <w:t>den del día de la CMR</w:t>
            </w:r>
            <w:r w:rsidR="000C7163" w:rsidRPr="00AE2819">
              <w:rPr>
                <w:rFonts w:asciiTheme="majorBidi" w:hAnsiTheme="majorBidi" w:cstheme="majorBidi"/>
                <w:lang w:val="es-ES"/>
              </w:rPr>
              <w:t>-19</w:t>
            </w:r>
          </w:p>
        </w:tc>
      </w:tr>
      <w:tr w:rsidR="000C7163" w:rsidRPr="00AE2819" w14:paraId="54C3F362" w14:textId="77777777" w:rsidTr="0016097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FAA0" w14:textId="2422ACDB" w:rsidR="000C7163" w:rsidRPr="00AE2819" w:rsidRDefault="00AE2819" w:rsidP="00160976">
            <w:pPr>
              <w:keepNext/>
              <w:rPr>
                <w:b/>
                <w:i/>
                <w:color w:val="000000"/>
                <w:lang w:val="es-ES"/>
              </w:rPr>
            </w:pPr>
            <w:r w:rsidRPr="00AE2819">
              <w:rPr>
                <w:b/>
                <w:i/>
                <w:color w:val="000000"/>
                <w:lang w:val="es-ES"/>
              </w:rPr>
              <w:t>Estudios que han de efectuarse a cargo de</w:t>
            </w:r>
            <w:r w:rsidR="000C7163" w:rsidRPr="00AE2819">
              <w:rPr>
                <w:b/>
                <w:iCs/>
                <w:color w:val="000000"/>
                <w:lang w:val="es-ES"/>
              </w:rPr>
              <w:t>:</w:t>
            </w:r>
          </w:p>
          <w:p w14:paraId="6B1173E9" w14:textId="5ECF9EBE" w:rsidR="000C7163" w:rsidRPr="00AE2819" w:rsidRDefault="00AE2819" w:rsidP="00043A60">
            <w:pPr>
              <w:spacing w:after="120"/>
              <w:rPr>
                <w:b/>
                <w:i/>
                <w:color w:val="000000"/>
                <w:lang w:val="fr-CH"/>
              </w:rPr>
            </w:pPr>
            <w:r w:rsidRPr="00043A60">
              <w:t>GT</w:t>
            </w:r>
            <w:r w:rsidRPr="00AE2819">
              <w:rPr>
                <w:rFonts w:asciiTheme="majorBidi" w:hAnsiTheme="majorBidi" w:cstheme="majorBidi"/>
                <w:lang w:val="fr-CH"/>
              </w:rPr>
              <w:t xml:space="preserve"> 4A del UIT-T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989CCC" w14:textId="6348BCFD" w:rsidR="000C7163" w:rsidRPr="00AE2819" w:rsidRDefault="00AE2819" w:rsidP="00043A60">
            <w:pPr>
              <w:spacing w:after="120"/>
              <w:rPr>
                <w:b/>
                <w:i/>
                <w:color w:val="000000"/>
                <w:lang w:val="es-ES"/>
              </w:rPr>
            </w:pPr>
            <w:r w:rsidRPr="00AE2819">
              <w:rPr>
                <w:b/>
                <w:i/>
                <w:color w:val="000000"/>
                <w:lang w:val="es-ES"/>
              </w:rPr>
              <w:t>con participación de</w:t>
            </w:r>
            <w:r w:rsidR="000C7163" w:rsidRPr="00AE2819">
              <w:rPr>
                <w:b/>
                <w:iCs/>
                <w:color w:val="000000"/>
                <w:lang w:val="es-ES"/>
              </w:rPr>
              <w:t>:</w:t>
            </w:r>
            <w:r w:rsidR="00D96F44">
              <w:rPr>
                <w:b/>
                <w:iCs/>
                <w:color w:val="000000"/>
                <w:lang w:val="es-ES"/>
              </w:rPr>
              <w:t xml:space="preserve"> </w:t>
            </w:r>
            <w:r w:rsidR="000C7163" w:rsidRPr="00043A60">
              <w:t>Ot</w:t>
            </w:r>
            <w:r w:rsidRPr="00043A60">
              <w:t>ros</w:t>
            </w:r>
            <w:r>
              <w:rPr>
                <w:rFonts w:asciiTheme="majorBidi" w:hAnsiTheme="majorBidi" w:cstheme="majorBidi"/>
                <w:lang w:val="es-ES"/>
              </w:rPr>
              <w:t xml:space="preserve"> GT pertinentes, </w:t>
            </w:r>
            <w:r w:rsidRPr="00043A60">
              <w:t>administraciones</w:t>
            </w:r>
            <w:r>
              <w:rPr>
                <w:rFonts w:asciiTheme="majorBidi" w:hAnsiTheme="majorBidi" w:cstheme="majorBidi"/>
                <w:lang w:val="es-ES"/>
              </w:rPr>
              <w:t>, Miembros de Sector</w:t>
            </w:r>
          </w:p>
        </w:tc>
      </w:tr>
      <w:tr w:rsidR="000C7163" w:rsidRPr="00041F37" w14:paraId="0887A87A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D60F" w14:textId="4C6A97AC" w:rsidR="000C7163" w:rsidRPr="00AE2819" w:rsidRDefault="00AE2819" w:rsidP="00160976">
            <w:pPr>
              <w:keepNext/>
              <w:rPr>
                <w:b/>
                <w:i/>
                <w:color w:val="000000"/>
                <w:lang w:val="es-ES"/>
              </w:rPr>
            </w:pPr>
            <w:r w:rsidRPr="00AE2819">
              <w:rPr>
                <w:b/>
                <w:i/>
                <w:color w:val="000000"/>
                <w:lang w:val="es-ES"/>
              </w:rPr>
              <w:t>Comisiones de Estudio del UIT-R intere</w:t>
            </w:r>
            <w:r>
              <w:rPr>
                <w:b/>
                <w:i/>
                <w:color w:val="000000"/>
                <w:lang w:val="es-ES"/>
              </w:rPr>
              <w:t>sadas</w:t>
            </w:r>
            <w:r w:rsidR="000C7163" w:rsidRPr="00AE2819">
              <w:rPr>
                <w:b/>
                <w:iCs/>
                <w:color w:val="000000"/>
                <w:lang w:val="es-ES"/>
              </w:rPr>
              <w:t>:</w:t>
            </w:r>
          </w:p>
          <w:p w14:paraId="108CE707" w14:textId="7E808670" w:rsidR="000C7163" w:rsidRPr="00041F37" w:rsidRDefault="00AE2819" w:rsidP="00043A60">
            <w:pPr>
              <w:spacing w:after="120"/>
              <w:rPr>
                <w:b/>
                <w:i/>
              </w:rPr>
            </w:pPr>
            <w:r w:rsidRPr="00043A60">
              <w:t>CE</w:t>
            </w:r>
            <w:r w:rsidR="000C7163" w:rsidRPr="00043A60">
              <w:t xml:space="preserve"> 4, </w:t>
            </w:r>
            <w:r w:rsidRPr="00043A60">
              <w:t>CE</w:t>
            </w:r>
            <w:r w:rsidR="000C7163" w:rsidRPr="00043A60">
              <w:t xml:space="preserve"> 5, </w:t>
            </w:r>
            <w:r w:rsidRPr="00043A60">
              <w:t>CE</w:t>
            </w:r>
            <w:r w:rsidR="000C7163" w:rsidRPr="00043A60">
              <w:t xml:space="preserve"> 7</w:t>
            </w:r>
          </w:p>
        </w:tc>
      </w:tr>
      <w:tr w:rsidR="000C7163" w:rsidRPr="00AE2819" w14:paraId="3F6BD3CE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6F4E2" w14:textId="4C1BC525" w:rsidR="000C7163" w:rsidRPr="00AE2819" w:rsidRDefault="00AE2819" w:rsidP="00160976">
            <w:pPr>
              <w:keepNext/>
              <w:rPr>
                <w:b/>
                <w:i/>
                <w:lang w:val="es-ES"/>
              </w:rPr>
            </w:pPr>
            <w:r w:rsidRPr="00AE2819">
              <w:rPr>
                <w:b/>
                <w:i/>
                <w:lang w:val="es-ES"/>
              </w:rPr>
              <w:t xml:space="preserve">Consecuencias en los recursos de </w:t>
            </w:r>
            <w:r>
              <w:rPr>
                <w:b/>
                <w:i/>
                <w:lang w:val="es-ES"/>
              </w:rPr>
              <w:t>la UIT, incluidas las implicaciones financieras (véase el</w:t>
            </w:r>
            <w:r w:rsidR="000C7163" w:rsidRPr="00AE2819">
              <w:rPr>
                <w:b/>
                <w:i/>
                <w:lang w:val="es-ES"/>
              </w:rPr>
              <w:t xml:space="preserve"> CV126)</w:t>
            </w:r>
            <w:r w:rsidR="000C7163" w:rsidRPr="00AE2819">
              <w:rPr>
                <w:b/>
                <w:iCs/>
                <w:lang w:val="es-ES"/>
              </w:rPr>
              <w:t>:</w:t>
            </w:r>
          </w:p>
          <w:p w14:paraId="3DFD7484" w14:textId="3385AB5A" w:rsidR="000C7163" w:rsidRPr="00AE2819" w:rsidRDefault="000C7163" w:rsidP="00043A60">
            <w:pPr>
              <w:spacing w:after="120"/>
              <w:rPr>
                <w:b/>
                <w:i/>
                <w:lang w:val="en-US"/>
              </w:rPr>
            </w:pPr>
            <w:r w:rsidRPr="00043A60">
              <w:t>N</w:t>
            </w:r>
            <w:r w:rsidR="00AE2819" w:rsidRPr="00043A60">
              <w:t>inguna</w:t>
            </w:r>
          </w:p>
        </w:tc>
      </w:tr>
      <w:tr w:rsidR="000C7163" w:rsidRPr="00AE2819" w14:paraId="17100572" w14:textId="77777777" w:rsidTr="00160976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A9563C" w14:textId="56351771" w:rsidR="000C7163" w:rsidRPr="00041F37" w:rsidRDefault="00AE2819" w:rsidP="00160976">
            <w:pPr>
              <w:keepNext/>
              <w:rPr>
                <w:b/>
                <w:iCs/>
              </w:rPr>
            </w:pPr>
            <w:r>
              <w:rPr>
                <w:b/>
                <w:i/>
              </w:rPr>
              <w:t>Propuesta regional común</w:t>
            </w:r>
            <w:r w:rsidR="000C7163" w:rsidRPr="00041F37">
              <w:rPr>
                <w:b/>
                <w:iCs/>
              </w:rPr>
              <w:t xml:space="preserve">: </w:t>
            </w:r>
            <w:r w:rsidRPr="00043A60">
              <w:t>Sí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E11D0" w14:textId="70E9E51E" w:rsidR="000C7163" w:rsidRPr="00043A60" w:rsidRDefault="00AE2819" w:rsidP="00AF4D6B">
            <w:pPr>
              <w:keepNext/>
              <w:spacing w:after="120"/>
            </w:pPr>
            <w:r w:rsidRPr="00AE2819">
              <w:rPr>
                <w:b/>
                <w:i/>
                <w:lang w:val="es-ES"/>
              </w:rPr>
              <w:t>Propuesta presentada por más de un paí</w:t>
            </w:r>
            <w:r>
              <w:rPr>
                <w:b/>
                <w:i/>
                <w:lang w:val="es-ES"/>
              </w:rPr>
              <w:t>s</w:t>
            </w:r>
            <w:r w:rsidR="000C7163" w:rsidRPr="00AE2819">
              <w:rPr>
                <w:b/>
                <w:iCs/>
                <w:lang w:val="es-ES"/>
              </w:rPr>
              <w:t>:</w:t>
            </w:r>
            <w:r w:rsidR="00D96F44">
              <w:rPr>
                <w:b/>
                <w:iCs/>
                <w:lang w:val="es-ES"/>
              </w:rPr>
              <w:t xml:space="preserve"> </w:t>
            </w:r>
            <w:r w:rsidRPr="00043A60">
              <w:t>por determinar</w:t>
            </w:r>
          </w:p>
          <w:p w14:paraId="38DE467C" w14:textId="209CA7D4" w:rsidR="000C7163" w:rsidRPr="00AE2819" w:rsidRDefault="000C7163" w:rsidP="00160976">
            <w:pPr>
              <w:keepNext/>
              <w:rPr>
                <w:b/>
                <w:i/>
                <w:lang w:val="es-ES"/>
              </w:rPr>
            </w:pPr>
            <w:r w:rsidRPr="00AE2819">
              <w:rPr>
                <w:b/>
                <w:i/>
                <w:lang w:val="es-ES"/>
              </w:rPr>
              <w:lastRenderedPageBreak/>
              <w:t>N</w:t>
            </w:r>
            <w:r w:rsidR="00AE2819" w:rsidRPr="00AE2819">
              <w:rPr>
                <w:b/>
                <w:i/>
                <w:lang w:val="es-ES"/>
              </w:rPr>
              <w:t>úmero de países</w:t>
            </w:r>
            <w:r w:rsidRPr="00AE2819">
              <w:rPr>
                <w:b/>
                <w:iCs/>
                <w:lang w:val="es-ES"/>
              </w:rPr>
              <w:t xml:space="preserve">: </w:t>
            </w:r>
            <w:r w:rsidR="00AE2819" w:rsidRPr="00AE2819">
              <w:rPr>
                <w:bCs/>
                <w:iCs/>
                <w:lang w:val="es-ES"/>
              </w:rPr>
              <w:t>Por determinar</w:t>
            </w:r>
          </w:p>
          <w:p w14:paraId="4242C86E" w14:textId="77777777" w:rsidR="000C7163" w:rsidRPr="00AE2819" w:rsidRDefault="000C7163" w:rsidP="00160976">
            <w:pPr>
              <w:keepNext/>
              <w:rPr>
                <w:b/>
                <w:i/>
                <w:lang w:val="es-ES"/>
              </w:rPr>
            </w:pPr>
          </w:p>
        </w:tc>
      </w:tr>
      <w:tr w:rsidR="000C7163" w:rsidRPr="00041F37" w14:paraId="64244D49" w14:textId="77777777" w:rsidTr="00160976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DA5F4" w14:textId="41D4D1E7" w:rsidR="000C7163" w:rsidRPr="00041F37" w:rsidRDefault="00AE2819" w:rsidP="0016097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Observaciones</w:t>
            </w:r>
          </w:p>
          <w:p w14:paraId="0CC45CAF" w14:textId="77777777" w:rsidR="000C7163" w:rsidRPr="00041F37" w:rsidRDefault="000C7163" w:rsidP="00160976">
            <w:pPr>
              <w:rPr>
                <w:b/>
                <w:i/>
              </w:rPr>
            </w:pPr>
          </w:p>
        </w:tc>
      </w:tr>
    </w:tbl>
    <w:p w14:paraId="01C8FB50" w14:textId="77777777" w:rsidR="00043A60" w:rsidRDefault="00043A60" w:rsidP="00815DCD"/>
    <w:p w14:paraId="165DDD4B" w14:textId="77777777" w:rsidR="00043A60" w:rsidRDefault="00043A60">
      <w:pPr>
        <w:jc w:val="center"/>
      </w:pPr>
      <w:r>
        <w:t>______________</w:t>
      </w:r>
    </w:p>
    <w:sectPr w:rsidR="00043A6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17C9" w14:textId="77777777" w:rsidR="00666B37" w:rsidRDefault="00666B37">
      <w:r>
        <w:separator/>
      </w:r>
    </w:p>
  </w:endnote>
  <w:endnote w:type="continuationSeparator" w:id="0">
    <w:p w14:paraId="401512C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61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576C3" w14:textId="58AA52D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5DCD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5304" w14:textId="061374AB" w:rsidR="0077084A" w:rsidRDefault="0096441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43A60">
      <w:rPr>
        <w:lang w:val="en-US"/>
      </w:rPr>
      <w:t>P:\ESP\ITU-R\CONF-R\CMR23\100\100ADD27ADD04S.docx</w:t>
    </w:r>
    <w:r>
      <w:fldChar w:fldCharType="end"/>
    </w:r>
    <w:r w:rsidRPr="0096441B">
      <w:rPr>
        <w:lang w:val="en-US"/>
      </w:rPr>
      <w:t xml:space="preserve"> </w:t>
    </w:r>
    <w:r>
      <w:rPr>
        <w:lang w:val="en-US"/>
      </w:rPr>
      <w:t>(530220)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FC1" w14:textId="40BA1BD0" w:rsidR="0077084A" w:rsidRPr="0096441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43A60">
      <w:rPr>
        <w:lang w:val="en-US"/>
      </w:rPr>
      <w:t>P:\ESP\ITU-R\CONF-R\CMR23\100\100ADD27ADD04S.docx</w:t>
    </w:r>
    <w:r>
      <w:fldChar w:fldCharType="end"/>
    </w:r>
    <w:r w:rsidR="0096441B" w:rsidRPr="0096441B">
      <w:rPr>
        <w:lang w:val="en-US"/>
      </w:rPr>
      <w:t xml:space="preserve"> </w:t>
    </w:r>
    <w:r w:rsidR="0096441B">
      <w:rPr>
        <w:lang w:val="en-US"/>
      </w:rPr>
      <w:t>(530220)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4E0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83CC4EE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6B7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6FFC0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100(Add.27)(Add.4)-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3548401">
    <w:abstractNumId w:val="8"/>
  </w:num>
  <w:num w:numId="2" w16cid:durableId="6713785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522234">
    <w:abstractNumId w:val="9"/>
  </w:num>
  <w:num w:numId="4" w16cid:durableId="1101953259">
    <w:abstractNumId w:val="7"/>
  </w:num>
  <w:num w:numId="5" w16cid:durableId="195316061">
    <w:abstractNumId w:val="6"/>
  </w:num>
  <w:num w:numId="6" w16cid:durableId="111705842">
    <w:abstractNumId w:val="5"/>
  </w:num>
  <w:num w:numId="7" w16cid:durableId="1857034911">
    <w:abstractNumId w:val="4"/>
  </w:num>
  <w:num w:numId="8" w16cid:durableId="205603532">
    <w:abstractNumId w:val="3"/>
  </w:num>
  <w:num w:numId="9" w16cid:durableId="575554149">
    <w:abstractNumId w:val="2"/>
  </w:num>
  <w:num w:numId="10" w16cid:durableId="1798330679">
    <w:abstractNumId w:val="1"/>
  </w:num>
  <w:num w:numId="11" w16cid:durableId="805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3A60"/>
    <w:rsid w:val="00046365"/>
    <w:rsid w:val="00087AE8"/>
    <w:rsid w:val="00091054"/>
    <w:rsid w:val="000A2A7D"/>
    <w:rsid w:val="000A5B9A"/>
    <w:rsid w:val="000C7163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776D2"/>
    <w:rsid w:val="003B1E8C"/>
    <w:rsid w:val="003B7410"/>
    <w:rsid w:val="003C0613"/>
    <w:rsid w:val="003C2508"/>
    <w:rsid w:val="003D0AA3"/>
    <w:rsid w:val="003E2086"/>
    <w:rsid w:val="003F7F66"/>
    <w:rsid w:val="00400037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773C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1461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5DCD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6441B"/>
    <w:rsid w:val="00973754"/>
    <w:rsid w:val="009C0BED"/>
    <w:rsid w:val="009E11EC"/>
    <w:rsid w:val="00A021CC"/>
    <w:rsid w:val="00A118DB"/>
    <w:rsid w:val="00A4450C"/>
    <w:rsid w:val="00AA5E6C"/>
    <w:rsid w:val="00AC49B1"/>
    <w:rsid w:val="00AE2819"/>
    <w:rsid w:val="00AE5677"/>
    <w:rsid w:val="00AE658F"/>
    <w:rsid w:val="00AF2F78"/>
    <w:rsid w:val="00AF4D6B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D6A37"/>
    <w:rsid w:val="00CE60D2"/>
    <w:rsid w:val="00CE7431"/>
    <w:rsid w:val="00D00CA8"/>
    <w:rsid w:val="00D0288A"/>
    <w:rsid w:val="00D540B6"/>
    <w:rsid w:val="00D72A5D"/>
    <w:rsid w:val="00D96F44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123A9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R23-WRC23-C-0100!A27-A4!MSW-S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E8864-AC58-408F-993C-1DD37DF165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7126B-A13E-478E-9CAD-CB3AFD1FA2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F2499-8C36-4DF4-AD07-31D98C3A99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29C2BF-10F2-4C47-B4E9-41C0A8785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1120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R23-WRC23-C-0100!A27-A4!MSW-S</vt:lpstr>
    </vt:vector>
  </TitlesOfParts>
  <Manager>Secretaría General - Pool</Manager>
  <Company>Unión Internacional de Telecomunicaciones (UIT)</Company>
  <LinksUpToDate>false</LinksUpToDate>
  <CharactersWithSpaces>7174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7</cp:revision>
  <cp:lastPrinted>2003-02-19T20:20:00Z</cp:lastPrinted>
  <dcterms:created xsi:type="dcterms:W3CDTF">2023-11-02T11:52:00Z</dcterms:created>
  <dcterms:modified xsi:type="dcterms:W3CDTF">2023-11-02T12:54:00Z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