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89"/>
        <w:gridCol w:w="5107"/>
        <w:gridCol w:w="988"/>
        <w:gridCol w:w="1982"/>
      </w:tblGrid>
      <w:tr w:rsidR="00752552" w:rsidRPr="000D1EE4" w14:paraId="738665AF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70954025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</w:rPr>
              <w:drawing>
                <wp:inline distT="0" distB="0" distL="0" distR="0" wp14:anchorId="26D3AA80" wp14:editId="2140C6D2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8CACAE5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06D68BFC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6FC4FF63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4D18235B" wp14:editId="32113553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1DB0067C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05F7D9FF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1072C303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3BB2BF90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04F585F6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5A20E9B6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0F02EDCA" w14:textId="77777777" w:rsidTr="00752552">
        <w:trPr>
          <w:cantSplit/>
        </w:trPr>
        <w:tc>
          <w:tcPr>
            <w:tcW w:w="6696" w:type="dxa"/>
            <w:gridSpan w:val="2"/>
          </w:tcPr>
          <w:p w14:paraId="536BC5FD" w14:textId="77777777" w:rsidR="000D1EE4" w:rsidRPr="00AA056C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AA056C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68974A1B" w14:textId="77777777" w:rsidR="000D1EE4" w:rsidRPr="00AA056C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AA056C">
              <w:rPr>
                <w:rFonts w:eastAsia="SimSun"/>
                <w:b/>
                <w:bCs/>
                <w:rtl/>
                <w:lang w:bidi="ar-EG"/>
              </w:rPr>
              <w:t xml:space="preserve">الوثيقة </w:t>
            </w:r>
            <w:r w:rsidRPr="00AA056C">
              <w:rPr>
                <w:rFonts w:eastAsia="SimSun"/>
                <w:b/>
                <w:bCs/>
              </w:rPr>
              <w:t>108-A</w:t>
            </w:r>
          </w:p>
        </w:tc>
      </w:tr>
      <w:tr w:rsidR="000D1EE4" w:rsidRPr="000D1EE4" w14:paraId="31C24934" w14:textId="77777777" w:rsidTr="00752552">
        <w:trPr>
          <w:cantSplit/>
        </w:trPr>
        <w:tc>
          <w:tcPr>
            <w:tcW w:w="6696" w:type="dxa"/>
            <w:gridSpan w:val="2"/>
          </w:tcPr>
          <w:p w14:paraId="7E691B25" w14:textId="77777777" w:rsidR="000D1EE4" w:rsidRPr="00AA056C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2143668F" w14:textId="77777777" w:rsidR="000D1EE4" w:rsidRPr="00AA056C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AA056C">
              <w:rPr>
                <w:rFonts w:eastAsia="SimSun"/>
                <w:b/>
                <w:bCs/>
              </w:rPr>
              <w:t>27</w:t>
            </w:r>
            <w:r w:rsidRPr="00AA056C">
              <w:rPr>
                <w:rFonts w:eastAsia="SimSun"/>
                <w:b/>
                <w:bCs/>
                <w:rtl/>
              </w:rPr>
              <w:t xml:space="preserve"> أكتوبر </w:t>
            </w:r>
            <w:r w:rsidRPr="00AA056C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2568167C" w14:textId="77777777" w:rsidTr="00752552">
        <w:trPr>
          <w:cantSplit/>
        </w:trPr>
        <w:tc>
          <w:tcPr>
            <w:tcW w:w="6696" w:type="dxa"/>
            <w:gridSpan w:val="2"/>
          </w:tcPr>
          <w:p w14:paraId="057F0DC9" w14:textId="77777777" w:rsidR="000D1EE4" w:rsidRPr="00AA056C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76408CD7" w14:textId="77777777" w:rsidR="000D1EE4" w:rsidRPr="00AA056C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AA056C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3B75D0BB" w14:textId="77777777" w:rsidTr="00752552">
        <w:trPr>
          <w:cantSplit/>
        </w:trPr>
        <w:tc>
          <w:tcPr>
            <w:tcW w:w="9666" w:type="dxa"/>
            <w:gridSpan w:val="4"/>
          </w:tcPr>
          <w:p w14:paraId="2533489F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641111E5" w14:textId="77777777" w:rsidTr="00752552">
        <w:trPr>
          <w:cantSplit/>
        </w:trPr>
        <w:tc>
          <w:tcPr>
            <w:tcW w:w="9666" w:type="dxa"/>
            <w:gridSpan w:val="4"/>
          </w:tcPr>
          <w:p w14:paraId="31D56F06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الجمهورية الجزائرية الديمقراطية الشعبية/جمهورية جيبوتي/جمهورية العراق/المملكة المغربية/سلطنة عُمان/تونس</w:t>
            </w:r>
          </w:p>
        </w:tc>
      </w:tr>
      <w:tr w:rsidR="000D1EE4" w:rsidRPr="000D1EE4" w14:paraId="55E1F870" w14:textId="77777777" w:rsidTr="00752552">
        <w:trPr>
          <w:cantSplit/>
        </w:trPr>
        <w:tc>
          <w:tcPr>
            <w:tcW w:w="9666" w:type="dxa"/>
            <w:gridSpan w:val="4"/>
          </w:tcPr>
          <w:p w14:paraId="7DE85A6D" w14:textId="196517C2" w:rsidR="000D1EE4" w:rsidRPr="000D1EE4" w:rsidRDefault="00AA056C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28A4F9FD" w14:textId="77777777" w:rsidTr="00752552">
        <w:trPr>
          <w:cantSplit/>
        </w:trPr>
        <w:tc>
          <w:tcPr>
            <w:tcW w:w="9666" w:type="dxa"/>
            <w:gridSpan w:val="4"/>
          </w:tcPr>
          <w:p w14:paraId="5904CFCE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7EEC51D2" w14:textId="77777777" w:rsidTr="00752552">
        <w:trPr>
          <w:cantSplit/>
        </w:trPr>
        <w:tc>
          <w:tcPr>
            <w:tcW w:w="9666" w:type="dxa"/>
            <w:gridSpan w:val="4"/>
          </w:tcPr>
          <w:p w14:paraId="5C1724D1" w14:textId="3E4DEE86" w:rsidR="00E50850" w:rsidRPr="000D1EE4" w:rsidRDefault="00E50850" w:rsidP="00E50850">
            <w:pPr>
              <w:pStyle w:val="Agendaitem"/>
            </w:pPr>
            <w:r>
              <w:rPr>
                <w:rtl/>
              </w:rPr>
              <w:t>بند جدول الأعمال</w:t>
            </w:r>
            <w:r w:rsidR="00AA056C">
              <w:rPr>
                <w:rFonts w:hint="cs"/>
                <w:rtl/>
              </w:rPr>
              <w:t xml:space="preserve"> </w:t>
            </w:r>
            <w:r w:rsidR="00AA056C">
              <w:rPr>
                <w:rtl/>
              </w:rPr>
              <w:t>5.1</w:t>
            </w:r>
          </w:p>
        </w:tc>
      </w:tr>
    </w:tbl>
    <w:p w14:paraId="4B0BD4B5" w14:textId="77777777" w:rsidR="00050B05" w:rsidRPr="00B74E84" w:rsidRDefault="00050B05" w:rsidP="00B74E84">
      <w:pPr>
        <w:rPr>
          <w:rtl/>
        </w:rPr>
      </w:pPr>
      <w:r w:rsidRPr="00934F87">
        <w:t>5.1</w:t>
      </w:r>
      <w:r w:rsidRPr="00934F87">
        <w:tab/>
      </w:r>
      <w:r w:rsidRPr="00934F87">
        <w:rPr>
          <w:rFonts w:hint="cs"/>
          <w:rtl/>
        </w:rPr>
        <w:t>استعراض استعمال الطيف والاحتياجات من الطيف للخدمات القائمة في نطاق التردد</w:t>
      </w:r>
      <w:r w:rsidRPr="00934F87">
        <w:rPr>
          <w:rFonts w:hint="eastAsia"/>
          <w:rtl/>
        </w:rPr>
        <w:t> </w:t>
      </w:r>
      <w:r w:rsidRPr="00934F87">
        <w:t>MHz 960</w:t>
      </w:r>
      <w:r w:rsidRPr="00934F87">
        <w:noBreakHyphen/>
        <w:t>470</w:t>
      </w:r>
      <w:r w:rsidRPr="00934F87">
        <w:rPr>
          <w:rFonts w:hint="cs"/>
          <w:rtl/>
        </w:rPr>
        <w:t xml:space="preserve"> في الإقليم</w:t>
      </w:r>
      <w:r w:rsidRPr="00934F87">
        <w:rPr>
          <w:rFonts w:hint="eastAsia"/>
          <w:rtl/>
        </w:rPr>
        <w:t> </w:t>
      </w:r>
      <w:r w:rsidRPr="00934F87">
        <w:t>1</w:t>
      </w:r>
      <w:r w:rsidRPr="00934F87">
        <w:rPr>
          <w:rFonts w:hint="cs"/>
          <w:rtl/>
        </w:rPr>
        <w:t xml:space="preserve"> والنظر في التدابير التنظيمية الممكنة في نطاق التردد </w:t>
      </w:r>
      <w:r w:rsidRPr="00934F87">
        <w:t>MHz 694</w:t>
      </w:r>
      <w:r w:rsidRPr="00934F87">
        <w:noBreakHyphen/>
        <w:t>470</w:t>
      </w:r>
      <w:r w:rsidRPr="00934F87">
        <w:rPr>
          <w:rFonts w:hint="cs"/>
          <w:rtl/>
        </w:rPr>
        <w:t xml:space="preserve"> في الإقليم</w:t>
      </w:r>
      <w:r w:rsidRPr="00934F87">
        <w:rPr>
          <w:rFonts w:hint="eastAsia"/>
          <w:rtl/>
        </w:rPr>
        <w:t> </w:t>
      </w:r>
      <w:r w:rsidRPr="00934F87">
        <w:t>1</w:t>
      </w:r>
      <w:r w:rsidRPr="00934F87">
        <w:rPr>
          <w:rFonts w:hint="cs"/>
          <w:rtl/>
        </w:rPr>
        <w:t xml:space="preserve"> على أساس الاستعراض، وفقاً للقرار </w:t>
      </w:r>
      <w:r w:rsidRPr="00934F87">
        <w:rPr>
          <w:b/>
          <w:bCs/>
        </w:rPr>
        <w:t>235 (WRC</w:t>
      </w:r>
      <w:r w:rsidRPr="00934F87">
        <w:rPr>
          <w:b/>
          <w:bCs/>
        </w:rPr>
        <w:noBreakHyphen/>
      </w:r>
      <w:proofErr w:type="gramStart"/>
      <w:r w:rsidRPr="00934F87">
        <w:rPr>
          <w:b/>
          <w:bCs/>
        </w:rPr>
        <w:t>15)</w:t>
      </w:r>
      <w:r w:rsidRPr="00934F87">
        <w:rPr>
          <w:rtl/>
        </w:rPr>
        <w:t>؛</w:t>
      </w:r>
      <w:proofErr w:type="gramEnd"/>
    </w:p>
    <w:p w14:paraId="1FEC017E" w14:textId="693F5FAB" w:rsidR="00417E14" w:rsidRDefault="00AA056C" w:rsidP="00AA056C">
      <w:pPr>
        <w:pStyle w:val="Headingb"/>
      </w:pPr>
      <w:r>
        <w:rPr>
          <w:rFonts w:hint="cs"/>
          <w:rtl/>
        </w:rPr>
        <w:t>مقدمة</w:t>
      </w:r>
    </w:p>
    <w:p w14:paraId="5BA07D28" w14:textId="51610D48" w:rsidR="00AA056C" w:rsidRDefault="00AA056C" w:rsidP="00AA056C">
      <w:pPr>
        <w:rPr>
          <w:rtl/>
        </w:rPr>
      </w:pPr>
      <w:r>
        <w:rPr>
          <w:rFonts w:hint="cs"/>
          <w:rtl/>
        </w:rPr>
        <w:t xml:space="preserve">يتناول هذا البند من جدول الأعمال استعمال الطيف مستقبلاً في النطاق </w:t>
      </w:r>
      <w:r>
        <w:t>MHz 694-470</w:t>
      </w:r>
      <w:r>
        <w:rPr>
          <w:rFonts w:hint="cs"/>
          <w:rtl/>
        </w:rPr>
        <w:t xml:space="preserve"> في الإقليم 1. وفي </w:t>
      </w:r>
      <w:r w:rsidRPr="00D023B0">
        <w:rPr>
          <w:rtl/>
        </w:rPr>
        <w:t xml:space="preserve">هذا الصدد، طُلب إجراء استعراض للاستعمال الحالي للطيف ودراسة للاحتياجات المستقبلية من الطيف في نطاق التردد </w:t>
      </w:r>
      <w:r w:rsidRPr="00D023B0">
        <w:t>MHz 960-470</w:t>
      </w:r>
      <w:r w:rsidRPr="00D023B0">
        <w:rPr>
          <w:rtl/>
        </w:rPr>
        <w:t xml:space="preserve"> إضافةً إلى تقييم لنتائج دراسات التقاسم والتوافق بين الخدمة الإذاعية والخدمة المتنقلة، باستثناء المتنقلة للطيران، في نطاق التردد</w:t>
      </w:r>
      <w:r>
        <w:rPr>
          <w:rFonts w:hint="cs"/>
          <w:rtl/>
        </w:rPr>
        <w:t> </w:t>
      </w:r>
      <w:r w:rsidRPr="00D023B0">
        <w:t>MHz 694-470</w:t>
      </w:r>
      <w:r w:rsidRPr="00D023B0">
        <w:rPr>
          <w:rtl/>
        </w:rPr>
        <w:t xml:space="preserve"> والخدمات القائمة الأخرى</w:t>
      </w:r>
      <w:r>
        <w:rPr>
          <w:rFonts w:hint="cs"/>
          <w:rtl/>
        </w:rPr>
        <w:t xml:space="preserve"> وفقاً للقرار </w:t>
      </w:r>
      <w:r>
        <w:rPr>
          <w:b/>
          <w:bCs/>
        </w:rPr>
        <w:t>235 (WRC-15)</w:t>
      </w:r>
      <w:r>
        <w:rPr>
          <w:rFonts w:hint="cs"/>
          <w:rtl/>
        </w:rPr>
        <w:t xml:space="preserve"> </w:t>
      </w:r>
      <w:r w:rsidRPr="00D023B0">
        <w:rPr>
          <w:rtl/>
        </w:rPr>
        <w:t>للنظر في الإجراءات التنظيمية الممكنة</w:t>
      </w:r>
      <w:r>
        <w:rPr>
          <w:rFonts w:hint="cs"/>
          <w:rtl/>
        </w:rPr>
        <w:t>.</w:t>
      </w:r>
    </w:p>
    <w:p w14:paraId="36EE5C45" w14:textId="12703EE4" w:rsidR="00AA056C" w:rsidRPr="00680CFC" w:rsidRDefault="00F803FB" w:rsidP="00AA056C">
      <w:r>
        <w:rPr>
          <w:rFonts w:hint="cs"/>
          <w:rtl/>
          <w:lang w:bidi="ar-LB"/>
        </w:rPr>
        <w:t>و</w:t>
      </w:r>
      <w:r w:rsidR="00AA056C">
        <w:rPr>
          <w:rFonts w:hint="cs"/>
          <w:rtl/>
        </w:rPr>
        <w:t xml:space="preserve">يُوزع النطاق </w:t>
      </w:r>
      <w:r w:rsidR="00AA056C">
        <w:t>MHz 960-470</w:t>
      </w:r>
      <w:r w:rsidR="00AA056C">
        <w:rPr>
          <w:rFonts w:hint="cs"/>
          <w:rtl/>
        </w:rPr>
        <w:t xml:space="preserve"> أو أجزاء منه للخدمات التالية على أساس أولي في الإقليم </w:t>
      </w:r>
      <w:r w:rsidR="00AA056C">
        <w:t>1</w:t>
      </w:r>
      <w:r w:rsidR="00AA056C">
        <w:rPr>
          <w:rFonts w:hint="cs"/>
          <w:rtl/>
        </w:rPr>
        <w:t>: الخدمة الإذاعية في الن</w:t>
      </w:r>
      <w:r w:rsidR="00AA056C" w:rsidRPr="00130810">
        <w:rPr>
          <w:rtl/>
        </w:rPr>
        <w:t xml:space="preserve">طاق </w:t>
      </w:r>
      <w:r w:rsidR="00AA056C">
        <w:rPr>
          <w:rFonts w:hint="cs"/>
          <w:rtl/>
        </w:rPr>
        <w:t>وا</w:t>
      </w:r>
      <w:r w:rsidR="00AA056C" w:rsidRPr="00130810">
        <w:rPr>
          <w:rtl/>
        </w:rPr>
        <w:t xml:space="preserve">لخدمة المتنقلة باستثناء المتنقلة للطيران في </w:t>
      </w:r>
      <w:r w:rsidR="00AA056C">
        <w:rPr>
          <w:rFonts w:hint="cs"/>
          <w:rtl/>
        </w:rPr>
        <w:t>ال</w:t>
      </w:r>
      <w:r w:rsidR="00AA056C" w:rsidRPr="00130810">
        <w:rPr>
          <w:rtl/>
        </w:rPr>
        <w:t xml:space="preserve">نطاق </w:t>
      </w:r>
      <w:r w:rsidR="00AA056C" w:rsidRPr="00130810">
        <w:t>MHz 960-694</w:t>
      </w:r>
      <w:r w:rsidR="00AA056C">
        <w:rPr>
          <w:rFonts w:hint="cs"/>
          <w:rtl/>
        </w:rPr>
        <w:t xml:space="preserve">، والخدمة الثابتة في النطاق </w:t>
      </w:r>
      <w:r w:rsidR="00AA056C">
        <w:t>MHz 960-790</w:t>
      </w:r>
      <w:r w:rsidR="00AA056C">
        <w:rPr>
          <w:rFonts w:hint="cs"/>
          <w:rtl/>
        </w:rPr>
        <w:t xml:space="preserve">. ويُوزع النطاق أيضاً أو أجزاء منه للخدمات التالية على أساس أولي في بعض بلدان الإقليم </w:t>
      </w:r>
      <w:r w:rsidR="00AA056C">
        <w:t>1</w:t>
      </w:r>
      <w:r w:rsidR="00AA056C">
        <w:rPr>
          <w:rFonts w:hint="cs"/>
          <w:rtl/>
        </w:rPr>
        <w:t xml:space="preserve">: الملاحة الراديوية للطيران في النطاق </w:t>
      </w:r>
      <w:r w:rsidR="00AA056C">
        <w:t>MHz 862-645</w:t>
      </w:r>
      <w:r w:rsidR="00AA056C">
        <w:rPr>
          <w:rFonts w:hint="cs"/>
          <w:rtl/>
        </w:rPr>
        <w:t xml:space="preserve"> وعلم الفلك الراديوي في النطاق </w:t>
      </w:r>
      <w:r w:rsidR="00AA056C">
        <w:t>MHz 614-606</w:t>
      </w:r>
      <w:r w:rsidR="00AA056C">
        <w:rPr>
          <w:rFonts w:hint="cs"/>
          <w:rtl/>
        </w:rPr>
        <w:t>.</w:t>
      </w:r>
    </w:p>
    <w:p w14:paraId="3C01FB2B" w14:textId="157CFDEF" w:rsidR="00B24B17" w:rsidRDefault="00F803FB" w:rsidP="00F803FB">
      <w:pPr>
        <w:rPr>
          <w:rtl/>
        </w:rPr>
      </w:pPr>
      <w:r w:rsidRPr="00F803FB">
        <w:rPr>
          <w:rtl/>
        </w:rPr>
        <w:t>و</w:t>
      </w:r>
      <w:r>
        <w:rPr>
          <w:rtl/>
        </w:rPr>
        <w:t>ترى الإدارات الم</w:t>
      </w:r>
      <w:r>
        <w:rPr>
          <w:rFonts w:hint="cs"/>
          <w:rtl/>
        </w:rPr>
        <w:t>وقعة</w:t>
      </w:r>
      <w:r w:rsidRPr="00F803FB">
        <w:rPr>
          <w:rtl/>
        </w:rPr>
        <w:t xml:space="preserve"> على الوثيقة أن الخدمات الإذاعية والخدمات المساعدة للإذاعة/إعداد البرامج (</w:t>
      </w:r>
      <w:r w:rsidRPr="00F803FB">
        <w:t>SAP/SAB</w:t>
      </w:r>
      <w:r w:rsidRPr="00F803FB">
        <w:rPr>
          <w:rtl/>
        </w:rPr>
        <w:t xml:space="preserve">) بموجب الرقم </w:t>
      </w:r>
      <w:r w:rsidRPr="003D5EBF">
        <w:rPr>
          <w:rStyle w:val="Artref"/>
          <w:b/>
          <w:bCs/>
          <w:rtl/>
        </w:rPr>
        <w:t>296.5</w:t>
      </w:r>
      <w:r w:rsidRPr="00F803FB">
        <w:rPr>
          <w:b/>
          <w:bCs/>
          <w:rtl/>
        </w:rPr>
        <w:t xml:space="preserve"> </w:t>
      </w:r>
      <w:r w:rsidRPr="00F803FB">
        <w:rPr>
          <w:rtl/>
        </w:rPr>
        <w:t xml:space="preserve">من لوائح الراديو، ستظل تحتاج إلى النفاذ إلى نطاق التردد </w:t>
      </w:r>
      <w:r w:rsidRPr="00F803FB">
        <w:t>MHz 694-470</w:t>
      </w:r>
      <w:r w:rsidRPr="00F803FB">
        <w:rPr>
          <w:rtl/>
        </w:rPr>
        <w:t xml:space="preserve"> في المستقبل المنظور وأن التوافق عبر الحدود بين التطبيقات الإذاعية والتطبيقات المتنقلة التي تستعمل الوصلة الصاعدة إلى المحطات القاعدة مثل الاتصالات المتنقلة الدولية (</w:t>
      </w:r>
      <w:r w:rsidRPr="00F803FB">
        <w:t>IMT</w:t>
      </w:r>
      <w:r w:rsidRPr="00F803FB">
        <w:rPr>
          <w:rtl/>
        </w:rPr>
        <w:t>) كثيرا</w:t>
      </w:r>
      <w:r w:rsidR="003D5EBF">
        <w:rPr>
          <w:rFonts w:hint="cs"/>
          <w:rtl/>
        </w:rPr>
        <w:t>ً</w:t>
      </w:r>
      <w:r w:rsidRPr="00F803FB">
        <w:rPr>
          <w:rtl/>
        </w:rPr>
        <w:t xml:space="preserve"> ما يتطلب مسافات فصل كبيرة، وهذا من شأنه أن يجعل من المستحيل عملياً تنفيذ الخدمتين في البلدان المجاورة.</w:t>
      </w:r>
    </w:p>
    <w:p w14:paraId="256298AE" w14:textId="72362234" w:rsidR="00F803FB" w:rsidRDefault="00F803FB" w:rsidP="00F803FB">
      <w:r w:rsidRPr="00F803FB">
        <w:rPr>
          <w:rtl/>
        </w:rPr>
        <w:t xml:space="preserve">وتؤكد هذه الوثيقة ضرورة حماية توزيعات الخدمة الإذاعية في نطاق التردد </w:t>
      </w:r>
      <w:r w:rsidRPr="00F803FB">
        <w:t>MHz 694-614</w:t>
      </w:r>
      <w:r w:rsidRPr="00F803FB">
        <w:rPr>
          <w:rtl/>
        </w:rPr>
        <w:t xml:space="preserve"> في الإقليم 1 دون إدخال أي تغييرات أخرى على لوائح الراديو قبل انعقاد المؤتمر </w:t>
      </w:r>
      <w:r w:rsidRPr="00F803FB">
        <w:t>WRC-</w:t>
      </w:r>
      <w:r w:rsidRPr="003D5EBF">
        <w:t>3</w:t>
      </w:r>
      <w:r w:rsidR="003D5EBF" w:rsidRPr="003D5EBF">
        <w:t>1</w:t>
      </w:r>
      <w:r w:rsidRPr="00F803FB">
        <w:rPr>
          <w:rtl/>
        </w:rPr>
        <w:t>، رهنا</w:t>
      </w:r>
      <w:r w:rsidR="003D5EBF">
        <w:rPr>
          <w:rFonts w:hint="cs"/>
          <w:rtl/>
        </w:rPr>
        <w:t>ً</w:t>
      </w:r>
      <w:r w:rsidRPr="00F803FB">
        <w:rPr>
          <w:rtl/>
        </w:rPr>
        <w:t xml:space="preserve"> بقرار المؤتمر </w:t>
      </w:r>
      <w:r w:rsidRPr="00F803FB">
        <w:t>WRC-23</w:t>
      </w:r>
      <w:r w:rsidRPr="00F803FB">
        <w:rPr>
          <w:rtl/>
        </w:rPr>
        <w:t>.</w:t>
      </w:r>
    </w:p>
    <w:p w14:paraId="330D6388" w14:textId="7E98D371" w:rsidR="00C45930" w:rsidRDefault="00AA056C" w:rsidP="00AA056C">
      <w:pPr>
        <w:pStyle w:val="Headingb"/>
      </w:pPr>
      <w:r>
        <w:rPr>
          <w:rFonts w:hint="cs"/>
          <w:rtl/>
        </w:rPr>
        <w:lastRenderedPageBreak/>
        <w:t>المقترح</w:t>
      </w:r>
    </w:p>
    <w:p w14:paraId="0A2170CD" w14:textId="756CEE65" w:rsidR="00AA056C" w:rsidRDefault="00F803FB" w:rsidP="00E56BD6">
      <w:pPr>
        <w:rPr>
          <w:rtl/>
          <w:lang w:bidi="ar-EG"/>
        </w:rPr>
      </w:pPr>
      <w:r w:rsidRPr="00F803FB">
        <w:rPr>
          <w:rtl/>
          <w:lang w:bidi="ar-EG"/>
        </w:rPr>
        <w:t xml:space="preserve">تؤيد الإدارات الموقعة على الوثيقة الأسلوب </w:t>
      </w:r>
      <w:r w:rsidRPr="00F803FB">
        <w:rPr>
          <w:lang w:bidi="ar-EG"/>
        </w:rPr>
        <w:t>A1</w:t>
      </w:r>
      <w:r w:rsidRPr="00F803FB">
        <w:rPr>
          <w:rtl/>
          <w:lang w:bidi="ar-EG"/>
        </w:rPr>
        <w:t xml:space="preserve"> في تقرير الاجتماع التحضيري للمؤتمر للوفاء بهذا البند من جدول الأعمال: لا</w:t>
      </w:r>
      <w:r w:rsidR="003D5EBF">
        <w:rPr>
          <w:rFonts w:hint="cs"/>
          <w:rtl/>
          <w:lang w:bidi="ar-EG"/>
        </w:rPr>
        <w:t> </w:t>
      </w:r>
      <w:r w:rsidRPr="00F803FB">
        <w:rPr>
          <w:rtl/>
          <w:lang w:bidi="ar-EG"/>
        </w:rPr>
        <w:t>تغيير في لوائح الراديو.</w:t>
      </w:r>
    </w:p>
    <w:p w14:paraId="18C167F3" w14:textId="6F029B4A" w:rsidR="00AA056C" w:rsidRDefault="00F803FB" w:rsidP="00AA056C">
      <w:pPr>
        <w:pStyle w:val="Headingb"/>
        <w:rPr>
          <w:rtl/>
        </w:rPr>
      </w:pPr>
      <w:r>
        <w:rPr>
          <w:rFonts w:hint="cs"/>
          <w:rtl/>
        </w:rPr>
        <w:t>وفيما يلي الاعتبارات الإجرائية والتنظيمية:</w:t>
      </w:r>
    </w:p>
    <w:p w14:paraId="520C56CD" w14:textId="77777777" w:rsidR="003D5EBF" w:rsidRDefault="003D5EBF" w:rsidP="003D5EBF">
      <w:pPr>
        <w:rPr>
          <w:rtl/>
        </w:rPr>
      </w:pPr>
    </w:p>
    <w:p w14:paraId="4031B901" w14:textId="5E226EBD" w:rsidR="00AA056C" w:rsidRDefault="00AA056C" w:rsidP="00E56BD6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2EBD02E1" w14:textId="77777777" w:rsidR="00044FE5" w:rsidRDefault="00050B05">
      <w:pPr>
        <w:pStyle w:val="Proposal"/>
      </w:pPr>
      <w:r>
        <w:rPr>
          <w:u w:val="single"/>
        </w:rPr>
        <w:lastRenderedPageBreak/>
        <w:t>NOC</w:t>
      </w:r>
      <w:r>
        <w:tab/>
        <w:t>ALG/DJI/IRQ/MRC/OMA/TUN/108/1</w:t>
      </w:r>
      <w:r>
        <w:rPr>
          <w:vanish/>
          <w:color w:val="7F7F7F" w:themeColor="text1" w:themeTint="80"/>
          <w:vertAlign w:val="superscript"/>
        </w:rPr>
        <w:t>#1463</w:t>
      </w:r>
    </w:p>
    <w:p w14:paraId="24242E82" w14:textId="77777777" w:rsidR="00050B05" w:rsidRPr="009168B1" w:rsidRDefault="00050B05" w:rsidP="00B30BD6">
      <w:pPr>
        <w:pStyle w:val="VolumeTitle0"/>
        <w:rPr>
          <w:rtl/>
          <w:lang w:val="en-US"/>
        </w:rPr>
      </w:pPr>
      <w:r w:rsidRPr="009168B1">
        <w:rPr>
          <w:rtl/>
          <w:lang w:val="en-US"/>
        </w:rPr>
        <w:t>المواد</w:t>
      </w:r>
    </w:p>
    <w:p w14:paraId="1B18F09E" w14:textId="77777777" w:rsidR="00044FE5" w:rsidRDefault="00044FE5">
      <w:pPr>
        <w:pStyle w:val="Reasons"/>
      </w:pPr>
    </w:p>
    <w:p w14:paraId="49F0BCE3" w14:textId="704DB8ED" w:rsidR="00AA056C" w:rsidRPr="00AA056C" w:rsidRDefault="00AA056C" w:rsidP="00AA056C">
      <w:pPr>
        <w:spacing w:before="600"/>
        <w:jc w:val="center"/>
        <w:rPr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AA056C" w:rsidRPr="00AA056C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9" w:h="16834" w:code="9"/>
      <w:pgMar w:top="1411" w:right="1138" w:bottom="1138" w:left="1138" w:header="562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6903" w14:textId="77777777" w:rsidR="001A6F04" w:rsidRDefault="001A6F04" w:rsidP="002919E1">
      <w:r>
        <w:separator/>
      </w:r>
    </w:p>
    <w:p w14:paraId="5D54814A" w14:textId="77777777" w:rsidR="001A6F04" w:rsidRDefault="001A6F04" w:rsidP="002919E1"/>
    <w:p w14:paraId="0DF0CEA0" w14:textId="77777777" w:rsidR="001A6F04" w:rsidRDefault="001A6F04" w:rsidP="002919E1"/>
    <w:p w14:paraId="6A338253" w14:textId="77777777" w:rsidR="001A6F04" w:rsidRDefault="001A6F04"/>
    <w:p w14:paraId="551B9ED1" w14:textId="77777777" w:rsidR="001A6F04" w:rsidRDefault="001A6F04"/>
  </w:endnote>
  <w:endnote w:type="continuationSeparator" w:id="0">
    <w:p w14:paraId="1FDBCA2A" w14:textId="77777777" w:rsidR="001A6F04" w:rsidRDefault="001A6F04" w:rsidP="002919E1">
      <w:r>
        <w:continuationSeparator/>
      </w:r>
    </w:p>
    <w:p w14:paraId="4DE76827" w14:textId="77777777" w:rsidR="001A6F04" w:rsidRDefault="001A6F04" w:rsidP="002919E1"/>
    <w:p w14:paraId="4193712A" w14:textId="77777777" w:rsidR="001A6F04" w:rsidRDefault="001A6F04" w:rsidP="002919E1"/>
    <w:p w14:paraId="50693FA8" w14:textId="77777777" w:rsidR="001A6F04" w:rsidRDefault="001A6F04"/>
    <w:p w14:paraId="70BC0358" w14:textId="77777777" w:rsidR="001A6F04" w:rsidRDefault="001A6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2316" w14:textId="3A3AAA71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C2F7A">
      <w:rPr>
        <w:noProof/>
        <w:sz w:val="16"/>
        <w:szCs w:val="16"/>
        <w:lang w:val="fr-FR"/>
      </w:rPr>
      <w:t>P:\ARA\ITU-R\CONF-R\CMR23\100\108A.docx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AA056C" w:rsidRPr="00AA056C">
      <w:rPr>
        <w:sz w:val="16"/>
        <w:szCs w:val="16"/>
        <w:lang w:val="fr-FR"/>
      </w:rPr>
      <w:t>530227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42B9" w14:textId="0FFE060C" w:rsidR="00BC2F7A" w:rsidRPr="00BC2F7A" w:rsidRDefault="00BC2F7A" w:rsidP="00BC2F7A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>
      <w:rPr>
        <w:noProof/>
        <w:sz w:val="16"/>
        <w:szCs w:val="16"/>
        <w:lang w:val="fr-FR"/>
      </w:rPr>
      <w:t>P:\ARA\ITU-R\CONF-R\CMR23\100\108A.docx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AA056C">
      <w:rPr>
        <w:sz w:val="16"/>
        <w:szCs w:val="16"/>
        <w:lang w:val="fr-FR"/>
      </w:rPr>
      <w:t>530227</w:t>
    </w:r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1B29" w14:textId="18319DBA" w:rsidR="00AA056C" w:rsidRPr="00AA056C" w:rsidRDefault="00AA056C" w:rsidP="00AA056C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C2F7A">
      <w:rPr>
        <w:noProof/>
        <w:sz w:val="16"/>
        <w:szCs w:val="16"/>
        <w:lang w:val="fr-FR"/>
      </w:rPr>
      <w:t>P:\ARA\ITU-R\CONF-R\CMR23\100\108A.docx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AA056C">
      <w:rPr>
        <w:sz w:val="16"/>
        <w:szCs w:val="16"/>
        <w:lang w:val="fr-FR"/>
      </w:rPr>
      <w:t>530227</w:t>
    </w:r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6DC5" w14:textId="77777777" w:rsidR="001A6F04" w:rsidRDefault="001A6F04" w:rsidP="00C45930">
      <w:r>
        <w:separator/>
      </w:r>
    </w:p>
  </w:footnote>
  <w:footnote w:type="continuationSeparator" w:id="0">
    <w:p w14:paraId="0E4AE2F3" w14:textId="77777777" w:rsidR="001A6F04" w:rsidRDefault="001A6F04" w:rsidP="002919E1">
      <w:r>
        <w:continuationSeparator/>
      </w:r>
    </w:p>
    <w:p w14:paraId="69F1337B" w14:textId="77777777" w:rsidR="001A6F04" w:rsidRDefault="001A6F04" w:rsidP="002919E1"/>
    <w:p w14:paraId="6550E028" w14:textId="77777777" w:rsidR="001A6F04" w:rsidRDefault="001A6F04" w:rsidP="002919E1"/>
    <w:p w14:paraId="6AB43CA4" w14:textId="77777777" w:rsidR="001A6F04" w:rsidRDefault="001A6F04"/>
    <w:p w14:paraId="1F873ED0" w14:textId="77777777" w:rsidR="001A6F04" w:rsidRDefault="001A6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49B6" w14:textId="618EFEEF" w:rsidR="00D63A6F" w:rsidRPr="00AA056C" w:rsidRDefault="005E5F16" w:rsidP="00AA056C">
    <w:pPr>
      <w:bidi w:val="0"/>
      <w:spacing w:after="360" w:line="240" w:lineRule="auto"/>
      <w:jc w:val="center"/>
      <w:rPr>
        <w:sz w:val="20"/>
        <w:szCs w:val="20"/>
      </w:rPr>
    </w:pPr>
    <w:r w:rsidRPr="00AA056C">
      <w:rPr>
        <w:rStyle w:val="PageNumber"/>
        <w:rFonts w:ascii="Dubai" w:hAnsi="Dubai" w:cs="Dubai"/>
      </w:rPr>
      <w:fldChar w:fldCharType="begin"/>
    </w:r>
    <w:r w:rsidRPr="00AA056C">
      <w:rPr>
        <w:rStyle w:val="PageNumber"/>
        <w:rFonts w:ascii="Dubai" w:hAnsi="Dubai" w:cs="Dubai"/>
      </w:rPr>
      <w:instrText xml:space="preserve"> PAGE </w:instrText>
    </w:r>
    <w:r w:rsidRPr="00AA056C">
      <w:rPr>
        <w:rStyle w:val="PageNumber"/>
        <w:rFonts w:ascii="Dubai" w:hAnsi="Dubai" w:cs="Dubai"/>
      </w:rPr>
      <w:fldChar w:fldCharType="separate"/>
    </w:r>
    <w:r w:rsidR="00F803FB">
      <w:rPr>
        <w:rStyle w:val="PageNumber"/>
        <w:rFonts w:ascii="Dubai" w:hAnsi="Dubai" w:cs="Dubai"/>
        <w:noProof/>
      </w:rPr>
      <w:t>2</w:t>
    </w:r>
    <w:r w:rsidRPr="00AA056C">
      <w:rPr>
        <w:rStyle w:val="PageNumber"/>
        <w:rFonts w:ascii="Dubai" w:hAnsi="Dubai" w:cs="Dubai"/>
      </w:rPr>
      <w:fldChar w:fldCharType="end"/>
    </w:r>
    <w:r w:rsidRPr="00AA056C">
      <w:rPr>
        <w:rStyle w:val="PageNumber"/>
        <w:rFonts w:ascii="Dubai" w:hAnsi="Dubai" w:cs="Dubai"/>
        <w:rtl/>
      </w:rPr>
      <w:br/>
    </w:r>
    <w:r w:rsidR="004F5F29" w:rsidRPr="00AA056C">
      <w:rPr>
        <w:rStyle w:val="PageNumber"/>
        <w:rFonts w:ascii="Dubai" w:hAnsi="Dubai" w:cs="Dubai"/>
      </w:rPr>
      <w:t>WRC</w:t>
    </w:r>
    <w:r w:rsidRPr="00AA056C">
      <w:rPr>
        <w:rStyle w:val="PageNumber"/>
        <w:rFonts w:ascii="Dubai" w:hAnsi="Dubai" w:cs="Dubai"/>
      </w:rPr>
      <w:t>23/108-A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E266" w14:textId="14659332" w:rsidR="00BC2F7A" w:rsidRPr="00BC2F7A" w:rsidRDefault="00BC2F7A" w:rsidP="00BC2F7A">
    <w:pPr>
      <w:bidi w:val="0"/>
      <w:spacing w:after="360" w:line="240" w:lineRule="auto"/>
      <w:jc w:val="center"/>
      <w:rPr>
        <w:sz w:val="20"/>
        <w:szCs w:val="20"/>
      </w:rPr>
    </w:pPr>
    <w:r w:rsidRPr="00AA056C">
      <w:rPr>
        <w:rStyle w:val="PageNumber"/>
        <w:rFonts w:ascii="Dubai" w:hAnsi="Dubai" w:cs="Dubai"/>
      </w:rPr>
      <w:fldChar w:fldCharType="begin"/>
    </w:r>
    <w:r w:rsidRPr="00AA056C">
      <w:rPr>
        <w:rStyle w:val="PageNumber"/>
        <w:rFonts w:ascii="Dubai" w:hAnsi="Dubai" w:cs="Dubai"/>
      </w:rPr>
      <w:instrText xml:space="preserve"> PAGE </w:instrText>
    </w:r>
    <w:r w:rsidRPr="00AA056C">
      <w:rPr>
        <w:rStyle w:val="PageNumber"/>
        <w:rFonts w:ascii="Dubai" w:hAnsi="Dubai" w:cs="Dubai"/>
      </w:rPr>
      <w:fldChar w:fldCharType="separate"/>
    </w:r>
    <w:r>
      <w:rPr>
        <w:rStyle w:val="PageNumber"/>
        <w:rFonts w:ascii="Dubai" w:hAnsi="Dubai" w:cs="Dubai"/>
      </w:rPr>
      <w:t>2</w:t>
    </w:r>
    <w:r w:rsidRPr="00AA056C">
      <w:rPr>
        <w:rStyle w:val="PageNumber"/>
        <w:rFonts w:ascii="Dubai" w:hAnsi="Dubai" w:cs="Dubai"/>
      </w:rPr>
      <w:fldChar w:fldCharType="end"/>
    </w:r>
    <w:r w:rsidRPr="00AA056C">
      <w:rPr>
        <w:rStyle w:val="PageNumber"/>
        <w:rFonts w:ascii="Dubai" w:hAnsi="Dubai" w:cs="Dubai"/>
        <w:rtl/>
      </w:rPr>
      <w:br/>
    </w:r>
    <w:r w:rsidRPr="00AA056C">
      <w:rPr>
        <w:rStyle w:val="PageNumber"/>
        <w:rFonts w:ascii="Dubai" w:hAnsi="Dubai" w:cs="Dubai"/>
      </w:rPr>
      <w:t>WRC23/108-A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60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68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9246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8C5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31695486">
    <w:abstractNumId w:val="9"/>
  </w:num>
  <w:num w:numId="2" w16cid:durableId="1457142643">
    <w:abstractNumId w:val="13"/>
  </w:num>
  <w:num w:numId="3" w16cid:durableId="391588035">
    <w:abstractNumId w:val="11"/>
  </w:num>
  <w:num w:numId="4" w16cid:durableId="918632994">
    <w:abstractNumId w:val="14"/>
  </w:num>
  <w:num w:numId="5" w16cid:durableId="25715424">
    <w:abstractNumId w:val="7"/>
  </w:num>
  <w:num w:numId="6" w16cid:durableId="32387883">
    <w:abstractNumId w:val="6"/>
  </w:num>
  <w:num w:numId="7" w16cid:durableId="1081828427">
    <w:abstractNumId w:val="5"/>
  </w:num>
  <w:num w:numId="8" w16cid:durableId="1289780256">
    <w:abstractNumId w:val="4"/>
  </w:num>
  <w:num w:numId="9" w16cid:durableId="1896700545">
    <w:abstractNumId w:val="8"/>
  </w:num>
  <w:num w:numId="10" w16cid:durableId="1769883193">
    <w:abstractNumId w:val="3"/>
  </w:num>
  <w:num w:numId="11" w16cid:durableId="452945053">
    <w:abstractNumId w:val="2"/>
  </w:num>
  <w:num w:numId="12" w16cid:durableId="2091463360">
    <w:abstractNumId w:val="1"/>
  </w:num>
  <w:num w:numId="13" w16cid:durableId="1950165900">
    <w:abstractNumId w:val="0"/>
  </w:num>
  <w:num w:numId="14" w16cid:durableId="439447296">
    <w:abstractNumId w:val="10"/>
  </w:num>
  <w:num w:numId="15" w16cid:durableId="1813710319">
    <w:abstractNumId w:val="15"/>
  </w:num>
  <w:num w:numId="16" w16cid:durableId="2116629779">
    <w:abstractNumId w:val="12"/>
  </w:num>
  <w:num w:numId="17" w16cid:durableId="668558404">
    <w:abstractNumId w:val="6"/>
  </w:num>
  <w:num w:numId="18" w16cid:durableId="1452743092">
    <w:abstractNumId w:val="5"/>
  </w:num>
  <w:num w:numId="19" w16cid:durableId="199634105">
    <w:abstractNumId w:val="3"/>
  </w:num>
  <w:num w:numId="20" w16cid:durableId="946238013">
    <w:abstractNumId w:val="2"/>
  </w:num>
  <w:num w:numId="21" w16cid:durableId="2012564772">
    <w:abstractNumId w:val="6"/>
  </w:num>
  <w:num w:numId="22" w16cid:durableId="1787657940">
    <w:abstractNumId w:val="5"/>
  </w:num>
  <w:num w:numId="23" w16cid:durableId="813792289">
    <w:abstractNumId w:val="3"/>
  </w:num>
  <w:num w:numId="24" w16cid:durableId="1963072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4FE5"/>
    <w:rsid w:val="00046844"/>
    <w:rsid w:val="00050B05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D5EBF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28C0"/>
    <w:rsid w:val="0075482A"/>
    <w:rsid w:val="007579F6"/>
    <w:rsid w:val="00757A9B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56F1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AC1"/>
    <w:rsid w:val="009B006F"/>
    <w:rsid w:val="009C3927"/>
    <w:rsid w:val="009D15C6"/>
    <w:rsid w:val="009D517B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A056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2F7A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73D82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3FB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A9AF44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basedOn w:val="DefaultParagraphFont"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unhideWhenUsed/>
    <w:qFormat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  <w:style w:type="paragraph" w:customStyle="1" w:styleId="VolumeTitle0">
    <w:name w:val="VolumeTitle"/>
    <w:basedOn w:val="Normal"/>
    <w:next w:val="Normal"/>
    <w:autoRedefine/>
    <w:qFormat/>
    <w:rsid w:val="00F157E0"/>
    <w:pPr>
      <w:keepNext/>
      <w:keepLines/>
      <w:tabs>
        <w:tab w:val="clear" w:pos="1871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SimSun"/>
      <w:b/>
      <w:bCs/>
      <w:sz w:val="32"/>
      <w:szCs w:val="32"/>
      <w:lang w:val="en-GB"/>
    </w:rPr>
  </w:style>
  <w:style w:type="paragraph" w:customStyle="1" w:styleId="Footnotetext0">
    <w:name w:val="Footnote_text"/>
    <w:basedOn w:val="Normal"/>
    <w:rsid w:val="00AA056C"/>
    <w:pPr>
      <w:tabs>
        <w:tab w:val="left" w:pos="1842"/>
      </w:tabs>
    </w:pPr>
    <w:rPr>
      <w:rFonts w:ascii="Times New Roman" w:hAnsi="Times New Roman" w:cs="Traditional Arabic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29a88cd-897f-4122-8402-bd1e5f53edae">DPM</DPM_x0020_Author>
    <DPM_x0020_File_x0020_name xmlns="d29a88cd-897f-4122-8402-bd1e5f53edae">R23-WRC23-C-0108!!MSW-A</DPM_x0020_File_x0020_name>
    <DPM_x0020_Version xmlns="d29a88cd-897f-4122-8402-bd1e5f53edae">DPM_2022.05.12.01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29a88cd-897f-4122-8402-bd1e5f53edae" targetNamespace="http://schemas.microsoft.com/office/2006/metadata/properties" ma:root="true" ma:fieldsID="d41af5c836d734370eb92e7ee5f83852" ns2:_="" ns3:_="">
    <xsd:import namespace="996b2e75-67fd-4955-a3b0-5ab9934cb50b"/>
    <xsd:import namespace="d29a88cd-897f-4122-8402-bd1e5f53eda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a88cd-897f-4122-8402-bd1e5f53eda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29a88cd-897f-4122-8402-bd1e5f53eda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2EE596-FA44-40D2-845A-A294046728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29a88cd-897f-4122-8402-bd1e5f53e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R23-WRC23-C-0108!!MSW-A</vt:lpstr>
    </vt:vector>
  </TitlesOfParts>
  <Manager>General Secretariat - Pool</Manager>
  <Company>International Telecommunication Union (ITU)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R23-WRC23-C-0108!!MSW-A</dc:title>
  <dc:creator>Documents Proposals Manager (DPM)</dc:creator>
  <cp:keywords>DPM_v2023.8.1.1_prod</cp:keywords>
  <cp:lastModifiedBy>Arabic-EA</cp:lastModifiedBy>
  <cp:revision>4</cp:revision>
  <cp:lastPrinted>2020-08-11T14:28:00Z</cp:lastPrinted>
  <dcterms:created xsi:type="dcterms:W3CDTF">2023-11-17T07:23:00Z</dcterms:created>
  <dcterms:modified xsi:type="dcterms:W3CDTF">2023-11-17T07:37:00Z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