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516F037" w14:textId="77777777" w:rsidTr="00F467B6">
        <w:trPr>
          <w:cantSplit/>
        </w:trPr>
        <w:tc>
          <w:tcPr>
            <w:tcW w:w="1560" w:type="dxa"/>
            <w:vAlign w:val="center"/>
          </w:tcPr>
          <w:p w14:paraId="30C0A08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918AB80" wp14:editId="427851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8DABAF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A43C630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CDC5D9F" wp14:editId="4D004B5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CD2A97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C0A1A1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A98A3D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EAF3D7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8BB970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F9D400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5C18ED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D6CD8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297D48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109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FDE673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D90DC3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95D003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A31D9A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22B9BE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E07BED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19F433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577024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869F21E" w14:textId="77777777">
        <w:trPr>
          <w:cantSplit/>
        </w:trPr>
        <w:tc>
          <w:tcPr>
            <w:tcW w:w="10031" w:type="dxa"/>
            <w:gridSpan w:val="4"/>
          </w:tcPr>
          <w:p w14:paraId="35E39F7B" w14:textId="74683B5D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阿尔及利亚（民主人民共和国）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（阿拉伯）埃及（共和国）</w:t>
            </w:r>
            <w:r w:rsidRPr="000273B7">
              <w:rPr>
                <w:lang w:eastAsia="zh-CN"/>
              </w:rPr>
              <w:t>/</w:t>
            </w:r>
            <w:r w:rsidR="00110BCD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阿拉伯联合酋长国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卡塔尔（国）</w:t>
            </w:r>
          </w:p>
        </w:tc>
      </w:tr>
      <w:tr w:rsidR="008221A4" w14:paraId="5B554E39" w14:textId="77777777">
        <w:trPr>
          <w:cantSplit/>
        </w:trPr>
        <w:tc>
          <w:tcPr>
            <w:tcW w:w="10031" w:type="dxa"/>
            <w:gridSpan w:val="4"/>
          </w:tcPr>
          <w:p w14:paraId="137A7132" w14:textId="35359766" w:rsidR="008221A4" w:rsidRDefault="00110BCD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493D8E7" w14:textId="77777777">
        <w:trPr>
          <w:cantSplit/>
        </w:trPr>
        <w:tc>
          <w:tcPr>
            <w:tcW w:w="10031" w:type="dxa"/>
            <w:gridSpan w:val="4"/>
          </w:tcPr>
          <w:p w14:paraId="72A6D05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6524B35" w14:textId="77777777">
        <w:trPr>
          <w:cantSplit/>
        </w:trPr>
        <w:tc>
          <w:tcPr>
            <w:tcW w:w="10031" w:type="dxa"/>
            <w:gridSpan w:val="4"/>
          </w:tcPr>
          <w:p w14:paraId="36F4BF0E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7(H)</w:t>
            </w:r>
          </w:p>
        </w:tc>
      </w:tr>
    </w:tbl>
    <w:bookmarkEnd w:id="7"/>
    <w:p w14:paraId="7E1C2942" w14:textId="77777777" w:rsidR="00B30DFD" w:rsidRPr="001D4EC0" w:rsidRDefault="00B30DFD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>
        <w:rPr>
          <w:rFonts w:hint="eastAsia"/>
          <w:lang w:eastAsia="zh-CN"/>
        </w:rPr>
        <w:t>；</w:t>
      </w:r>
      <w:proofErr w:type="gramEnd"/>
    </w:p>
    <w:p w14:paraId="1967D698" w14:textId="77777777" w:rsidR="00B30DFD" w:rsidRPr="00B30DFD" w:rsidRDefault="00B30DFD" w:rsidP="009A5BC8">
      <w:pPr>
        <w:rPr>
          <w:lang w:eastAsia="zh-CN"/>
        </w:rPr>
      </w:pPr>
      <w:r w:rsidRPr="003E4D1F">
        <w:rPr>
          <w:lang w:eastAsia="zh-CN"/>
        </w:rPr>
        <w:t>7(</w:t>
      </w:r>
      <w:r>
        <w:rPr>
          <w:lang w:eastAsia="zh-CN"/>
        </w:rPr>
        <w:t>H</w:t>
      </w:r>
      <w:r w:rsidRPr="003E4D1F">
        <w:rPr>
          <w:lang w:eastAsia="zh-CN"/>
        </w:rPr>
        <w:t>)</w:t>
      </w:r>
      <w:r w:rsidRPr="003E4D1F">
        <w:rPr>
          <w:lang w:eastAsia="zh-CN"/>
        </w:rPr>
        <w:tab/>
      </w:r>
      <w:r w:rsidRPr="00B30DFD">
        <w:rPr>
          <w:lang w:eastAsia="zh-CN"/>
        </w:rPr>
        <w:t>议题</w:t>
      </w:r>
      <w:r w:rsidRPr="00B30DFD">
        <w:rPr>
          <w:lang w:eastAsia="zh-CN"/>
        </w:rPr>
        <w:t xml:space="preserve">H - </w:t>
      </w:r>
      <w:r w:rsidRPr="00B30DFD">
        <w:rPr>
          <w:lang w:eastAsia="zh-CN"/>
        </w:rPr>
        <w:t>加强</w:t>
      </w:r>
      <w:r w:rsidRPr="00B30DFD">
        <w:rPr>
          <w:lang w:eastAsia="zh-CN"/>
        </w:rPr>
        <w:t>1</w:t>
      </w:r>
      <w:r w:rsidRPr="00B30DFD">
        <w:rPr>
          <w:lang w:eastAsia="zh-CN"/>
        </w:rPr>
        <w:t>区和</w:t>
      </w:r>
      <w:r w:rsidRPr="00B30DFD">
        <w:rPr>
          <w:lang w:eastAsia="zh-CN"/>
        </w:rPr>
        <w:t>3</w:t>
      </w:r>
      <w:r w:rsidRPr="00B30DFD">
        <w:rPr>
          <w:lang w:eastAsia="zh-CN"/>
        </w:rPr>
        <w:t>区《无线电规则》附录</w:t>
      </w:r>
      <w:r w:rsidRPr="00B30DFD">
        <w:rPr>
          <w:b/>
          <w:bCs/>
          <w:lang w:eastAsia="zh-CN"/>
        </w:rPr>
        <w:t>30/30A</w:t>
      </w:r>
      <w:r w:rsidRPr="00B30DFD">
        <w:rPr>
          <w:lang w:eastAsia="zh-CN"/>
        </w:rPr>
        <w:t>和《无线电规则》附录</w:t>
      </w:r>
      <w:r w:rsidRPr="00B30DFD">
        <w:rPr>
          <w:b/>
          <w:bCs/>
          <w:lang w:eastAsia="zh-CN"/>
        </w:rPr>
        <w:t>30B</w:t>
      </w:r>
      <w:r w:rsidRPr="00B30DFD">
        <w:rPr>
          <w:lang w:eastAsia="zh-CN"/>
        </w:rPr>
        <w:t>的保护</w:t>
      </w:r>
    </w:p>
    <w:p w14:paraId="3FA04462" w14:textId="77777777" w:rsidR="00622560" w:rsidRDefault="00622560" w:rsidP="003E5931">
      <w:pPr>
        <w:rPr>
          <w:lang w:eastAsia="zh-CN"/>
        </w:rPr>
      </w:pPr>
    </w:p>
    <w:p w14:paraId="026C422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27748A1" w14:textId="75062391" w:rsidR="00B30DFD" w:rsidRPr="00350142" w:rsidRDefault="0076461C" w:rsidP="00B30DFD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有关《无线电规则》附录</w:t>
      </w:r>
      <w:r w:rsidR="00B30DFD" w:rsidRPr="00350142">
        <w:rPr>
          <w:lang w:eastAsia="ja-JP"/>
        </w:rPr>
        <w:t>30/30A/30B</w:t>
      </w:r>
      <w:r>
        <w:rPr>
          <w:rFonts w:hint="eastAsia"/>
          <w:lang w:eastAsia="zh-CN"/>
        </w:rPr>
        <w:t>中的默许</w:t>
      </w:r>
      <w:r w:rsidR="00B30DFD" w:rsidRPr="00350142">
        <w:rPr>
          <w:lang w:eastAsia="ja-JP"/>
        </w:rPr>
        <w:t xml:space="preserve"> </w:t>
      </w:r>
      <w:r w:rsidR="00B30DFD" w:rsidRPr="00350142">
        <w:rPr>
          <w:lang w:eastAsia="zh-CN"/>
        </w:rPr>
        <w:t xml:space="preserve">– </w:t>
      </w:r>
      <w:r>
        <w:rPr>
          <w:rFonts w:hint="eastAsia"/>
          <w:lang w:eastAsia="zh-CN"/>
        </w:rPr>
        <w:t>方法</w:t>
      </w:r>
      <w:r w:rsidR="00B30DFD" w:rsidRPr="00350142">
        <w:rPr>
          <w:lang w:eastAsia="zh-CN"/>
        </w:rPr>
        <w:t>H1A</w:t>
      </w:r>
    </w:p>
    <w:p w14:paraId="0E330194" w14:textId="77777777" w:rsidR="0093470D" w:rsidRDefault="00B30DFD">
      <w:pPr>
        <w:pStyle w:val="Proposal"/>
      </w:pPr>
      <w:r>
        <w:rPr>
          <w:u w:val="single"/>
        </w:rPr>
        <w:t>NOC</w:t>
      </w:r>
      <w:r>
        <w:tab/>
        <w:t>ALG/EGY/UAE/QAT/109/1</w:t>
      </w:r>
      <w:r>
        <w:rPr>
          <w:vanish/>
          <w:color w:val="7F7F7F" w:themeColor="text1" w:themeTint="80"/>
          <w:vertAlign w:val="superscript"/>
        </w:rPr>
        <w:t>#2073</w:t>
      </w:r>
    </w:p>
    <w:p w14:paraId="55D046B6" w14:textId="013EB2BF" w:rsidR="00B30DFD" w:rsidRPr="003D4758" w:rsidRDefault="00B30DFD" w:rsidP="00FF368C">
      <w:pPr>
        <w:pStyle w:val="AppendixNo"/>
        <w:rPr>
          <w:lang w:eastAsia="zh-CN"/>
        </w:rPr>
      </w:pPr>
      <w:r w:rsidRPr="00FF368C">
        <w:rPr>
          <w:lang w:eastAsia="zh-CN"/>
        </w:rPr>
        <w:t>附录</w:t>
      </w:r>
      <w:r w:rsidRPr="00427BAD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9</w:t>
      </w:r>
      <w:r w:rsidRPr="003D4758">
        <w:rPr>
          <w:lang w:eastAsia="zh-CN"/>
        </w:rPr>
        <w:t>，修订版）</w:t>
      </w:r>
      <w:r w:rsidR="00CE5711" w:rsidRPr="005A3969">
        <w:rPr>
          <w:rStyle w:val="FootnoteReference"/>
          <w:lang w:eastAsia="zh-CN"/>
        </w:rPr>
        <w:t>*</w:t>
      </w:r>
    </w:p>
    <w:p w14:paraId="32358A96" w14:textId="77777777" w:rsidR="00B30DFD" w:rsidRDefault="00B30DFD" w:rsidP="002547A4">
      <w:pPr>
        <w:pStyle w:val="Appendixtitle"/>
        <w:rPr>
          <w:rFonts w:ascii="Times New Roman" w:hAnsi="Times New Roman"/>
          <w:sz w:val="16"/>
          <w:szCs w:val="16"/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</w:t>
      </w:r>
      <w:r w:rsidRPr="00B45526">
        <w:rPr>
          <w:lang w:eastAsia="zh-CN"/>
        </w:rPr>
        <w:t>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Pr="00427BAD">
        <w:rPr>
          <w:rFonts w:ascii="Times New Roman" w:hAnsi="Times New Roman"/>
          <w:b w:val="0"/>
          <w:bCs/>
          <w:sz w:val="16"/>
          <w:szCs w:val="16"/>
          <w:lang w:eastAsia="zh-CN"/>
        </w:rPr>
        <w:t>（</w:t>
      </w:r>
      <w:r w:rsidRPr="00427BAD">
        <w:rPr>
          <w:rFonts w:ascii="Times New Roman" w:hAnsi="Times New Roman"/>
          <w:b w:val="0"/>
          <w:bCs/>
          <w:sz w:val="16"/>
          <w:szCs w:val="16"/>
          <w:lang w:eastAsia="zh-CN"/>
        </w:rPr>
        <w:t>WRC-03</w:t>
      </w:r>
      <w:r w:rsidRPr="00427BAD">
        <w:rPr>
          <w:rFonts w:ascii="Times New Roman" w:hAnsi="Times New Roman"/>
          <w:b w:val="0"/>
          <w:bCs/>
          <w:sz w:val="16"/>
          <w:szCs w:val="16"/>
          <w:lang w:eastAsia="zh-CN"/>
        </w:rPr>
        <w:t>）</w:t>
      </w:r>
    </w:p>
    <w:p w14:paraId="4B12677F" w14:textId="77777777" w:rsidR="0093470D" w:rsidRDefault="0093470D">
      <w:pPr>
        <w:pStyle w:val="Reasons"/>
        <w:rPr>
          <w:lang w:eastAsia="zh-CN"/>
        </w:rPr>
      </w:pPr>
    </w:p>
    <w:p w14:paraId="1C194629" w14:textId="77777777" w:rsidR="0093470D" w:rsidRDefault="00B30DFD">
      <w:pPr>
        <w:pStyle w:val="Proposal"/>
      </w:pPr>
      <w:r>
        <w:rPr>
          <w:u w:val="single"/>
        </w:rPr>
        <w:t>NOC</w:t>
      </w:r>
      <w:r>
        <w:tab/>
        <w:t>ALG/EGY/UAE/QAT/109/2</w:t>
      </w:r>
      <w:r>
        <w:rPr>
          <w:vanish/>
          <w:color w:val="7F7F7F" w:themeColor="text1" w:themeTint="80"/>
          <w:vertAlign w:val="superscript"/>
        </w:rPr>
        <w:t>#2074</w:t>
      </w:r>
    </w:p>
    <w:p w14:paraId="10A55044" w14:textId="77777777" w:rsidR="00B30DFD" w:rsidRDefault="00B30DFD" w:rsidP="00FF368C">
      <w:pPr>
        <w:pStyle w:val="AppendixNo"/>
        <w:rPr>
          <w:lang w:eastAsia="zh-CN"/>
        </w:rPr>
      </w:pPr>
      <w:r w:rsidRPr="00FF368C">
        <w:rPr>
          <w:rFonts w:hint="eastAsia"/>
          <w:lang w:eastAsia="zh-CN"/>
        </w:rPr>
        <w:t>附录</w:t>
      </w:r>
      <w:r w:rsidRPr="00427BAD">
        <w:rPr>
          <w:rStyle w:val="href"/>
          <w:rFonts w:hint="eastAsia"/>
          <w:lang w:eastAsia="zh-CN"/>
        </w:rPr>
        <w:t>30A</w:t>
      </w:r>
      <w:r w:rsidRPr="00427BA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，修订版）</w:t>
      </w:r>
      <w:r>
        <w:rPr>
          <w:rStyle w:val="FootnoteReference"/>
          <w:color w:val="000000"/>
          <w:lang w:eastAsia="zh-CN"/>
        </w:rPr>
        <w:t>*</w:t>
      </w:r>
    </w:p>
    <w:p w14:paraId="3104EB1D" w14:textId="77777777" w:rsidR="00B30DFD" w:rsidRPr="00B339DF" w:rsidRDefault="00B30DFD" w:rsidP="002547A4">
      <w:pPr>
        <w:pStyle w:val="Appendixtitle"/>
        <w:rPr>
          <w:noProof/>
          <w:lang w:eastAsia="zh-CN"/>
        </w:rPr>
      </w:pPr>
      <w:r w:rsidRPr="00B339DF">
        <w:rPr>
          <w:rFonts w:hAnsi="SimSun"/>
          <w:noProof/>
          <w:lang w:eastAsia="zh-CN"/>
        </w:rPr>
        <w:t>关于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14.5-14.8 GHz</w:t>
      </w:r>
      <w:r w:rsidRPr="00AE1D31">
        <w:rPr>
          <w:rStyle w:val="FootnoteReference"/>
          <w:lang w:eastAsia="zh-CN"/>
        </w:rPr>
        <w:t>2</w:t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17.3-18.1 GHz</w:t>
      </w:r>
      <w:r w:rsidRPr="00B339DF">
        <w:rPr>
          <w:rFonts w:hAnsi="SimSun"/>
          <w:noProof/>
          <w:lang w:eastAsia="zh-CN"/>
        </w:rPr>
        <w:t>及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17.3-17.8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频段内卫星广播业务（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11.7-12.5 GHz</w:t>
      </w:r>
      <w:r w:rsidRPr="00B339DF">
        <w:rPr>
          <w:rFonts w:hAnsi="SimSun"/>
          <w:noProof/>
          <w:lang w:eastAsia="zh-CN"/>
        </w:rPr>
        <w:t>、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12.2-12.7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11.7-12.2 GHz</w:t>
      </w:r>
      <w:r w:rsidRPr="00B339DF">
        <w:rPr>
          <w:rFonts w:hAnsi="SimSun"/>
          <w:noProof/>
          <w:lang w:eastAsia="zh-CN"/>
        </w:rPr>
        <w:t>）馈线链路的条款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和相关规划和列表</w:t>
      </w:r>
      <w:r w:rsidRPr="00AE1D31">
        <w:rPr>
          <w:rStyle w:val="FootnoteReference"/>
          <w:lang w:eastAsia="zh-CN"/>
        </w:rPr>
        <w:t>1</w:t>
      </w:r>
      <w:r w:rsidRPr="009F2E3C">
        <w:rPr>
          <w:rFonts w:ascii="Times New Roman" w:hAnsi="Times New Roman"/>
          <w:b w:val="0"/>
          <w:bCs/>
          <w:noProof/>
          <w:sz w:val="16"/>
          <w:szCs w:val="16"/>
          <w:lang w:eastAsia="zh-CN"/>
        </w:rPr>
        <w:t>（</w:t>
      </w:r>
      <w:r w:rsidRPr="009F2E3C">
        <w:rPr>
          <w:rFonts w:ascii="Times New Roman" w:hAnsi="Times New Roman"/>
          <w:b w:val="0"/>
          <w:bCs/>
          <w:noProof/>
          <w:sz w:val="16"/>
          <w:szCs w:val="16"/>
          <w:lang w:eastAsia="zh-CN"/>
        </w:rPr>
        <w:t>WRC-03</w:t>
      </w:r>
      <w:r w:rsidRPr="009F2E3C">
        <w:rPr>
          <w:rFonts w:ascii="Times New Roman" w:hAnsi="Times New Roman"/>
          <w:b w:val="0"/>
          <w:bCs/>
          <w:noProof/>
          <w:sz w:val="16"/>
          <w:szCs w:val="16"/>
          <w:lang w:eastAsia="zh-CN"/>
        </w:rPr>
        <w:t>）</w:t>
      </w:r>
    </w:p>
    <w:p w14:paraId="24BC8A08" w14:textId="77777777" w:rsidR="0093470D" w:rsidRDefault="0093470D">
      <w:pPr>
        <w:pStyle w:val="Reasons"/>
        <w:rPr>
          <w:lang w:eastAsia="zh-CN"/>
        </w:rPr>
      </w:pPr>
    </w:p>
    <w:p w14:paraId="70082E38" w14:textId="77777777" w:rsidR="0093470D" w:rsidRDefault="00B30DFD">
      <w:pPr>
        <w:pStyle w:val="Proposal"/>
      </w:pPr>
      <w:r>
        <w:rPr>
          <w:u w:val="single"/>
        </w:rPr>
        <w:t>NOC</w:t>
      </w:r>
      <w:r>
        <w:tab/>
        <w:t>ALG/EGY/UAE/QAT/109/3</w:t>
      </w:r>
      <w:r>
        <w:rPr>
          <w:vanish/>
          <w:color w:val="7F7F7F" w:themeColor="text1" w:themeTint="80"/>
          <w:vertAlign w:val="superscript"/>
        </w:rPr>
        <w:t>#2075</w:t>
      </w:r>
    </w:p>
    <w:p w14:paraId="04E207F8" w14:textId="77777777" w:rsidR="00B30DFD" w:rsidRDefault="00B30DFD" w:rsidP="00FF368C">
      <w:pPr>
        <w:pStyle w:val="AppendixNo"/>
        <w:rPr>
          <w:lang w:eastAsia="zh-CN"/>
        </w:rPr>
      </w:pPr>
      <w:r w:rsidRPr="00FF368C">
        <w:rPr>
          <w:rFonts w:hint="eastAsia"/>
          <w:lang w:eastAsia="zh-CN"/>
        </w:rPr>
        <w:t>附录</w:t>
      </w:r>
      <w:r w:rsidRPr="00427BAD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，修订版）</w:t>
      </w:r>
    </w:p>
    <w:p w14:paraId="6E585EAD" w14:textId="77777777" w:rsidR="00B30DFD" w:rsidRDefault="00B30DFD" w:rsidP="00B63DE2">
      <w:pPr>
        <w:pStyle w:val="Appendixtitle"/>
        <w:rPr>
          <w:lang w:eastAsia="zh-CN"/>
        </w:rPr>
      </w:pPr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</w:p>
    <w:p w14:paraId="4F350BC8" w14:textId="77777777" w:rsidR="0093470D" w:rsidRDefault="0093470D">
      <w:pPr>
        <w:pStyle w:val="Reasons"/>
        <w:rPr>
          <w:lang w:eastAsia="zh-CN"/>
        </w:rPr>
      </w:pPr>
    </w:p>
    <w:p w14:paraId="4881D759" w14:textId="4B553D22" w:rsidR="00B30DFD" w:rsidRPr="00350142" w:rsidRDefault="0076461C" w:rsidP="00B30DFD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有关《无线电规则》附录</w:t>
      </w:r>
      <w:r w:rsidRPr="00350142">
        <w:rPr>
          <w:lang w:eastAsia="zh-CN"/>
        </w:rPr>
        <w:t>30/30A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区的</w:t>
      </w:r>
      <w:r w:rsidR="00B30DFD" w:rsidRPr="00350142">
        <w:rPr>
          <w:lang w:eastAsia="zh-CN"/>
        </w:rPr>
        <w:t>EPM</w:t>
      </w:r>
      <w:r>
        <w:rPr>
          <w:rFonts w:hint="eastAsia"/>
          <w:lang w:eastAsia="zh-CN"/>
        </w:rPr>
        <w:t>衰减容限：方法</w:t>
      </w:r>
      <w:r w:rsidRPr="00350142">
        <w:rPr>
          <w:lang w:eastAsia="zh-CN"/>
        </w:rPr>
        <w:t>H2A</w:t>
      </w:r>
    </w:p>
    <w:p w14:paraId="4111D817" w14:textId="77777777" w:rsidR="0093470D" w:rsidRDefault="00B30DFD">
      <w:pPr>
        <w:pStyle w:val="Proposal"/>
      </w:pPr>
      <w:r>
        <w:rPr>
          <w:u w:val="single"/>
        </w:rPr>
        <w:t>NOC</w:t>
      </w:r>
      <w:r>
        <w:tab/>
        <w:t>ALG/EGY/UAE/QAT/109/4</w:t>
      </w:r>
      <w:r>
        <w:rPr>
          <w:vanish/>
          <w:color w:val="7F7F7F" w:themeColor="text1" w:themeTint="80"/>
          <w:vertAlign w:val="superscript"/>
        </w:rPr>
        <w:t>#2144</w:t>
      </w:r>
    </w:p>
    <w:p w14:paraId="649BBB6D" w14:textId="77777777" w:rsidR="00B30DFD" w:rsidRPr="004308DD" w:rsidRDefault="00B30DFD" w:rsidP="009B6BCB">
      <w:pPr>
        <w:pStyle w:val="AppendixNo"/>
        <w:rPr>
          <w:lang w:eastAsia="zh-CN"/>
        </w:rPr>
      </w:pPr>
      <w:r w:rsidRPr="004308DD">
        <w:rPr>
          <w:lang w:eastAsia="zh-CN"/>
        </w:rPr>
        <w:t>附录</w:t>
      </w:r>
      <w:r w:rsidRPr="004308DD">
        <w:rPr>
          <w:rStyle w:val="href"/>
          <w:lang w:eastAsia="zh-CN"/>
        </w:rPr>
        <w:t>30</w:t>
      </w:r>
      <w:r w:rsidRPr="004308DD">
        <w:rPr>
          <w:lang w:eastAsia="zh-CN"/>
        </w:rPr>
        <w:t>（</w:t>
      </w:r>
      <w:r w:rsidRPr="004308DD">
        <w:rPr>
          <w:lang w:eastAsia="zh-CN"/>
        </w:rPr>
        <w:t>WRC-</w:t>
      </w:r>
      <w:r w:rsidRPr="004308DD">
        <w:rPr>
          <w:rFonts w:hint="eastAsia"/>
          <w:lang w:eastAsia="zh-CN"/>
        </w:rPr>
        <w:t>1</w:t>
      </w:r>
      <w:r w:rsidRPr="004308DD">
        <w:rPr>
          <w:lang w:eastAsia="zh-CN"/>
        </w:rPr>
        <w:t>9</w:t>
      </w:r>
      <w:r w:rsidRPr="004308DD">
        <w:rPr>
          <w:lang w:eastAsia="zh-CN"/>
        </w:rPr>
        <w:t>，修订版）</w:t>
      </w:r>
      <w:r w:rsidRPr="004308DD">
        <w:rPr>
          <w:rStyle w:val="FootnoteReference"/>
          <w:szCs w:val="18"/>
          <w:lang w:eastAsia="zh-CN"/>
        </w:rPr>
        <w:t>*</w:t>
      </w:r>
    </w:p>
    <w:p w14:paraId="457232F8" w14:textId="77777777" w:rsidR="00B30DFD" w:rsidRPr="004308DD" w:rsidRDefault="00B30DFD" w:rsidP="009B6BCB">
      <w:pPr>
        <w:pStyle w:val="Appendixtitle"/>
        <w:rPr>
          <w:rFonts w:ascii="Times New Roman"/>
          <w:b w:val="0"/>
          <w:bCs/>
          <w:color w:val="000000"/>
          <w:sz w:val="16"/>
          <w:lang w:eastAsia="zh-CN"/>
        </w:rPr>
      </w:pPr>
      <w:r w:rsidRPr="004308DD">
        <w:rPr>
          <w:lang w:eastAsia="zh-CN"/>
        </w:rPr>
        <w:t>关于</w:t>
      </w:r>
      <w:r w:rsidRPr="004308DD">
        <w:rPr>
          <w:lang w:eastAsia="zh-CN"/>
        </w:rPr>
        <w:t>11.7-12.2 GHz</w:t>
      </w:r>
      <w:r w:rsidRPr="004308DD">
        <w:rPr>
          <w:lang w:eastAsia="zh-CN"/>
        </w:rPr>
        <w:t>（</w:t>
      </w:r>
      <w:r w:rsidRPr="004308DD">
        <w:rPr>
          <w:lang w:eastAsia="zh-CN"/>
        </w:rPr>
        <w:t>3</w:t>
      </w:r>
      <w:r w:rsidRPr="004308DD">
        <w:rPr>
          <w:lang w:eastAsia="zh-CN"/>
        </w:rPr>
        <w:t>区）、</w:t>
      </w:r>
      <w:r w:rsidRPr="004308DD">
        <w:rPr>
          <w:lang w:eastAsia="zh-CN"/>
        </w:rPr>
        <w:t>11.7-12.5 GHz</w:t>
      </w:r>
      <w:r w:rsidRPr="004308DD">
        <w:rPr>
          <w:lang w:eastAsia="zh-CN"/>
        </w:rPr>
        <w:t>（</w:t>
      </w:r>
      <w:r w:rsidRPr="004308DD">
        <w:rPr>
          <w:lang w:eastAsia="zh-CN"/>
        </w:rPr>
        <w:t>1</w:t>
      </w:r>
      <w:r w:rsidRPr="004308DD">
        <w:rPr>
          <w:lang w:eastAsia="zh-CN"/>
        </w:rPr>
        <w:t>区）和</w:t>
      </w:r>
      <w:r w:rsidRPr="004308DD">
        <w:rPr>
          <w:lang w:eastAsia="zh-CN"/>
        </w:rPr>
        <w:br/>
        <w:t>12.2-12.7 GHz</w:t>
      </w:r>
      <w:r w:rsidRPr="004308DD">
        <w:rPr>
          <w:lang w:eastAsia="zh-CN"/>
        </w:rPr>
        <w:t>（</w:t>
      </w:r>
      <w:r w:rsidRPr="004308DD">
        <w:rPr>
          <w:lang w:eastAsia="zh-CN"/>
        </w:rPr>
        <w:t>2</w:t>
      </w:r>
      <w:r w:rsidRPr="004308DD">
        <w:rPr>
          <w:lang w:eastAsia="zh-CN"/>
        </w:rPr>
        <w:t>区）频段内所有业务的条款以及</w:t>
      </w:r>
      <w:r w:rsidRPr="004308DD">
        <w:rPr>
          <w:rFonts w:hint="eastAsia"/>
          <w:lang w:eastAsia="zh-CN"/>
        </w:rPr>
        <w:br/>
      </w:r>
      <w:r w:rsidRPr="004308DD">
        <w:rPr>
          <w:lang w:eastAsia="zh-CN"/>
        </w:rPr>
        <w:t>与卫星广播业务的相关规划和</w:t>
      </w:r>
      <w:proofErr w:type="gramStart"/>
      <w:r w:rsidRPr="004308DD">
        <w:rPr>
          <w:lang w:eastAsia="zh-CN"/>
        </w:rPr>
        <w:t>指配表</w:t>
      </w:r>
      <w:proofErr w:type="gramEnd"/>
      <w:r w:rsidRPr="004308DD">
        <w:rPr>
          <w:rStyle w:val="FootnoteReference"/>
          <w:lang w:eastAsia="zh-CN"/>
        </w:rPr>
        <w:t>1</w:t>
      </w:r>
      <w:r w:rsidRPr="004308DD">
        <w:rPr>
          <w:rFonts w:ascii="Times New Roman" w:hAnsi="Times New Roman"/>
          <w:b w:val="0"/>
          <w:sz w:val="16"/>
          <w:szCs w:val="16"/>
          <w:lang w:eastAsia="zh-CN"/>
        </w:rPr>
        <w:t>（</w:t>
      </w:r>
      <w:r w:rsidRPr="004308DD">
        <w:rPr>
          <w:rFonts w:ascii="Times New Roman" w:hAnsi="Times New Roman"/>
          <w:b w:val="0"/>
          <w:sz w:val="16"/>
          <w:szCs w:val="16"/>
          <w:lang w:eastAsia="zh-CN"/>
        </w:rPr>
        <w:t>WRC-03</w:t>
      </w:r>
      <w:r w:rsidRPr="004308DD">
        <w:rPr>
          <w:rFonts w:ascii="Times New Roman" w:hAnsi="Times New Roman"/>
          <w:b w:val="0"/>
          <w:sz w:val="16"/>
          <w:szCs w:val="16"/>
          <w:lang w:eastAsia="zh-CN"/>
        </w:rPr>
        <w:t>）</w:t>
      </w:r>
    </w:p>
    <w:p w14:paraId="491A1CEC" w14:textId="77777777" w:rsidR="0093470D" w:rsidRDefault="0093470D">
      <w:pPr>
        <w:pStyle w:val="Reasons"/>
        <w:rPr>
          <w:lang w:eastAsia="zh-CN"/>
        </w:rPr>
      </w:pPr>
    </w:p>
    <w:p w14:paraId="09D478DB" w14:textId="77777777" w:rsidR="0093470D" w:rsidRDefault="00B30DFD">
      <w:pPr>
        <w:pStyle w:val="Proposal"/>
      </w:pPr>
      <w:r>
        <w:rPr>
          <w:u w:val="single"/>
        </w:rPr>
        <w:t>NOC</w:t>
      </w:r>
      <w:r>
        <w:tab/>
        <w:t>ALG/EGY/UAE/QAT/109/5</w:t>
      </w:r>
      <w:r>
        <w:rPr>
          <w:vanish/>
          <w:color w:val="7F7F7F" w:themeColor="text1" w:themeTint="80"/>
          <w:vertAlign w:val="superscript"/>
        </w:rPr>
        <w:t>#2145</w:t>
      </w:r>
    </w:p>
    <w:p w14:paraId="372D2B59" w14:textId="77777777" w:rsidR="00B30DFD" w:rsidRPr="004308DD" w:rsidRDefault="00B30DFD" w:rsidP="00DC3A7B">
      <w:pPr>
        <w:pStyle w:val="AppendixNo"/>
        <w:rPr>
          <w:lang w:eastAsia="zh-CN"/>
        </w:rPr>
      </w:pPr>
      <w:r w:rsidRPr="004308DD">
        <w:rPr>
          <w:rFonts w:hint="eastAsia"/>
          <w:lang w:eastAsia="zh-CN"/>
        </w:rPr>
        <w:t>附录</w:t>
      </w:r>
      <w:r w:rsidRPr="004308DD">
        <w:rPr>
          <w:rStyle w:val="href"/>
          <w:rFonts w:hint="eastAsia"/>
          <w:lang w:eastAsia="zh-CN"/>
        </w:rPr>
        <w:t>30A</w:t>
      </w:r>
      <w:r w:rsidRPr="004308DD">
        <w:rPr>
          <w:rFonts w:hint="eastAsia"/>
          <w:lang w:eastAsia="zh-CN"/>
        </w:rPr>
        <w:t>（</w:t>
      </w:r>
      <w:r w:rsidRPr="004308DD">
        <w:rPr>
          <w:rFonts w:hint="eastAsia"/>
          <w:lang w:eastAsia="zh-CN"/>
        </w:rPr>
        <w:t>WRC-19</w:t>
      </w:r>
      <w:r w:rsidRPr="004308DD">
        <w:rPr>
          <w:rFonts w:hint="eastAsia"/>
          <w:lang w:eastAsia="zh-CN"/>
        </w:rPr>
        <w:t>，修订版）</w:t>
      </w:r>
      <w:r w:rsidRPr="004308DD">
        <w:rPr>
          <w:rStyle w:val="FootnoteReference"/>
          <w:szCs w:val="18"/>
          <w:lang w:eastAsia="zh-CN"/>
        </w:rPr>
        <w:t>*</w:t>
      </w:r>
    </w:p>
    <w:p w14:paraId="5AE4BB3D" w14:textId="77777777" w:rsidR="00B30DFD" w:rsidRPr="004308DD" w:rsidRDefault="00B30DFD" w:rsidP="009B6BCB">
      <w:pPr>
        <w:pStyle w:val="Appendixtitle"/>
        <w:rPr>
          <w:b w:val="0"/>
          <w:bCs/>
          <w:sz w:val="16"/>
          <w:lang w:val="en-US" w:eastAsia="zh-CN"/>
        </w:rPr>
      </w:pPr>
      <w:r w:rsidRPr="004308DD">
        <w:rPr>
          <w:rFonts w:hAnsi="SimSun"/>
          <w:noProof/>
          <w:lang w:eastAsia="zh-CN"/>
        </w:rPr>
        <w:t>关于</w:t>
      </w:r>
      <w:r w:rsidRPr="004308DD">
        <w:rPr>
          <w:noProof/>
          <w:lang w:eastAsia="zh-CN"/>
        </w:rPr>
        <w:t>1</w:t>
      </w:r>
      <w:r w:rsidRPr="004308DD">
        <w:rPr>
          <w:rFonts w:hAnsi="SimSun"/>
          <w:noProof/>
          <w:lang w:eastAsia="zh-CN"/>
        </w:rPr>
        <w:t>区和</w:t>
      </w:r>
      <w:r w:rsidRPr="004308DD">
        <w:rPr>
          <w:noProof/>
          <w:lang w:eastAsia="zh-CN"/>
        </w:rPr>
        <w:t>3</w:t>
      </w:r>
      <w:r w:rsidRPr="004308DD">
        <w:rPr>
          <w:rFonts w:hAnsi="SimSun"/>
          <w:noProof/>
          <w:lang w:eastAsia="zh-CN"/>
        </w:rPr>
        <w:t>区</w:t>
      </w:r>
      <w:r w:rsidRPr="004308DD">
        <w:rPr>
          <w:noProof/>
          <w:lang w:eastAsia="zh-CN"/>
        </w:rPr>
        <w:t>14.5-14.8 GHz</w:t>
      </w:r>
      <w:r w:rsidRPr="004308DD">
        <w:rPr>
          <w:rFonts w:hAnsi="SimSun"/>
          <w:b w:val="0"/>
          <w:noProof/>
          <w:sz w:val="18"/>
          <w:szCs w:val="18"/>
          <w:vertAlign w:val="superscript"/>
          <w:lang w:eastAsia="zh-CN"/>
        </w:rPr>
        <w:t>2</w:t>
      </w:r>
      <w:r w:rsidRPr="004308DD">
        <w:rPr>
          <w:rFonts w:hAnsi="SimSun"/>
          <w:noProof/>
          <w:lang w:eastAsia="zh-CN"/>
        </w:rPr>
        <w:t>和</w:t>
      </w:r>
      <w:r w:rsidRPr="004308DD">
        <w:rPr>
          <w:noProof/>
          <w:lang w:eastAsia="zh-CN"/>
        </w:rPr>
        <w:t>17.3-18.1 GHz</w:t>
      </w:r>
      <w:r w:rsidRPr="004308DD">
        <w:rPr>
          <w:rFonts w:hAnsi="SimSun"/>
          <w:noProof/>
          <w:lang w:eastAsia="zh-CN"/>
        </w:rPr>
        <w:t>及</w:t>
      </w:r>
      <w:r w:rsidRPr="004308DD">
        <w:rPr>
          <w:noProof/>
          <w:lang w:eastAsia="zh-CN"/>
        </w:rPr>
        <w:t>2</w:t>
      </w:r>
      <w:r w:rsidRPr="004308DD">
        <w:rPr>
          <w:rFonts w:hAnsi="SimSun"/>
          <w:noProof/>
          <w:lang w:eastAsia="zh-CN"/>
        </w:rPr>
        <w:t>区</w:t>
      </w:r>
      <w:r w:rsidRPr="004308DD">
        <w:rPr>
          <w:noProof/>
          <w:lang w:eastAsia="zh-CN"/>
        </w:rPr>
        <w:t>17.3-17.8 GHz</w:t>
      </w:r>
      <w:r w:rsidRPr="004308DD">
        <w:rPr>
          <w:noProof/>
          <w:lang w:eastAsia="zh-CN"/>
        </w:rPr>
        <w:br/>
      </w:r>
      <w:r w:rsidRPr="004308DD">
        <w:rPr>
          <w:rFonts w:hAnsi="SimSun"/>
          <w:noProof/>
          <w:lang w:eastAsia="zh-CN"/>
        </w:rPr>
        <w:t>频段内卫星广播业务（</w:t>
      </w:r>
      <w:r w:rsidRPr="004308DD">
        <w:rPr>
          <w:noProof/>
          <w:lang w:eastAsia="zh-CN"/>
        </w:rPr>
        <w:t>1</w:t>
      </w:r>
      <w:r w:rsidRPr="004308DD">
        <w:rPr>
          <w:rFonts w:hAnsi="SimSun"/>
          <w:noProof/>
          <w:lang w:eastAsia="zh-CN"/>
        </w:rPr>
        <w:t>区</w:t>
      </w:r>
      <w:r w:rsidRPr="004308DD">
        <w:rPr>
          <w:noProof/>
          <w:lang w:eastAsia="zh-CN"/>
        </w:rPr>
        <w:t>11.7-12.5 GHz</w:t>
      </w:r>
      <w:r w:rsidRPr="004308DD">
        <w:rPr>
          <w:rFonts w:hAnsi="SimSun"/>
          <w:noProof/>
          <w:lang w:eastAsia="zh-CN"/>
        </w:rPr>
        <w:t>、</w:t>
      </w:r>
      <w:r w:rsidRPr="004308DD">
        <w:rPr>
          <w:noProof/>
          <w:lang w:eastAsia="zh-CN"/>
        </w:rPr>
        <w:t>2</w:t>
      </w:r>
      <w:r w:rsidRPr="004308DD">
        <w:rPr>
          <w:rFonts w:hAnsi="SimSun"/>
          <w:noProof/>
          <w:lang w:eastAsia="zh-CN"/>
        </w:rPr>
        <w:t>区</w:t>
      </w:r>
      <w:r w:rsidRPr="004308DD">
        <w:rPr>
          <w:noProof/>
          <w:lang w:eastAsia="zh-CN"/>
        </w:rPr>
        <w:t>12.2-12.7 GHz</w:t>
      </w:r>
      <w:r w:rsidRPr="004308DD">
        <w:rPr>
          <w:noProof/>
          <w:lang w:eastAsia="zh-CN"/>
        </w:rPr>
        <w:br/>
      </w:r>
      <w:r w:rsidRPr="004308DD">
        <w:rPr>
          <w:rFonts w:hAnsi="SimSun"/>
          <w:noProof/>
          <w:lang w:eastAsia="zh-CN"/>
        </w:rPr>
        <w:t>和</w:t>
      </w:r>
      <w:r w:rsidRPr="004308DD">
        <w:rPr>
          <w:noProof/>
          <w:lang w:eastAsia="zh-CN"/>
        </w:rPr>
        <w:t>3</w:t>
      </w:r>
      <w:r w:rsidRPr="004308DD">
        <w:rPr>
          <w:rFonts w:hAnsi="SimSun"/>
          <w:noProof/>
          <w:lang w:eastAsia="zh-CN"/>
        </w:rPr>
        <w:t>区</w:t>
      </w:r>
      <w:r w:rsidRPr="004308DD">
        <w:rPr>
          <w:noProof/>
          <w:lang w:eastAsia="zh-CN"/>
        </w:rPr>
        <w:t>11.7-12.2 GHz</w:t>
      </w:r>
      <w:r w:rsidRPr="004308DD">
        <w:rPr>
          <w:rFonts w:hAnsi="SimSun"/>
          <w:noProof/>
          <w:lang w:eastAsia="zh-CN"/>
        </w:rPr>
        <w:t>）馈线链路的条款</w:t>
      </w:r>
      <w:r w:rsidRPr="004308DD">
        <w:rPr>
          <w:noProof/>
          <w:lang w:eastAsia="zh-CN"/>
        </w:rPr>
        <w:br/>
      </w:r>
      <w:r w:rsidRPr="004308DD">
        <w:rPr>
          <w:rFonts w:hAnsi="SimSun"/>
          <w:noProof/>
          <w:lang w:eastAsia="zh-CN"/>
        </w:rPr>
        <w:t>和相关规划和列表</w:t>
      </w:r>
      <w:r w:rsidRPr="004308DD">
        <w:rPr>
          <w:rStyle w:val="FootnoteReference"/>
          <w:lang w:eastAsia="zh-CN"/>
        </w:rPr>
        <w:t>1</w:t>
      </w:r>
      <w:r w:rsidRPr="004308DD">
        <w:rPr>
          <w:rFonts w:ascii="Times New Roman" w:hAnsi="Times New Roman"/>
          <w:b w:val="0"/>
          <w:bCs/>
          <w:noProof/>
          <w:sz w:val="16"/>
          <w:szCs w:val="16"/>
          <w:lang w:eastAsia="zh-CN"/>
        </w:rPr>
        <w:t>（</w:t>
      </w:r>
      <w:r w:rsidRPr="004308DD">
        <w:rPr>
          <w:rFonts w:ascii="Times New Roman" w:hAnsi="Times New Roman"/>
          <w:b w:val="0"/>
          <w:bCs/>
          <w:noProof/>
          <w:sz w:val="16"/>
          <w:szCs w:val="16"/>
          <w:lang w:eastAsia="zh-CN"/>
        </w:rPr>
        <w:t>WRC-03</w:t>
      </w:r>
      <w:r w:rsidRPr="004308DD">
        <w:rPr>
          <w:rFonts w:ascii="Times New Roman" w:hAnsi="Times New Roman"/>
          <w:b w:val="0"/>
          <w:bCs/>
          <w:noProof/>
          <w:sz w:val="16"/>
          <w:szCs w:val="16"/>
          <w:lang w:eastAsia="zh-CN"/>
        </w:rPr>
        <w:t>）</w:t>
      </w:r>
    </w:p>
    <w:p w14:paraId="29EFFE24" w14:textId="77777777" w:rsidR="00B30DFD" w:rsidRDefault="00B30DFD" w:rsidP="00411C49">
      <w:pPr>
        <w:pStyle w:val="Reasons"/>
        <w:rPr>
          <w:lang w:eastAsia="zh-CN"/>
        </w:rPr>
      </w:pPr>
    </w:p>
    <w:p w14:paraId="76F56C90" w14:textId="77777777" w:rsidR="00B30DFD" w:rsidRDefault="00B30DFD">
      <w:pPr>
        <w:jc w:val="center"/>
      </w:pPr>
      <w:r>
        <w:t>______________</w:t>
      </w:r>
    </w:p>
    <w:sectPr w:rsidR="00B30DFD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0C90" w14:textId="77777777" w:rsidR="00E8717D" w:rsidRDefault="00E8717D">
      <w:r>
        <w:separator/>
      </w:r>
    </w:p>
  </w:endnote>
  <w:endnote w:type="continuationSeparator" w:id="0">
    <w:p w14:paraId="183EAD69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BF1C" w14:textId="480EE077" w:rsidR="00B851D4" w:rsidRPr="00DA0469" w:rsidRDefault="0076461C" w:rsidP="00B30DFD">
    <w:pPr>
      <w:pStyle w:val="Footer"/>
      <w:rPr>
        <w:lang w:val="en-US"/>
      </w:rPr>
    </w:pPr>
    <w:fldSimple w:instr=" FILENAME \p  \* MERGEFORMAT ">
      <w:r w:rsidR="002F62C0">
        <w:t>P:\CHI\ITU-R\CONF-R\CMR23\100\109C.docx</w:t>
      </w:r>
    </w:fldSimple>
    <w:r w:rsidR="00B30DFD">
      <w:t xml:space="preserve"> (</w:t>
    </w:r>
    <w:r w:rsidR="00B30DFD">
      <w:rPr>
        <w:rFonts w:eastAsia="Times New Roman"/>
      </w:rPr>
      <w:t>530228</w:t>
    </w:r>
    <w:r w:rsidR="00B30DF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73C1" w14:textId="66458B27" w:rsidR="00B851D4" w:rsidRPr="00DA0469" w:rsidRDefault="0076461C" w:rsidP="00B30DFD">
    <w:pPr>
      <w:pStyle w:val="Footer"/>
      <w:rPr>
        <w:lang w:val="en-US"/>
      </w:rPr>
    </w:pPr>
    <w:fldSimple w:instr=" FILENAME \p  \* MERGEFORMAT ">
      <w:r w:rsidR="002F62C0">
        <w:t>P:\CHI\ITU-R\CONF-R\CMR23\100\109C.docx</w:t>
      </w:r>
    </w:fldSimple>
    <w:r w:rsidR="00B30DFD">
      <w:t xml:space="preserve"> (530228)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2E3E" w14:textId="77777777" w:rsidR="00E8717D" w:rsidRDefault="00E8717D">
      <w:r>
        <w:t>____________________</w:t>
      </w:r>
    </w:p>
  </w:footnote>
  <w:footnote w:type="continuationSeparator" w:id="0">
    <w:p w14:paraId="3DC5179D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AF6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2EB5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109-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0BCD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2F62C0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14FE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6461C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470D"/>
    <w:rsid w:val="009657F9"/>
    <w:rsid w:val="00982F93"/>
    <w:rsid w:val="0099525B"/>
    <w:rsid w:val="009C72B7"/>
    <w:rsid w:val="009D475D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0DFD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E5711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90CD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FA65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0463b5-5b44-4514-82b1-b6cfe6a035c3" targetNamespace="http://schemas.microsoft.com/office/2006/metadata/properties" ma:root="true" ma:fieldsID="d41af5c836d734370eb92e7ee5f83852" ns2:_="" ns3:_="">
    <xsd:import namespace="996b2e75-67fd-4955-a3b0-5ab9934cb50b"/>
    <xsd:import namespace="be0463b5-5b44-4514-82b1-b6cfe6a035c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463b5-5b44-4514-82b1-b6cfe6a035c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0463b5-5b44-4514-82b1-b6cfe6a035c3">DPM</DPM_x0020_Author>
    <DPM_x0020_File_x0020_name xmlns="be0463b5-5b44-4514-82b1-b6cfe6a035c3">R23-WRC23-C-0109!!MSW-C</DPM_x0020_File_x0020_name>
    <DPM_x0020_Version xmlns="be0463b5-5b44-4514-82b1-b6cfe6a035c3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0463b5-5b44-4514-82b1-b6cfe6a03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463b5-5b44-4514-82b1-b6cfe6a03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635</Words>
  <Characters>613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R23-WRC23-C-0109!!MSW-C</dc:title>
  <dc:subject>World Radiocommunication Conference - 2019</dc:subject>
  <dc:creator>Documents Proposals Manager (DPM)</dc:creator>
  <cp:keywords>DPM_v2023.11.6.1_prod</cp:keywords>
  <dc:description/>
  <cp:lastModifiedBy>Jia, Lu</cp:lastModifiedBy>
  <cp:revision>5</cp:revision>
  <cp:lastPrinted>2006-07-03T06:56:00Z</cp:lastPrinted>
  <dcterms:created xsi:type="dcterms:W3CDTF">2023-11-10T09:55:00Z</dcterms:created>
  <dcterms:modified xsi:type="dcterms:W3CDTF">2023-11-11T16:06:00Z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