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5A3969" w14:paraId="5279EAB0" w14:textId="77777777" w:rsidTr="00F320AA">
        <w:trPr>
          <w:cantSplit/>
        </w:trPr>
        <w:tc>
          <w:tcPr>
            <w:tcW w:w="1418" w:type="dxa"/>
            <w:vAlign w:val="center"/>
          </w:tcPr>
          <w:p w14:paraId="3C80EC21" w14:textId="77777777" w:rsidR="00F320AA" w:rsidRPr="005A3969" w:rsidRDefault="00F320AA" w:rsidP="00F320AA">
            <w:pPr>
              <w:spacing w:before="0"/>
              <w:rPr>
                <w:rFonts w:ascii="Verdana" w:hAnsi="Verdana"/>
                <w:position w:val="6"/>
              </w:rPr>
            </w:pPr>
            <w:r w:rsidRPr="005A3969">
              <w:drawing>
                <wp:inline distT="0" distB="0" distL="0" distR="0" wp14:anchorId="3F7581C9" wp14:editId="1A00C64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8EF88F4" w14:textId="77777777" w:rsidR="00F320AA" w:rsidRPr="005A3969" w:rsidRDefault="00F320AA" w:rsidP="00F320AA">
            <w:pPr>
              <w:spacing w:before="400" w:after="48" w:line="240" w:lineRule="atLeast"/>
              <w:rPr>
                <w:rFonts w:ascii="Verdana" w:hAnsi="Verdana"/>
                <w:position w:val="6"/>
              </w:rPr>
            </w:pPr>
            <w:r w:rsidRPr="005A3969">
              <w:rPr>
                <w:rFonts w:ascii="Verdana" w:hAnsi="Verdana" w:cs="Times"/>
                <w:b/>
                <w:position w:val="6"/>
                <w:sz w:val="22"/>
                <w:szCs w:val="22"/>
              </w:rPr>
              <w:t>World Radiocommunication Conference (WRC-23)</w:t>
            </w:r>
            <w:r w:rsidRPr="005A3969">
              <w:rPr>
                <w:rFonts w:ascii="Verdana" w:hAnsi="Verdana" w:cs="Times"/>
                <w:b/>
                <w:position w:val="6"/>
                <w:sz w:val="26"/>
                <w:szCs w:val="26"/>
              </w:rPr>
              <w:br/>
            </w:r>
            <w:r w:rsidRPr="005A3969">
              <w:rPr>
                <w:rFonts w:ascii="Verdana" w:hAnsi="Verdana"/>
                <w:b/>
                <w:bCs/>
                <w:position w:val="6"/>
                <w:sz w:val="18"/>
                <w:szCs w:val="18"/>
              </w:rPr>
              <w:t>Dubai, 20 November - 15 December 2023</w:t>
            </w:r>
          </w:p>
        </w:tc>
        <w:tc>
          <w:tcPr>
            <w:tcW w:w="1951" w:type="dxa"/>
            <w:vAlign w:val="center"/>
          </w:tcPr>
          <w:p w14:paraId="5865BFBF" w14:textId="77777777" w:rsidR="00F320AA" w:rsidRPr="005A3969" w:rsidRDefault="00EB0812" w:rsidP="00F320AA">
            <w:pPr>
              <w:spacing w:before="0" w:line="240" w:lineRule="atLeast"/>
            </w:pPr>
            <w:r w:rsidRPr="005A3969">
              <w:drawing>
                <wp:inline distT="0" distB="0" distL="0" distR="0" wp14:anchorId="2AC3457F" wp14:editId="204DD95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5A3969" w14:paraId="5EF24FDE" w14:textId="77777777">
        <w:trPr>
          <w:cantSplit/>
        </w:trPr>
        <w:tc>
          <w:tcPr>
            <w:tcW w:w="6911" w:type="dxa"/>
            <w:gridSpan w:val="2"/>
            <w:tcBorders>
              <w:bottom w:val="single" w:sz="12" w:space="0" w:color="auto"/>
            </w:tcBorders>
          </w:tcPr>
          <w:p w14:paraId="2A2D35C9" w14:textId="77777777" w:rsidR="00A066F1" w:rsidRPr="005A3969"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23751D50" w14:textId="77777777" w:rsidR="00A066F1" w:rsidRPr="005A3969" w:rsidRDefault="00A066F1" w:rsidP="00A066F1">
            <w:pPr>
              <w:spacing w:before="0" w:line="240" w:lineRule="atLeast"/>
              <w:rPr>
                <w:rFonts w:ascii="Verdana" w:hAnsi="Verdana"/>
                <w:szCs w:val="24"/>
              </w:rPr>
            </w:pPr>
          </w:p>
        </w:tc>
      </w:tr>
      <w:tr w:rsidR="00A066F1" w:rsidRPr="005A3969" w14:paraId="296F87B9" w14:textId="77777777">
        <w:trPr>
          <w:cantSplit/>
        </w:trPr>
        <w:tc>
          <w:tcPr>
            <w:tcW w:w="6911" w:type="dxa"/>
            <w:gridSpan w:val="2"/>
            <w:tcBorders>
              <w:top w:val="single" w:sz="12" w:space="0" w:color="auto"/>
            </w:tcBorders>
          </w:tcPr>
          <w:p w14:paraId="10EECE45" w14:textId="77777777" w:rsidR="00A066F1" w:rsidRPr="005A3969"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46BDFA5" w14:textId="77777777" w:rsidR="00A066F1" w:rsidRPr="005A3969" w:rsidRDefault="00A066F1" w:rsidP="00A066F1">
            <w:pPr>
              <w:spacing w:before="0" w:line="240" w:lineRule="atLeast"/>
              <w:rPr>
                <w:rFonts w:ascii="Verdana" w:hAnsi="Verdana"/>
                <w:sz w:val="20"/>
              </w:rPr>
            </w:pPr>
          </w:p>
        </w:tc>
      </w:tr>
      <w:tr w:rsidR="00A066F1" w:rsidRPr="005A3969" w14:paraId="631474C0" w14:textId="77777777">
        <w:trPr>
          <w:cantSplit/>
          <w:trHeight w:val="23"/>
        </w:trPr>
        <w:tc>
          <w:tcPr>
            <w:tcW w:w="6911" w:type="dxa"/>
            <w:gridSpan w:val="2"/>
            <w:shd w:val="clear" w:color="auto" w:fill="auto"/>
          </w:tcPr>
          <w:p w14:paraId="36B68253" w14:textId="77777777" w:rsidR="00A066F1" w:rsidRPr="005A3969"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5A3969">
              <w:rPr>
                <w:rFonts w:ascii="Verdana" w:hAnsi="Verdana"/>
                <w:sz w:val="20"/>
                <w:szCs w:val="20"/>
              </w:rPr>
              <w:t>PLENARY MEETING</w:t>
            </w:r>
          </w:p>
        </w:tc>
        <w:tc>
          <w:tcPr>
            <w:tcW w:w="3120" w:type="dxa"/>
            <w:gridSpan w:val="2"/>
          </w:tcPr>
          <w:p w14:paraId="12B273E3" w14:textId="77777777" w:rsidR="00A066F1" w:rsidRPr="005A3969" w:rsidRDefault="00E55816" w:rsidP="00AA666F">
            <w:pPr>
              <w:tabs>
                <w:tab w:val="left" w:pos="851"/>
              </w:tabs>
              <w:spacing w:before="0" w:line="240" w:lineRule="atLeast"/>
              <w:rPr>
                <w:rFonts w:ascii="Verdana" w:hAnsi="Verdana"/>
                <w:sz w:val="20"/>
              </w:rPr>
            </w:pPr>
            <w:r w:rsidRPr="005A3969">
              <w:rPr>
                <w:rFonts w:ascii="Verdana" w:hAnsi="Verdana"/>
                <w:b/>
                <w:sz w:val="20"/>
              </w:rPr>
              <w:t>Document 109</w:t>
            </w:r>
            <w:r w:rsidR="00A066F1" w:rsidRPr="005A3969">
              <w:rPr>
                <w:rFonts w:ascii="Verdana" w:hAnsi="Verdana"/>
                <w:b/>
                <w:sz w:val="20"/>
              </w:rPr>
              <w:t>-</w:t>
            </w:r>
            <w:r w:rsidR="005E10C9" w:rsidRPr="005A3969">
              <w:rPr>
                <w:rFonts w:ascii="Verdana" w:hAnsi="Verdana"/>
                <w:b/>
                <w:sz w:val="20"/>
              </w:rPr>
              <w:t>E</w:t>
            </w:r>
          </w:p>
        </w:tc>
      </w:tr>
      <w:tr w:rsidR="00A066F1" w:rsidRPr="005A3969" w14:paraId="74D862BA" w14:textId="77777777">
        <w:trPr>
          <w:cantSplit/>
          <w:trHeight w:val="23"/>
        </w:trPr>
        <w:tc>
          <w:tcPr>
            <w:tcW w:w="6911" w:type="dxa"/>
            <w:gridSpan w:val="2"/>
            <w:shd w:val="clear" w:color="auto" w:fill="auto"/>
          </w:tcPr>
          <w:p w14:paraId="22CFC6D0" w14:textId="77777777" w:rsidR="00A066F1" w:rsidRPr="005A3969"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180AE3F8" w14:textId="77777777" w:rsidR="00A066F1" w:rsidRPr="005A3969" w:rsidRDefault="00420873" w:rsidP="00A066F1">
            <w:pPr>
              <w:tabs>
                <w:tab w:val="left" w:pos="993"/>
              </w:tabs>
              <w:spacing w:before="0"/>
              <w:rPr>
                <w:rFonts w:ascii="Verdana" w:hAnsi="Verdana"/>
                <w:sz w:val="20"/>
              </w:rPr>
            </w:pPr>
            <w:r w:rsidRPr="005A3969">
              <w:rPr>
                <w:rFonts w:ascii="Verdana" w:hAnsi="Verdana"/>
                <w:b/>
                <w:sz w:val="20"/>
              </w:rPr>
              <w:t>27 October 2023</w:t>
            </w:r>
          </w:p>
        </w:tc>
      </w:tr>
      <w:tr w:rsidR="00A066F1" w:rsidRPr="005A3969" w14:paraId="1C2908A6" w14:textId="77777777">
        <w:trPr>
          <w:cantSplit/>
          <w:trHeight w:val="23"/>
        </w:trPr>
        <w:tc>
          <w:tcPr>
            <w:tcW w:w="6911" w:type="dxa"/>
            <w:gridSpan w:val="2"/>
            <w:shd w:val="clear" w:color="auto" w:fill="auto"/>
          </w:tcPr>
          <w:p w14:paraId="2C507E45" w14:textId="77777777" w:rsidR="00A066F1" w:rsidRPr="005A3969"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708EAEB" w14:textId="77777777" w:rsidR="00A066F1" w:rsidRPr="005A3969" w:rsidRDefault="00E55816" w:rsidP="00A066F1">
            <w:pPr>
              <w:tabs>
                <w:tab w:val="left" w:pos="993"/>
              </w:tabs>
              <w:spacing w:before="0"/>
              <w:rPr>
                <w:rFonts w:ascii="Verdana" w:hAnsi="Verdana"/>
                <w:b/>
                <w:sz w:val="20"/>
              </w:rPr>
            </w:pPr>
            <w:r w:rsidRPr="005A3969">
              <w:rPr>
                <w:rFonts w:ascii="Verdana" w:hAnsi="Verdana"/>
                <w:b/>
                <w:sz w:val="20"/>
              </w:rPr>
              <w:t>Original: English</w:t>
            </w:r>
          </w:p>
        </w:tc>
      </w:tr>
      <w:tr w:rsidR="00A066F1" w:rsidRPr="005A3969" w14:paraId="6BC52DB0" w14:textId="77777777" w:rsidTr="00025864">
        <w:trPr>
          <w:cantSplit/>
          <w:trHeight w:val="23"/>
        </w:trPr>
        <w:tc>
          <w:tcPr>
            <w:tcW w:w="10031" w:type="dxa"/>
            <w:gridSpan w:val="4"/>
            <w:shd w:val="clear" w:color="auto" w:fill="auto"/>
          </w:tcPr>
          <w:p w14:paraId="6D3D8286" w14:textId="77777777" w:rsidR="00A066F1" w:rsidRPr="005A3969" w:rsidRDefault="00A066F1" w:rsidP="00A066F1">
            <w:pPr>
              <w:tabs>
                <w:tab w:val="left" w:pos="993"/>
              </w:tabs>
              <w:spacing w:before="0"/>
              <w:rPr>
                <w:rFonts w:ascii="Verdana" w:hAnsi="Verdana"/>
                <w:b/>
                <w:sz w:val="20"/>
              </w:rPr>
            </w:pPr>
          </w:p>
        </w:tc>
      </w:tr>
      <w:tr w:rsidR="00E55816" w:rsidRPr="005A3969" w14:paraId="0FC118D5" w14:textId="77777777" w:rsidTr="00025864">
        <w:trPr>
          <w:cantSplit/>
          <w:trHeight w:val="23"/>
        </w:trPr>
        <w:tc>
          <w:tcPr>
            <w:tcW w:w="10031" w:type="dxa"/>
            <w:gridSpan w:val="4"/>
            <w:shd w:val="clear" w:color="auto" w:fill="auto"/>
          </w:tcPr>
          <w:p w14:paraId="06769F12" w14:textId="64951BDC" w:rsidR="00E55816" w:rsidRPr="005A3969" w:rsidRDefault="00884D60" w:rsidP="00E55816">
            <w:pPr>
              <w:pStyle w:val="Source"/>
            </w:pPr>
            <w:r w:rsidRPr="005A3969">
              <w:t>Algeria (People's Democratic Republic of)/Egypt (Arab Republic of)/</w:t>
            </w:r>
            <w:r w:rsidR="00E03D07" w:rsidRPr="005A3969">
              <w:br/>
            </w:r>
            <w:r w:rsidRPr="005A3969">
              <w:t>United Arab Emirates/Qatar (State of)</w:t>
            </w:r>
          </w:p>
        </w:tc>
      </w:tr>
      <w:tr w:rsidR="00E55816" w:rsidRPr="005A3969" w14:paraId="72585CA1" w14:textId="77777777" w:rsidTr="00025864">
        <w:trPr>
          <w:cantSplit/>
          <w:trHeight w:val="23"/>
        </w:trPr>
        <w:tc>
          <w:tcPr>
            <w:tcW w:w="10031" w:type="dxa"/>
            <w:gridSpan w:val="4"/>
            <w:shd w:val="clear" w:color="auto" w:fill="auto"/>
          </w:tcPr>
          <w:p w14:paraId="7DE26C0E" w14:textId="77777777" w:rsidR="00E55816" w:rsidRPr="005A3969" w:rsidRDefault="007D5320" w:rsidP="00E55816">
            <w:pPr>
              <w:pStyle w:val="Title1"/>
            </w:pPr>
            <w:r w:rsidRPr="005A3969">
              <w:t>PROPOSALS FOR THE WORK OF THE CONFERENCE</w:t>
            </w:r>
          </w:p>
        </w:tc>
      </w:tr>
      <w:tr w:rsidR="00E55816" w:rsidRPr="005A3969" w14:paraId="1F548F35" w14:textId="77777777" w:rsidTr="00025864">
        <w:trPr>
          <w:cantSplit/>
          <w:trHeight w:val="23"/>
        </w:trPr>
        <w:tc>
          <w:tcPr>
            <w:tcW w:w="10031" w:type="dxa"/>
            <w:gridSpan w:val="4"/>
            <w:shd w:val="clear" w:color="auto" w:fill="auto"/>
          </w:tcPr>
          <w:p w14:paraId="42E67CF5" w14:textId="77777777" w:rsidR="00E55816" w:rsidRPr="005A3969" w:rsidRDefault="00E55816" w:rsidP="00E55816">
            <w:pPr>
              <w:pStyle w:val="Title2"/>
            </w:pPr>
          </w:p>
        </w:tc>
      </w:tr>
      <w:tr w:rsidR="00A538A6" w:rsidRPr="005A3969" w14:paraId="3E27E25E" w14:textId="77777777" w:rsidTr="00025864">
        <w:trPr>
          <w:cantSplit/>
          <w:trHeight w:val="23"/>
        </w:trPr>
        <w:tc>
          <w:tcPr>
            <w:tcW w:w="10031" w:type="dxa"/>
            <w:gridSpan w:val="4"/>
            <w:shd w:val="clear" w:color="auto" w:fill="auto"/>
          </w:tcPr>
          <w:p w14:paraId="0A06B3AE" w14:textId="77777777" w:rsidR="00A538A6" w:rsidRPr="005A3969" w:rsidRDefault="004B13CB" w:rsidP="004B13CB">
            <w:pPr>
              <w:pStyle w:val="Agendaitem"/>
              <w:rPr>
                <w:lang w:val="en-GB"/>
              </w:rPr>
            </w:pPr>
            <w:r w:rsidRPr="005A3969">
              <w:rPr>
                <w:lang w:val="en-GB"/>
              </w:rPr>
              <w:t>Agenda item 7(H)</w:t>
            </w:r>
          </w:p>
        </w:tc>
      </w:tr>
    </w:tbl>
    <w:bookmarkEnd w:id="4"/>
    <w:bookmarkEnd w:id="5"/>
    <w:p w14:paraId="1B2406EB" w14:textId="77777777" w:rsidR="00187BD9" w:rsidRPr="005A3969" w:rsidRDefault="00093646" w:rsidP="007341B9">
      <w:r w:rsidRPr="005A3969">
        <w:t>7</w:t>
      </w:r>
      <w:r w:rsidRPr="005A3969">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5A3969">
        <w:rPr>
          <w:b/>
        </w:rPr>
        <w:t>86</w:t>
      </w:r>
      <w:r w:rsidRPr="005A3969">
        <w:t xml:space="preserve"> </w:t>
      </w:r>
      <w:r w:rsidRPr="005A3969">
        <w:rPr>
          <w:b/>
        </w:rPr>
        <w:t>(Rev.WRC</w:t>
      </w:r>
      <w:r w:rsidRPr="005A3969">
        <w:rPr>
          <w:b/>
        </w:rPr>
        <w:noBreakHyphen/>
        <w:t>07)</w:t>
      </w:r>
      <w:r w:rsidRPr="005A3969">
        <w:rPr>
          <w:bCs/>
        </w:rPr>
        <w:t>, in order to facilitate the rational, efficient and economical use of radio frequencies and any associated orbits, including the geostationary-satellite orbit;</w:t>
      </w:r>
    </w:p>
    <w:p w14:paraId="502A25E2" w14:textId="77777777" w:rsidR="00187BD9" w:rsidRPr="005A3969" w:rsidRDefault="00093646" w:rsidP="009A5BC8">
      <w:r w:rsidRPr="005A3969">
        <w:t xml:space="preserve">7(H) </w:t>
      </w:r>
      <w:r w:rsidRPr="005A3969">
        <w:tab/>
        <w:t xml:space="preserve">Topic H - Enhanced protection of RR Appendices </w:t>
      </w:r>
      <w:r w:rsidRPr="005A3969">
        <w:rPr>
          <w:b/>
          <w:bCs/>
        </w:rPr>
        <w:t>30/30A</w:t>
      </w:r>
      <w:r w:rsidRPr="005A3969">
        <w:t xml:space="preserve"> in Regions 1 and 3 and RR Appendix </w:t>
      </w:r>
      <w:r w:rsidRPr="005A3969">
        <w:rPr>
          <w:b/>
          <w:bCs/>
        </w:rPr>
        <w:t>30B</w:t>
      </w:r>
    </w:p>
    <w:p w14:paraId="7BFC37FF" w14:textId="77777777" w:rsidR="00241FA2" w:rsidRPr="005A3969" w:rsidRDefault="00241FA2" w:rsidP="00EB54B2"/>
    <w:p w14:paraId="15FD3D3B" w14:textId="77777777" w:rsidR="00187BD9" w:rsidRPr="005A3969" w:rsidRDefault="00187BD9" w:rsidP="00187BD9">
      <w:pPr>
        <w:tabs>
          <w:tab w:val="clear" w:pos="1134"/>
          <w:tab w:val="clear" w:pos="1871"/>
          <w:tab w:val="clear" w:pos="2268"/>
        </w:tabs>
        <w:overflowPunct/>
        <w:autoSpaceDE/>
        <w:autoSpaceDN/>
        <w:adjustRightInd/>
        <w:spacing w:before="0"/>
        <w:textAlignment w:val="auto"/>
      </w:pPr>
      <w:r w:rsidRPr="005A3969">
        <w:br w:type="page"/>
      </w:r>
    </w:p>
    <w:p w14:paraId="1BEAF664" w14:textId="11AA1ED3" w:rsidR="00830259" w:rsidRPr="005A3969" w:rsidRDefault="00830259" w:rsidP="00830259">
      <w:pPr>
        <w:pStyle w:val="Headingb"/>
        <w:rPr>
          <w:lang w:val="en-GB"/>
        </w:rPr>
      </w:pPr>
      <w:r w:rsidRPr="005A3969">
        <w:rPr>
          <w:lang w:val="en-GB"/>
        </w:rPr>
        <w:lastRenderedPageBreak/>
        <w:t xml:space="preserve">For </w:t>
      </w:r>
      <w:r w:rsidR="00FF4208" w:rsidRPr="005A3969">
        <w:rPr>
          <w:lang w:val="en-GB"/>
        </w:rPr>
        <w:t xml:space="preserve">the </w:t>
      </w:r>
      <w:r w:rsidRPr="005A3969">
        <w:rPr>
          <w:lang w:val="en-GB" w:eastAsia="ja-JP"/>
        </w:rPr>
        <w:t xml:space="preserve">implicit agreement in RR Appendices 30/30A/30B </w:t>
      </w:r>
      <w:r w:rsidRPr="005A3969">
        <w:rPr>
          <w:lang w:val="en-GB"/>
        </w:rPr>
        <w:t>–</w:t>
      </w:r>
      <w:r w:rsidR="00FF4208" w:rsidRPr="005A3969">
        <w:rPr>
          <w:lang w:val="en-GB"/>
        </w:rPr>
        <w:t xml:space="preserve"> </w:t>
      </w:r>
      <w:r w:rsidRPr="005A3969">
        <w:rPr>
          <w:lang w:val="en-GB"/>
        </w:rPr>
        <w:t>Method H1A</w:t>
      </w:r>
    </w:p>
    <w:p w14:paraId="2F22C332" w14:textId="77777777" w:rsidR="0046170D" w:rsidRPr="005A3969" w:rsidRDefault="00093646">
      <w:pPr>
        <w:pStyle w:val="Proposal"/>
      </w:pPr>
      <w:r w:rsidRPr="005A3969">
        <w:rPr>
          <w:u w:val="single"/>
        </w:rPr>
        <w:t>NOC</w:t>
      </w:r>
      <w:r w:rsidRPr="005A3969">
        <w:tab/>
        <w:t>ALG/EGY/UAE/QAT/109/1</w:t>
      </w:r>
      <w:r w:rsidRPr="005A3969">
        <w:rPr>
          <w:vanish/>
          <w:color w:val="7F7F7F" w:themeColor="text1" w:themeTint="80"/>
          <w:vertAlign w:val="superscript"/>
        </w:rPr>
        <w:t>#2073</w:t>
      </w:r>
    </w:p>
    <w:p w14:paraId="63A728EF" w14:textId="77777777" w:rsidR="00093646" w:rsidRPr="005A3969" w:rsidRDefault="00093646" w:rsidP="00665208">
      <w:pPr>
        <w:pStyle w:val="AppendixNo"/>
      </w:pPr>
      <w:r w:rsidRPr="005A3969">
        <w:t xml:space="preserve">APPENDIX </w:t>
      </w:r>
      <w:r w:rsidRPr="005A3969">
        <w:rPr>
          <w:rStyle w:val="href"/>
        </w:rPr>
        <w:t>30</w:t>
      </w:r>
      <w:r w:rsidRPr="005A3969">
        <w:t xml:space="preserve"> (REV.WRC</w:t>
      </w:r>
      <w:r w:rsidRPr="005A3969">
        <w:noBreakHyphen/>
        <w:t>19)</w:t>
      </w:r>
      <w:r w:rsidRPr="005A3969">
        <w:rPr>
          <w:rStyle w:val="FootnoteReference"/>
        </w:rPr>
        <w:t>*</w:t>
      </w:r>
    </w:p>
    <w:p w14:paraId="1EDA3583" w14:textId="77777777" w:rsidR="00093646" w:rsidRPr="005A3969" w:rsidRDefault="00093646" w:rsidP="00665208">
      <w:pPr>
        <w:pStyle w:val="Appendixtitle"/>
        <w:rPr>
          <w:rFonts w:ascii="Times New Roman"/>
          <w:b w:val="0"/>
          <w:bCs/>
          <w:color w:val="000000"/>
          <w:sz w:val="16"/>
        </w:rPr>
      </w:pPr>
      <w:r w:rsidRPr="005A3969">
        <w:t>Provisions for all services and associated Plans and List</w:t>
      </w:r>
      <w:r w:rsidRPr="005A3969">
        <w:rPr>
          <w:rStyle w:val="FootnoteReference"/>
          <w:rFonts w:ascii="Times New Roman" w:hAnsi="Times New Roman"/>
          <w:b w:val="0"/>
        </w:rPr>
        <w:t>1</w:t>
      </w:r>
      <w:r w:rsidRPr="005A3969">
        <w:t xml:space="preserve"> for</w:t>
      </w:r>
      <w:r w:rsidRPr="005A3969">
        <w:br/>
        <w:t>the broadcasting-satellite service in the frequency bands</w:t>
      </w:r>
      <w:r w:rsidRPr="005A3969">
        <w:br/>
        <w:t>11.7-12.2 GHz (in Region 3), 11.7-12.5 GHz (in Region 1)</w:t>
      </w:r>
      <w:r w:rsidRPr="005A3969">
        <w:br/>
        <w:t>         and 12.2-12.7 GHz (in Region 2)</w:t>
      </w:r>
      <w:r w:rsidRPr="005A3969">
        <w:rPr>
          <w:b w:val="0"/>
          <w:bCs/>
          <w:color w:val="000000"/>
          <w:sz w:val="16"/>
        </w:rPr>
        <w:t>    </w:t>
      </w:r>
      <w:r w:rsidRPr="005A3969">
        <w:rPr>
          <w:rFonts w:ascii="Times New Roman"/>
          <w:b w:val="0"/>
          <w:bCs/>
          <w:color w:val="000000"/>
          <w:sz w:val="16"/>
        </w:rPr>
        <w:t>(WRC</w:t>
      </w:r>
      <w:r w:rsidRPr="005A3969">
        <w:rPr>
          <w:rFonts w:ascii="Times New Roman"/>
          <w:b w:val="0"/>
          <w:bCs/>
          <w:color w:val="000000"/>
          <w:sz w:val="16"/>
        </w:rPr>
        <w:noBreakHyphen/>
        <w:t>03)</w:t>
      </w:r>
    </w:p>
    <w:p w14:paraId="3443B084" w14:textId="77777777" w:rsidR="0046170D" w:rsidRPr="005A3969" w:rsidRDefault="0046170D">
      <w:pPr>
        <w:pStyle w:val="Reasons"/>
      </w:pPr>
    </w:p>
    <w:p w14:paraId="23D78E33" w14:textId="77777777" w:rsidR="0046170D" w:rsidRPr="005A3969" w:rsidRDefault="00093646">
      <w:pPr>
        <w:pStyle w:val="Proposal"/>
      </w:pPr>
      <w:r w:rsidRPr="005A3969">
        <w:rPr>
          <w:u w:val="single"/>
        </w:rPr>
        <w:t>NOC</w:t>
      </w:r>
      <w:r w:rsidRPr="005A3969">
        <w:tab/>
        <w:t>ALG/EGY/UAE/QAT/109/2</w:t>
      </w:r>
      <w:r w:rsidRPr="005A3969">
        <w:rPr>
          <w:vanish/>
          <w:color w:val="7F7F7F" w:themeColor="text1" w:themeTint="80"/>
          <w:vertAlign w:val="superscript"/>
        </w:rPr>
        <w:t>#2074</w:t>
      </w:r>
    </w:p>
    <w:p w14:paraId="1F76F0A1" w14:textId="77777777" w:rsidR="00093646" w:rsidRPr="005A3969" w:rsidRDefault="00093646" w:rsidP="00665208">
      <w:pPr>
        <w:pStyle w:val="AppendixNo"/>
      </w:pPr>
      <w:r w:rsidRPr="005A3969">
        <w:t xml:space="preserve">APPENDIX </w:t>
      </w:r>
      <w:r w:rsidRPr="005A3969">
        <w:rPr>
          <w:rStyle w:val="href"/>
        </w:rPr>
        <w:t>30A</w:t>
      </w:r>
      <w:r w:rsidRPr="005A3969">
        <w:t> (REV.WRC</w:t>
      </w:r>
      <w:r w:rsidRPr="005A3969">
        <w:noBreakHyphen/>
        <w:t>19)</w:t>
      </w:r>
      <w:r w:rsidRPr="005A3969">
        <w:rPr>
          <w:color w:val="000000"/>
          <w:position w:val="6"/>
          <w:sz w:val="18"/>
        </w:rPr>
        <w:t>*</w:t>
      </w:r>
    </w:p>
    <w:p w14:paraId="30FA0983" w14:textId="77777777" w:rsidR="00093646" w:rsidRPr="005A3969" w:rsidRDefault="00093646" w:rsidP="00665208">
      <w:pPr>
        <w:pStyle w:val="Appendixtitle"/>
        <w:rPr>
          <w:b w:val="0"/>
          <w:bCs/>
          <w:sz w:val="16"/>
        </w:rPr>
      </w:pPr>
      <w:r w:rsidRPr="005A3969">
        <w:t>Provisions and associated Plans and List</w:t>
      </w:r>
      <w:r w:rsidRPr="005A3969">
        <w:rPr>
          <w:rFonts w:asciiTheme="majorBidi" w:hAnsiTheme="majorBidi" w:cstheme="majorBidi"/>
          <w:b w:val="0"/>
          <w:bCs/>
          <w:color w:val="000000"/>
          <w:position w:val="6"/>
          <w:sz w:val="18"/>
        </w:rPr>
        <w:t>1</w:t>
      </w:r>
      <w:r w:rsidRPr="005A3969">
        <w:t xml:space="preserve"> for feeder links for the broadcasting-satellite service (11.7-12.5 GHz in Region 1, 12.2-12.7 GHz</w:t>
      </w:r>
      <w:r w:rsidRPr="005A3969">
        <w:br/>
        <w:t>in Region 2 and 11.7-12.2 GHz in Region 3) in the frequency bands</w:t>
      </w:r>
      <w:r w:rsidRPr="005A3969">
        <w:br/>
        <w:t>14.5-14.8 GHz</w:t>
      </w:r>
      <w:r w:rsidRPr="005A3969">
        <w:rPr>
          <w:rFonts w:asciiTheme="majorBidi" w:hAnsiTheme="majorBidi" w:cstheme="majorBidi"/>
          <w:b w:val="0"/>
          <w:bCs/>
          <w:color w:val="000000"/>
          <w:position w:val="6"/>
          <w:sz w:val="18"/>
        </w:rPr>
        <w:t>2</w:t>
      </w:r>
      <w:r w:rsidRPr="005A3969">
        <w:t xml:space="preserve"> and 17.3-18.1 GHz in Regions 1 and 3,</w:t>
      </w:r>
      <w:r w:rsidRPr="005A3969">
        <w:br/>
        <w:t>and 17.3-17.8 GHz in Region 2</w:t>
      </w:r>
      <w:r w:rsidRPr="005A3969">
        <w:rPr>
          <w:b w:val="0"/>
          <w:bCs/>
          <w:sz w:val="16"/>
        </w:rPr>
        <w:t>     (</w:t>
      </w:r>
      <w:r w:rsidRPr="005A3969">
        <w:rPr>
          <w:rFonts w:asciiTheme="majorBidi" w:hAnsiTheme="majorBidi" w:cstheme="majorBidi"/>
          <w:b w:val="0"/>
          <w:bCs/>
          <w:sz w:val="16"/>
        </w:rPr>
        <w:t>WRC</w:t>
      </w:r>
      <w:r w:rsidRPr="005A3969">
        <w:rPr>
          <w:rFonts w:asciiTheme="majorBidi" w:hAnsiTheme="majorBidi" w:cstheme="majorBidi"/>
          <w:b w:val="0"/>
          <w:bCs/>
          <w:sz w:val="16"/>
        </w:rPr>
        <w:noBreakHyphen/>
        <w:t>03)</w:t>
      </w:r>
    </w:p>
    <w:p w14:paraId="034BA2D6" w14:textId="77777777" w:rsidR="0046170D" w:rsidRPr="005A3969" w:rsidRDefault="0046170D">
      <w:pPr>
        <w:pStyle w:val="Reasons"/>
      </w:pPr>
    </w:p>
    <w:p w14:paraId="07B2A0B8" w14:textId="77777777" w:rsidR="0046170D" w:rsidRPr="005A3969" w:rsidRDefault="00093646">
      <w:pPr>
        <w:pStyle w:val="Proposal"/>
      </w:pPr>
      <w:r w:rsidRPr="005A3969">
        <w:rPr>
          <w:u w:val="single"/>
        </w:rPr>
        <w:t>NOC</w:t>
      </w:r>
      <w:r w:rsidRPr="005A3969">
        <w:tab/>
        <w:t>ALG/EGY/UAE/QAT/109/3</w:t>
      </w:r>
      <w:r w:rsidRPr="005A3969">
        <w:rPr>
          <w:vanish/>
          <w:color w:val="7F7F7F" w:themeColor="text1" w:themeTint="80"/>
          <w:vertAlign w:val="superscript"/>
        </w:rPr>
        <w:t>#2075</w:t>
      </w:r>
    </w:p>
    <w:p w14:paraId="6ACC766E" w14:textId="77777777" w:rsidR="00093646" w:rsidRPr="005A3969" w:rsidRDefault="00093646" w:rsidP="00665208">
      <w:pPr>
        <w:pStyle w:val="AppendixNo"/>
      </w:pPr>
      <w:r w:rsidRPr="005A3969">
        <w:t xml:space="preserve">APPENDIX </w:t>
      </w:r>
      <w:r w:rsidRPr="005A3969">
        <w:rPr>
          <w:rStyle w:val="href"/>
        </w:rPr>
        <w:t>30B</w:t>
      </w:r>
      <w:r w:rsidRPr="005A3969">
        <w:t xml:space="preserve"> (REV.WRC</w:t>
      </w:r>
      <w:r w:rsidRPr="005A3969">
        <w:noBreakHyphen/>
        <w:t>19)</w:t>
      </w:r>
    </w:p>
    <w:p w14:paraId="40E844A6" w14:textId="77777777" w:rsidR="00093646" w:rsidRPr="005A3969" w:rsidRDefault="00093646" w:rsidP="00665208">
      <w:pPr>
        <w:pStyle w:val="Appendixtitle"/>
      </w:pPr>
      <w:r w:rsidRPr="005A3969">
        <w:t>Provisions and associated Plan for the fixed-satellite service</w:t>
      </w:r>
      <w:r w:rsidRPr="005A3969">
        <w:br/>
        <w:t>in the frequency bands 4 500-4 800 MHz, 6 725-7 025 MHz,</w:t>
      </w:r>
      <w:r w:rsidRPr="005A3969">
        <w:br/>
        <w:t>10.70-10.95 GHz, 11.20-11.45 GHz and 12.75-13.25 GHz</w:t>
      </w:r>
    </w:p>
    <w:p w14:paraId="299E7830" w14:textId="77777777" w:rsidR="0046170D" w:rsidRPr="005A3969" w:rsidRDefault="0046170D">
      <w:pPr>
        <w:pStyle w:val="Reasons"/>
      </w:pPr>
    </w:p>
    <w:p w14:paraId="28CD17A9" w14:textId="7E922368" w:rsidR="00830259" w:rsidRPr="005A3969" w:rsidRDefault="00830259" w:rsidP="00830259">
      <w:pPr>
        <w:pStyle w:val="Headingb"/>
        <w:rPr>
          <w:lang w:val="en-GB"/>
        </w:rPr>
      </w:pPr>
      <w:r w:rsidRPr="005A3969">
        <w:rPr>
          <w:lang w:val="en-GB"/>
        </w:rPr>
        <w:lastRenderedPageBreak/>
        <w:t xml:space="preserve">For </w:t>
      </w:r>
      <w:r w:rsidR="00FF4208" w:rsidRPr="005A3969">
        <w:rPr>
          <w:lang w:val="en-GB"/>
        </w:rPr>
        <w:t xml:space="preserve">the </w:t>
      </w:r>
      <w:r w:rsidRPr="005A3969">
        <w:rPr>
          <w:lang w:val="en-GB"/>
        </w:rPr>
        <w:t>EPM degradation tolerance in RR Appendices 30/30A in Regions</w:t>
      </w:r>
      <w:r w:rsidR="00337DBC" w:rsidRPr="005A3969">
        <w:rPr>
          <w:lang w:val="en-GB"/>
        </w:rPr>
        <w:t xml:space="preserve"> 1 and 3</w:t>
      </w:r>
      <w:r w:rsidR="00FF4208" w:rsidRPr="005A3969">
        <w:rPr>
          <w:lang w:val="en-GB"/>
        </w:rPr>
        <w:t>:</w:t>
      </w:r>
      <w:r w:rsidRPr="005A3969">
        <w:rPr>
          <w:lang w:val="en-GB"/>
        </w:rPr>
        <w:t xml:space="preserve"> Method</w:t>
      </w:r>
      <w:r w:rsidR="00350142" w:rsidRPr="005A3969">
        <w:rPr>
          <w:lang w:val="en-GB"/>
        </w:rPr>
        <w:t> </w:t>
      </w:r>
      <w:r w:rsidRPr="005A3969">
        <w:rPr>
          <w:lang w:val="en-GB"/>
        </w:rPr>
        <w:t>H2A</w:t>
      </w:r>
    </w:p>
    <w:p w14:paraId="5F1189E1" w14:textId="1376B879" w:rsidR="00830259" w:rsidRPr="005A3969" w:rsidRDefault="00830259" w:rsidP="00830259">
      <w:pPr>
        <w:pStyle w:val="Proposal"/>
      </w:pPr>
      <w:r w:rsidRPr="005A3969">
        <w:rPr>
          <w:u w:val="single"/>
        </w:rPr>
        <w:t>NOC</w:t>
      </w:r>
      <w:r w:rsidRPr="005A3969">
        <w:tab/>
        <w:t>ALG/EGY/UAE/QAT/109/</w:t>
      </w:r>
      <w:r w:rsidR="007D7B30" w:rsidRPr="005A3969">
        <w:t>4</w:t>
      </w:r>
      <w:r w:rsidRPr="005A3969">
        <w:rPr>
          <w:vanish/>
          <w:color w:val="7F7F7F" w:themeColor="text1" w:themeTint="80"/>
          <w:vertAlign w:val="superscript"/>
        </w:rPr>
        <w:t>#2</w:t>
      </w:r>
      <w:r w:rsidR="00F54882" w:rsidRPr="005A3969">
        <w:rPr>
          <w:vanish/>
          <w:color w:val="7F7F7F" w:themeColor="text1" w:themeTint="80"/>
          <w:vertAlign w:val="superscript"/>
        </w:rPr>
        <w:t>144</w:t>
      </w:r>
    </w:p>
    <w:p w14:paraId="3EE374A0" w14:textId="77777777" w:rsidR="00830259" w:rsidRPr="005A3969" w:rsidRDefault="00830259" w:rsidP="00830259">
      <w:pPr>
        <w:pStyle w:val="AppendixNo"/>
      </w:pPr>
      <w:r w:rsidRPr="005A3969">
        <w:t xml:space="preserve">APPENDIX </w:t>
      </w:r>
      <w:r w:rsidRPr="005A3969">
        <w:rPr>
          <w:rStyle w:val="href"/>
        </w:rPr>
        <w:t>30</w:t>
      </w:r>
      <w:r w:rsidRPr="005A3969">
        <w:t xml:space="preserve"> (REV.WRC</w:t>
      </w:r>
      <w:r w:rsidRPr="005A3969">
        <w:noBreakHyphen/>
        <w:t>19)</w:t>
      </w:r>
      <w:r w:rsidRPr="005A3969">
        <w:rPr>
          <w:rStyle w:val="FootnoteReference"/>
        </w:rPr>
        <w:t>*</w:t>
      </w:r>
    </w:p>
    <w:p w14:paraId="36FDE994" w14:textId="77777777" w:rsidR="00830259" w:rsidRPr="005A3969" w:rsidRDefault="00830259" w:rsidP="00830259">
      <w:pPr>
        <w:pStyle w:val="Appendixtitle"/>
        <w:rPr>
          <w:rFonts w:ascii="Times New Roman"/>
          <w:b w:val="0"/>
          <w:bCs/>
          <w:color w:val="000000"/>
          <w:sz w:val="16"/>
        </w:rPr>
      </w:pPr>
      <w:r w:rsidRPr="005A3969">
        <w:t>Provisions for all services and associated Plans and List</w:t>
      </w:r>
      <w:r w:rsidRPr="005A3969">
        <w:rPr>
          <w:rStyle w:val="FootnoteReference"/>
          <w:rFonts w:ascii="Times New Roman" w:hAnsi="Times New Roman"/>
          <w:b w:val="0"/>
        </w:rPr>
        <w:t>1</w:t>
      </w:r>
      <w:r w:rsidRPr="005A3969">
        <w:t xml:space="preserve"> for</w:t>
      </w:r>
      <w:r w:rsidRPr="005A3969">
        <w:br/>
        <w:t>the broadcasting-satellite service in the frequency bands</w:t>
      </w:r>
      <w:r w:rsidRPr="005A3969">
        <w:br/>
        <w:t>11.7-12.2 GHz (in Region 3), 11.7-12.5 GHz (in Region 1)</w:t>
      </w:r>
      <w:r w:rsidRPr="005A3969">
        <w:br/>
        <w:t>         and 12.2-12.7 GHz (in Region 2)</w:t>
      </w:r>
      <w:r w:rsidRPr="005A3969">
        <w:rPr>
          <w:b w:val="0"/>
          <w:bCs/>
          <w:color w:val="000000"/>
          <w:sz w:val="16"/>
        </w:rPr>
        <w:t>    </w:t>
      </w:r>
      <w:r w:rsidRPr="005A3969">
        <w:rPr>
          <w:rFonts w:ascii="Times New Roman"/>
          <w:b w:val="0"/>
          <w:bCs/>
          <w:color w:val="000000"/>
          <w:sz w:val="16"/>
        </w:rPr>
        <w:t>(WRC</w:t>
      </w:r>
      <w:r w:rsidRPr="005A3969">
        <w:rPr>
          <w:rFonts w:ascii="Times New Roman"/>
          <w:b w:val="0"/>
          <w:bCs/>
          <w:color w:val="000000"/>
          <w:sz w:val="16"/>
        </w:rPr>
        <w:noBreakHyphen/>
        <w:t>03)</w:t>
      </w:r>
    </w:p>
    <w:p w14:paraId="45F6A93C" w14:textId="77777777" w:rsidR="00830259" w:rsidRPr="005A3969" w:rsidRDefault="00830259" w:rsidP="00830259">
      <w:pPr>
        <w:pStyle w:val="Reasons"/>
      </w:pPr>
    </w:p>
    <w:p w14:paraId="22C72DCD" w14:textId="4A26B727" w:rsidR="00830259" w:rsidRPr="005A3969" w:rsidRDefault="00830259" w:rsidP="00830259">
      <w:pPr>
        <w:pStyle w:val="Proposal"/>
      </w:pPr>
      <w:r w:rsidRPr="005A3969">
        <w:rPr>
          <w:u w:val="single"/>
        </w:rPr>
        <w:t>NOC</w:t>
      </w:r>
      <w:r w:rsidRPr="005A3969">
        <w:tab/>
        <w:t>ALG/EGY/UAE/QAT/109/</w:t>
      </w:r>
      <w:r w:rsidR="007D7B30" w:rsidRPr="005A3969">
        <w:t>5</w:t>
      </w:r>
      <w:r w:rsidRPr="005A3969">
        <w:rPr>
          <w:vanish/>
          <w:color w:val="7F7F7F" w:themeColor="text1" w:themeTint="80"/>
          <w:vertAlign w:val="superscript"/>
        </w:rPr>
        <w:t>#2</w:t>
      </w:r>
      <w:r w:rsidR="00F54882" w:rsidRPr="005A3969">
        <w:rPr>
          <w:vanish/>
          <w:color w:val="7F7F7F" w:themeColor="text1" w:themeTint="80"/>
          <w:vertAlign w:val="superscript"/>
        </w:rPr>
        <w:t>145</w:t>
      </w:r>
    </w:p>
    <w:p w14:paraId="4E34E47E" w14:textId="77777777" w:rsidR="00830259" w:rsidRPr="005A3969" w:rsidRDefault="00830259" w:rsidP="00830259">
      <w:pPr>
        <w:pStyle w:val="AppendixNo"/>
      </w:pPr>
      <w:r w:rsidRPr="005A3969">
        <w:t xml:space="preserve">APPENDIX </w:t>
      </w:r>
      <w:r w:rsidRPr="005A3969">
        <w:rPr>
          <w:rStyle w:val="href"/>
        </w:rPr>
        <w:t>30A</w:t>
      </w:r>
      <w:r w:rsidRPr="005A3969">
        <w:t> (REV.WRC</w:t>
      </w:r>
      <w:r w:rsidRPr="005A3969">
        <w:noBreakHyphen/>
        <w:t>19)</w:t>
      </w:r>
      <w:r w:rsidRPr="005A3969">
        <w:rPr>
          <w:color w:val="000000"/>
          <w:position w:val="6"/>
          <w:sz w:val="18"/>
        </w:rPr>
        <w:t>*</w:t>
      </w:r>
    </w:p>
    <w:p w14:paraId="5E2E9980" w14:textId="77777777" w:rsidR="00830259" w:rsidRPr="005A3969" w:rsidRDefault="00830259" w:rsidP="00830259">
      <w:pPr>
        <w:pStyle w:val="Appendixtitle"/>
        <w:rPr>
          <w:b w:val="0"/>
          <w:bCs/>
          <w:sz w:val="16"/>
        </w:rPr>
      </w:pPr>
      <w:r w:rsidRPr="005A3969">
        <w:t>Provisions and associated Plans and List</w:t>
      </w:r>
      <w:r w:rsidRPr="005A3969">
        <w:rPr>
          <w:rFonts w:asciiTheme="majorBidi" w:hAnsiTheme="majorBidi" w:cstheme="majorBidi"/>
          <w:b w:val="0"/>
          <w:bCs/>
          <w:color w:val="000000"/>
          <w:position w:val="6"/>
          <w:sz w:val="18"/>
        </w:rPr>
        <w:t>1</w:t>
      </w:r>
      <w:r w:rsidRPr="005A3969">
        <w:t xml:space="preserve"> for feeder links for the broadcasting-satellite service (11.7-12.5 GHz in Region 1, 12.2-12.7 GHz</w:t>
      </w:r>
      <w:r w:rsidRPr="005A3969">
        <w:br/>
        <w:t>in Region 2 and 11.7-12.2 GHz in Region 3) in the frequency bands</w:t>
      </w:r>
      <w:r w:rsidRPr="005A3969">
        <w:br/>
        <w:t>14.5-14.8 GHz</w:t>
      </w:r>
      <w:r w:rsidRPr="005A3969">
        <w:rPr>
          <w:rFonts w:asciiTheme="majorBidi" w:hAnsiTheme="majorBidi" w:cstheme="majorBidi"/>
          <w:b w:val="0"/>
          <w:bCs/>
          <w:color w:val="000000"/>
          <w:position w:val="6"/>
          <w:sz w:val="18"/>
        </w:rPr>
        <w:t>2</w:t>
      </w:r>
      <w:r w:rsidRPr="005A3969">
        <w:t xml:space="preserve"> and 17.3-18.1 GHz in Regions 1 and 3,</w:t>
      </w:r>
      <w:r w:rsidRPr="005A3969">
        <w:br/>
        <w:t>and 17.3-17.8 GHz in Region 2</w:t>
      </w:r>
      <w:r w:rsidRPr="005A3969">
        <w:rPr>
          <w:b w:val="0"/>
          <w:bCs/>
          <w:sz w:val="16"/>
        </w:rPr>
        <w:t>     (</w:t>
      </w:r>
      <w:r w:rsidRPr="005A3969">
        <w:rPr>
          <w:rFonts w:asciiTheme="majorBidi" w:hAnsiTheme="majorBidi" w:cstheme="majorBidi"/>
          <w:b w:val="0"/>
          <w:bCs/>
          <w:sz w:val="16"/>
        </w:rPr>
        <w:t>WRC</w:t>
      </w:r>
      <w:r w:rsidRPr="005A3969">
        <w:rPr>
          <w:rFonts w:asciiTheme="majorBidi" w:hAnsiTheme="majorBidi" w:cstheme="majorBidi"/>
          <w:b w:val="0"/>
          <w:bCs/>
          <w:sz w:val="16"/>
        </w:rPr>
        <w:noBreakHyphen/>
        <w:t>03)</w:t>
      </w:r>
    </w:p>
    <w:p w14:paraId="3CC3BAA3" w14:textId="77777777" w:rsidR="00830259" w:rsidRPr="005A3969" w:rsidRDefault="00830259" w:rsidP="00830259">
      <w:pPr>
        <w:pStyle w:val="Reasons"/>
      </w:pPr>
    </w:p>
    <w:p w14:paraId="3B2C5CB7" w14:textId="69F6DC51" w:rsidR="00093646" w:rsidRDefault="00093646" w:rsidP="00093646">
      <w:pPr>
        <w:jc w:val="center"/>
      </w:pPr>
      <w:r w:rsidRPr="00350142">
        <w:t>________________</w:t>
      </w:r>
    </w:p>
    <w:sectPr w:rsidR="00093646">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E08A" w14:textId="77777777" w:rsidR="008752D8" w:rsidRDefault="008752D8">
      <w:r>
        <w:separator/>
      </w:r>
    </w:p>
  </w:endnote>
  <w:endnote w:type="continuationSeparator" w:id="0">
    <w:p w14:paraId="067B5399" w14:textId="77777777" w:rsidR="008752D8" w:rsidRDefault="0087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C356" w14:textId="77777777" w:rsidR="00E45D05" w:rsidRDefault="00E45D05">
    <w:pPr>
      <w:framePr w:wrap="around" w:vAnchor="text" w:hAnchor="margin" w:xAlign="right" w:y="1"/>
    </w:pPr>
    <w:r>
      <w:fldChar w:fldCharType="begin"/>
    </w:r>
    <w:r>
      <w:instrText xml:space="preserve">PAGE  </w:instrText>
    </w:r>
    <w:r>
      <w:fldChar w:fldCharType="end"/>
    </w:r>
  </w:p>
  <w:p w14:paraId="7B589487" w14:textId="4CB9128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5A3969">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CDB6" w14:textId="2698DAFD" w:rsidR="00E45D05" w:rsidRDefault="00E45D05" w:rsidP="009B1EA1">
    <w:pPr>
      <w:pStyle w:val="Footer"/>
    </w:pPr>
    <w:r>
      <w:fldChar w:fldCharType="begin"/>
    </w:r>
    <w:r w:rsidRPr="0041348E">
      <w:rPr>
        <w:lang w:val="en-US"/>
      </w:rPr>
      <w:instrText xml:space="preserve"> FILENAME \p  \* MERGEFORMAT </w:instrText>
    </w:r>
    <w:r>
      <w:fldChar w:fldCharType="separate"/>
    </w:r>
    <w:r w:rsidR="00BF5058">
      <w:rPr>
        <w:lang w:val="en-US"/>
      </w:rPr>
      <w:t>P:\ENG\ITU-R\CONF-R\CMR23\100\109E.doc</w:t>
    </w:r>
    <w:r>
      <w:fldChar w:fldCharType="end"/>
    </w:r>
    <w:r w:rsidR="00BF5058">
      <w:t xml:space="preserve"> (530228)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DF2" w14:textId="12DB3ED2" w:rsidR="00BF5058" w:rsidRDefault="00BF5058">
    <w:pPr>
      <w:pStyle w:val="Footer"/>
    </w:pPr>
    <w:r>
      <w:fldChar w:fldCharType="begin"/>
    </w:r>
    <w:r w:rsidRPr="00BF5058">
      <w:instrText xml:space="preserve"> FILENAME \p \* MERGEFORMAT </w:instrText>
    </w:r>
    <w:r>
      <w:fldChar w:fldCharType="separate"/>
    </w:r>
    <w:r w:rsidRPr="00BF5058">
      <w:t>P:\ENG\ITU-R\CONF-R\CMR23\100\109E.doc</w:t>
    </w:r>
    <w:r>
      <w:fldChar w:fldCharType="end"/>
    </w:r>
    <w:r>
      <w:t xml:space="preserve"> (530228)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510F" w14:textId="77777777" w:rsidR="008752D8" w:rsidRDefault="008752D8">
      <w:r>
        <w:rPr>
          <w:b/>
        </w:rPr>
        <w:t>_______________</w:t>
      </w:r>
    </w:p>
  </w:footnote>
  <w:footnote w:type="continuationSeparator" w:id="0">
    <w:p w14:paraId="3EEE48D9" w14:textId="77777777" w:rsidR="008752D8" w:rsidRDefault="0087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C2E"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D807D23" w14:textId="77777777" w:rsidR="00A066F1" w:rsidRPr="00A066F1" w:rsidRDefault="00BC75DE" w:rsidP="00241FA2">
    <w:pPr>
      <w:pStyle w:val="Header"/>
    </w:pPr>
    <w:r>
      <w:t>WRC</w:t>
    </w:r>
    <w:r w:rsidR="006D70B0">
      <w:t>23</w:t>
    </w:r>
    <w:r w:rsidR="00A066F1">
      <w:t>/</w:t>
    </w:r>
    <w:bookmarkStart w:id="6" w:name="OLE_LINK1"/>
    <w:bookmarkStart w:id="7" w:name="OLE_LINK2"/>
    <w:bookmarkStart w:id="8" w:name="OLE_LINK3"/>
    <w:r w:rsidR="00EB55C6">
      <w:t>109</w:t>
    </w:r>
    <w:bookmarkEnd w:id="6"/>
    <w:bookmarkEnd w:id="7"/>
    <w:bookmarkEnd w:id="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343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C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8B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E62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5A72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CB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301C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F6A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C6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213539363">
    <w:abstractNumId w:val="8"/>
  </w:num>
  <w:num w:numId="2" w16cid:durableId="172256120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53132603">
    <w:abstractNumId w:val="9"/>
  </w:num>
  <w:num w:numId="4" w16cid:durableId="1597056944">
    <w:abstractNumId w:val="7"/>
  </w:num>
  <w:num w:numId="5" w16cid:durableId="1604922029">
    <w:abstractNumId w:val="6"/>
  </w:num>
  <w:num w:numId="6" w16cid:durableId="1271745253">
    <w:abstractNumId w:val="5"/>
  </w:num>
  <w:num w:numId="7" w16cid:durableId="2044868212">
    <w:abstractNumId w:val="4"/>
  </w:num>
  <w:num w:numId="8" w16cid:durableId="270935535">
    <w:abstractNumId w:val="8"/>
  </w:num>
  <w:num w:numId="9" w16cid:durableId="647176613">
    <w:abstractNumId w:val="3"/>
  </w:num>
  <w:num w:numId="10" w16cid:durableId="1799567916">
    <w:abstractNumId w:val="2"/>
  </w:num>
  <w:num w:numId="11" w16cid:durableId="1212304390">
    <w:abstractNumId w:val="1"/>
  </w:num>
  <w:num w:numId="12" w16cid:durableId="2066560638">
    <w:abstractNumId w:val="0"/>
  </w:num>
  <w:num w:numId="13" w16cid:durableId="610631364">
    <w:abstractNumId w:val="9"/>
  </w:num>
  <w:num w:numId="14" w16cid:durableId="430205487">
    <w:abstractNumId w:val="7"/>
  </w:num>
  <w:num w:numId="15" w16cid:durableId="1827747055">
    <w:abstractNumId w:val="6"/>
  </w:num>
  <w:num w:numId="16" w16cid:durableId="437021168">
    <w:abstractNumId w:val="5"/>
  </w:num>
  <w:num w:numId="17" w16cid:durableId="1378041749">
    <w:abstractNumId w:val="4"/>
  </w:num>
  <w:num w:numId="18" w16cid:durableId="2058622666">
    <w:abstractNumId w:val="8"/>
  </w:num>
  <w:num w:numId="19" w16cid:durableId="752436418">
    <w:abstractNumId w:val="3"/>
  </w:num>
  <w:num w:numId="20" w16cid:durableId="30617489">
    <w:abstractNumId w:val="2"/>
  </w:num>
  <w:num w:numId="21" w16cid:durableId="1885100167">
    <w:abstractNumId w:val="1"/>
  </w:num>
  <w:num w:numId="22" w16cid:durableId="176646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3646"/>
    <w:rsid w:val="0009706C"/>
    <w:rsid w:val="000D154B"/>
    <w:rsid w:val="000D2DAF"/>
    <w:rsid w:val="000E463E"/>
    <w:rsid w:val="000F73FF"/>
    <w:rsid w:val="00114CF7"/>
    <w:rsid w:val="00116C7A"/>
    <w:rsid w:val="00121374"/>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37DBC"/>
    <w:rsid w:val="00350142"/>
    <w:rsid w:val="00361B37"/>
    <w:rsid w:val="00377BD3"/>
    <w:rsid w:val="00384088"/>
    <w:rsid w:val="003852CE"/>
    <w:rsid w:val="0039169B"/>
    <w:rsid w:val="003A7F8C"/>
    <w:rsid w:val="003B2284"/>
    <w:rsid w:val="003B532E"/>
    <w:rsid w:val="003D0F8B"/>
    <w:rsid w:val="003E0DB6"/>
    <w:rsid w:val="0041348E"/>
    <w:rsid w:val="00420873"/>
    <w:rsid w:val="0046170D"/>
    <w:rsid w:val="004811E8"/>
    <w:rsid w:val="00492075"/>
    <w:rsid w:val="004969AD"/>
    <w:rsid w:val="004A26C4"/>
    <w:rsid w:val="004B13CB"/>
    <w:rsid w:val="004D26EA"/>
    <w:rsid w:val="004D2BFB"/>
    <w:rsid w:val="004D5D5C"/>
    <w:rsid w:val="004F3DC0"/>
    <w:rsid w:val="0050139F"/>
    <w:rsid w:val="0055140B"/>
    <w:rsid w:val="005861D7"/>
    <w:rsid w:val="005964AB"/>
    <w:rsid w:val="005A3969"/>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D7B30"/>
    <w:rsid w:val="007F5C31"/>
    <w:rsid w:val="00800972"/>
    <w:rsid w:val="00804475"/>
    <w:rsid w:val="00811633"/>
    <w:rsid w:val="00814037"/>
    <w:rsid w:val="00830259"/>
    <w:rsid w:val="00841216"/>
    <w:rsid w:val="00842AF0"/>
    <w:rsid w:val="0086171E"/>
    <w:rsid w:val="00872FC8"/>
    <w:rsid w:val="008752D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C2C29"/>
    <w:rsid w:val="00AD7914"/>
    <w:rsid w:val="00AE514B"/>
    <w:rsid w:val="00B40888"/>
    <w:rsid w:val="00B639E9"/>
    <w:rsid w:val="00B817CD"/>
    <w:rsid w:val="00B81A7D"/>
    <w:rsid w:val="00B91EF7"/>
    <w:rsid w:val="00B94AD0"/>
    <w:rsid w:val="00BB3A95"/>
    <w:rsid w:val="00BC75DE"/>
    <w:rsid w:val="00BD6CCE"/>
    <w:rsid w:val="00BF5058"/>
    <w:rsid w:val="00C0018F"/>
    <w:rsid w:val="00C16A5A"/>
    <w:rsid w:val="00C20466"/>
    <w:rsid w:val="00C214ED"/>
    <w:rsid w:val="00C234E6"/>
    <w:rsid w:val="00C324A8"/>
    <w:rsid w:val="00C54517"/>
    <w:rsid w:val="00C56F70"/>
    <w:rsid w:val="00C57B91"/>
    <w:rsid w:val="00C64CD8"/>
    <w:rsid w:val="00C81E2D"/>
    <w:rsid w:val="00C82695"/>
    <w:rsid w:val="00C97C68"/>
    <w:rsid w:val="00CA1A47"/>
    <w:rsid w:val="00CA3DFC"/>
    <w:rsid w:val="00CB44E5"/>
    <w:rsid w:val="00CC247A"/>
    <w:rsid w:val="00CE388F"/>
    <w:rsid w:val="00CE5E47"/>
    <w:rsid w:val="00CF020F"/>
    <w:rsid w:val="00CF212E"/>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03D07"/>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54882"/>
    <w:rsid w:val="00F6155B"/>
    <w:rsid w:val="00F65C19"/>
    <w:rsid w:val="00F822B0"/>
    <w:rsid w:val="00FD08E2"/>
    <w:rsid w:val="00FD18DA"/>
    <w:rsid w:val="00FD2546"/>
    <w:rsid w:val="00FD4BED"/>
    <w:rsid w:val="00FD772E"/>
    <w:rsid w:val="00FE03DB"/>
    <w:rsid w:val="00FE78C7"/>
    <w:rsid w:val="00FF4208"/>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0F3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qFormat/>
    <w:rsid w:val="00897DEC"/>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337DB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R23-WRC23-C-0109!!MSW-E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1A6725-5F08-401E-B2A7-20E354364F38}">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8300754D-18E6-4A1F-B12E-62D776125894}">
  <ds:schemaRefs>
    <ds:schemaRef ds:uri="http://schemas.openxmlformats.org/officeDocument/2006/bibliography"/>
  </ds:schemaRefs>
</ds:datastoreItem>
</file>

<file path=customXml/itemProps3.xml><?xml version="1.0" encoding="utf-8"?>
<ds:datastoreItem xmlns:ds="http://schemas.openxmlformats.org/officeDocument/2006/customXml" ds:itemID="{A0E6970A-AFE6-4DF7-97F4-DEA0250B3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D068A-7058-48FA-9716-47D36AC62EBE}">
  <ds:schemaRefs>
    <ds:schemaRef ds:uri="http://schemas.microsoft.com/sharepoint/v3/contenttype/forms"/>
  </ds:schemaRefs>
</ds:datastoreItem>
</file>

<file path=customXml/itemProps5.xml><?xml version="1.0" encoding="utf-8"?>
<ds:datastoreItem xmlns:ds="http://schemas.openxmlformats.org/officeDocument/2006/customXml" ds:itemID="{D71DF776-7E5A-43AD-BB2C-0D8FEF75F3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368</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R23-WRC23-C-0109!!MSW-E</vt:lpstr>
    </vt:vector>
  </TitlesOfParts>
  <Manager>General Secretariat - Pool</Manager>
  <Company>International Telecommunication Union (ITU)</Company>
  <LinksUpToDate>false</LinksUpToDate>
  <CharactersWithSpaces>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R23-WRC23-C-0109!!MSW-E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2023-11-06T15:30:00Z</dcterms:created>
  <dcterms:modified xsi:type="dcterms:W3CDTF">2023-11-08T14:52:00Z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