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D3A50AD" w14:textId="77777777" w:rsidTr="0080079E">
        <w:trPr>
          <w:cantSplit/>
        </w:trPr>
        <w:tc>
          <w:tcPr>
            <w:tcW w:w="1418" w:type="dxa"/>
            <w:vAlign w:val="center"/>
          </w:tcPr>
          <w:p w14:paraId="5F4EFCBF"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15E865C" wp14:editId="025559E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4431FD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E28C5D5"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F65DA24" wp14:editId="216E62E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7C57BB0" w14:textId="77777777" w:rsidTr="0050008E">
        <w:trPr>
          <w:cantSplit/>
        </w:trPr>
        <w:tc>
          <w:tcPr>
            <w:tcW w:w="6911" w:type="dxa"/>
            <w:gridSpan w:val="2"/>
            <w:tcBorders>
              <w:bottom w:val="single" w:sz="12" w:space="0" w:color="auto"/>
            </w:tcBorders>
          </w:tcPr>
          <w:p w14:paraId="1135BD9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55B6FAEF" w14:textId="77777777" w:rsidR="0090121B" w:rsidRPr="0002785D" w:rsidRDefault="0090121B" w:rsidP="0090121B">
            <w:pPr>
              <w:spacing w:before="0" w:line="240" w:lineRule="atLeast"/>
              <w:rPr>
                <w:rFonts w:ascii="Verdana" w:hAnsi="Verdana"/>
                <w:szCs w:val="24"/>
                <w:lang w:val="en-US"/>
              </w:rPr>
            </w:pPr>
          </w:p>
        </w:tc>
      </w:tr>
      <w:tr w:rsidR="0090121B" w:rsidRPr="0002785D" w14:paraId="33AB6849" w14:textId="77777777" w:rsidTr="0090121B">
        <w:trPr>
          <w:cantSplit/>
        </w:trPr>
        <w:tc>
          <w:tcPr>
            <w:tcW w:w="6911" w:type="dxa"/>
            <w:gridSpan w:val="2"/>
            <w:tcBorders>
              <w:top w:val="single" w:sz="12" w:space="0" w:color="auto"/>
            </w:tcBorders>
          </w:tcPr>
          <w:p w14:paraId="1E26F91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82F8FC5" w14:textId="77777777" w:rsidR="0090121B" w:rsidRPr="0002785D" w:rsidRDefault="0090121B" w:rsidP="0090121B">
            <w:pPr>
              <w:spacing w:before="0" w:line="240" w:lineRule="atLeast"/>
              <w:rPr>
                <w:rFonts w:ascii="Verdana" w:hAnsi="Verdana"/>
                <w:sz w:val="20"/>
                <w:lang w:val="en-US"/>
              </w:rPr>
            </w:pPr>
          </w:p>
        </w:tc>
      </w:tr>
      <w:tr w:rsidR="0090121B" w:rsidRPr="0002785D" w14:paraId="3FAA92D7" w14:textId="77777777" w:rsidTr="0090121B">
        <w:trPr>
          <w:cantSplit/>
        </w:trPr>
        <w:tc>
          <w:tcPr>
            <w:tcW w:w="6911" w:type="dxa"/>
            <w:gridSpan w:val="2"/>
          </w:tcPr>
          <w:p w14:paraId="51CC8BB0" w14:textId="77777777" w:rsidR="0090121B" w:rsidRPr="003A33E7" w:rsidRDefault="001E7D42" w:rsidP="00EA77F0">
            <w:pPr>
              <w:pStyle w:val="Committee"/>
              <w:framePr w:hSpace="0" w:wrap="auto" w:hAnchor="text" w:yAlign="inline"/>
              <w:rPr>
                <w:szCs w:val="20"/>
              </w:rPr>
            </w:pPr>
            <w:r w:rsidRPr="003A33E7">
              <w:rPr>
                <w:szCs w:val="20"/>
              </w:rPr>
              <w:t>SESIÓN PLENARIA</w:t>
            </w:r>
          </w:p>
        </w:tc>
        <w:tc>
          <w:tcPr>
            <w:tcW w:w="3120" w:type="dxa"/>
            <w:gridSpan w:val="2"/>
          </w:tcPr>
          <w:p w14:paraId="2F17D09B" w14:textId="77777777" w:rsidR="0090121B" w:rsidRPr="003A33E7" w:rsidRDefault="00AE658F" w:rsidP="0045384C">
            <w:pPr>
              <w:spacing w:before="0"/>
              <w:rPr>
                <w:rFonts w:ascii="Verdana" w:hAnsi="Verdana"/>
                <w:sz w:val="20"/>
                <w:lang w:val="en-US"/>
              </w:rPr>
            </w:pPr>
            <w:r w:rsidRPr="003A33E7">
              <w:rPr>
                <w:rFonts w:ascii="Verdana" w:hAnsi="Verdana"/>
                <w:b/>
                <w:sz w:val="20"/>
                <w:lang w:val="en-US"/>
              </w:rPr>
              <w:t>Addéndum 18 al</w:t>
            </w:r>
            <w:r w:rsidRPr="003A33E7">
              <w:rPr>
                <w:rFonts w:ascii="Verdana" w:hAnsi="Verdana"/>
                <w:b/>
                <w:sz w:val="20"/>
                <w:lang w:val="en-US"/>
              </w:rPr>
              <w:br/>
              <w:t>Documento 111</w:t>
            </w:r>
            <w:r w:rsidR="0090121B" w:rsidRPr="003A33E7">
              <w:rPr>
                <w:rFonts w:ascii="Verdana" w:hAnsi="Verdana"/>
                <w:b/>
                <w:sz w:val="20"/>
                <w:lang w:val="en-US"/>
              </w:rPr>
              <w:t>-</w:t>
            </w:r>
            <w:r w:rsidRPr="003A33E7">
              <w:rPr>
                <w:rFonts w:ascii="Verdana" w:hAnsi="Verdana"/>
                <w:b/>
                <w:sz w:val="20"/>
                <w:lang w:val="en-US"/>
              </w:rPr>
              <w:t>S</w:t>
            </w:r>
          </w:p>
        </w:tc>
      </w:tr>
      <w:bookmarkEnd w:id="1"/>
      <w:tr w:rsidR="000A5B9A" w:rsidRPr="0002785D" w14:paraId="7E35C180" w14:textId="77777777" w:rsidTr="0090121B">
        <w:trPr>
          <w:cantSplit/>
        </w:trPr>
        <w:tc>
          <w:tcPr>
            <w:tcW w:w="6911" w:type="dxa"/>
            <w:gridSpan w:val="2"/>
          </w:tcPr>
          <w:p w14:paraId="0DD0155B" w14:textId="77777777" w:rsidR="000A5B9A" w:rsidRPr="003A33E7" w:rsidRDefault="000A5B9A" w:rsidP="0045384C">
            <w:pPr>
              <w:spacing w:before="0" w:after="48"/>
              <w:rPr>
                <w:rFonts w:ascii="Verdana" w:hAnsi="Verdana"/>
                <w:b/>
                <w:smallCaps/>
                <w:sz w:val="20"/>
                <w:lang w:val="en-US"/>
              </w:rPr>
            </w:pPr>
          </w:p>
        </w:tc>
        <w:tc>
          <w:tcPr>
            <w:tcW w:w="3120" w:type="dxa"/>
            <w:gridSpan w:val="2"/>
          </w:tcPr>
          <w:p w14:paraId="02CFEFF8" w14:textId="77777777" w:rsidR="000A5B9A" w:rsidRPr="003A33E7" w:rsidRDefault="000A5B9A" w:rsidP="0045384C">
            <w:pPr>
              <w:spacing w:before="0"/>
              <w:rPr>
                <w:rFonts w:ascii="Verdana" w:hAnsi="Verdana"/>
                <w:b/>
                <w:sz w:val="20"/>
                <w:lang w:val="en-US"/>
              </w:rPr>
            </w:pPr>
            <w:r w:rsidRPr="003A33E7">
              <w:rPr>
                <w:rFonts w:ascii="Verdana" w:hAnsi="Verdana"/>
                <w:b/>
                <w:sz w:val="20"/>
                <w:lang w:val="en-US"/>
              </w:rPr>
              <w:t>29 de octubre de 2023</w:t>
            </w:r>
          </w:p>
        </w:tc>
      </w:tr>
      <w:tr w:rsidR="000A5B9A" w:rsidRPr="0002785D" w14:paraId="0C55E486" w14:textId="77777777" w:rsidTr="0090121B">
        <w:trPr>
          <w:cantSplit/>
        </w:trPr>
        <w:tc>
          <w:tcPr>
            <w:tcW w:w="6911" w:type="dxa"/>
            <w:gridSpan w:val="2"/>
          </w:tcPr>
          <w:p w14:paraId="6F4D457C" w14:textId="77777777" w:rsidR="000A5B9A" w:rsidRPr="003A33E7" w:rsidRDefault="000A5B9A" w:rsidP="0045384C">
            <w:pPr>
              <w:spacing w:before="0" w:after="48"/>
              <w:rPr>
                <w:rFonts w:ascii="Verdana" w:hAnsi="Verdana"/>
                <w:b/>
                <w:smallCaps/>
                <w:sz w:val="20"/>
                <w:lang w:val="en-US"/>
              </w:rPr>
            </w:pPr>
          </w:p>
        </w:tc>
        <w:tc>
          <w:tcPr>
            <w:tcW w:w="3120" w:type="dxa"/>
            <w:gridSpan w:val="2"/>
          </w:tcPr>
          <w:p w14:paraId="026F8BE1" w14:textId="77777777" w:rsidR="000A5B9A" w:rsidRPr="003A33E7" w:rsidRDefault="000A5B9A" w:rsidP="0045384C">
            <w:pPr>
              <w:spacing w:before="0"/>
              <w:rPr>
                <w:rFonts w:ascii="Verdana" w:hAnsi="Verdana"/>
                <w:b/>
                <w:sz w:val="20"/>
                <w:lang w:val="en-US"/>
              </w:rPr>
            </w:pPr>
            <w:r w:rsidRPr="003A33E7">
              <w:rPr>
                <w:rFonts w:ascii="Verdana" w:hAnsi="Verdana"/>
                <w:b/>
                <w:sz w:val="20"/>
                <w:lang w:val="en-US"/>
              </w:rPr>
              <w:t>Original: chino</w:t>
            </w:r>
          </w:p>
        </w:tc>
      </w:tr>
      <w:tr w:rsidR="000A5B9A" w:rsidRPr="0002785D" w14:paraId="0855B45D" w14:textId="77777777" w:rsidTr="006744FC">
        <w:trPr>
          <w:cantSplit/>
        </w:trPr>
        <w:tc>
          <w:tcPr>
            <w:tcW w:w="10031" w:type="dxa"/>
            <w:gridSpan w:val="4"/>
          </w:tcPr>
          <w:p w14:paraId="562C9B7B" w14:textId="77777777" w:rsidR="000A5B9A" w:rsidRPr="007424E8" w:rsidRDefault="000A5B9A" w:rsidP="0045384C">
            <w:pPr>
              <w:spacing w:before="0"/>
              <w:rPr>
                <w:rFonts w:ascii="Verdana" w:hAnsi="Verdana"/>
                <w:b/>
                <w:sz w:val="18"/>
                <w:szCs w:val="22"/>
                <w:lang w:val="en-US"/>
              </w:rPr>
            </w:pPr>
          </w:p>
        </w:tc>
      </w:tr>
      <w:tr w:rsidR="000A5B9A" w:rsidRPr="0002785D" w14:paraId="06FBD1CE" w14:textId="77777777" w:rsidTr="0050008E">
        <w:trPr>
          <w:cantSplit/>
        </w:trPr>
        <w:tc>
          <w:tcPr>
            <w:tcW w:w="10031" w:type="dxa"/>
            <w:gridSpan w:val="4"/>
          </w:tcPr>
          <w:p w14:paraId="5AF5138C" w14:textId="77777777" w:rsidR="000A5B9A" w:rsidRPr="0002785D" w:rsidRDefault="000A5B9A" w:rsidP="000A5B9A">
            <w:pPr>
              <w:pStyle w:val="Source"/>
              <w:rPr>
                <w:lang w:val="en-US"/>
              </w:rPr>
            </w:pPr>
            <w:bookmarkStart w:id="2" w:name="dsource" w:colFirst="0" w:colLast="0"/>
            <w:r w:rsidRPr="0002785D">
              <w:rPr>
                <w:lang w:val="en-US"/>
              </w:rPr>
              <w:t>China (República Popular de)</w:t>
            </w:r>
          </w:p>
        </w:tc>
      </w:tr>
      <w:tr w:rsidR="000A5B9A" w:rsidRPr="0002785D" w14:paraId="47BF192A" w14:textId="77777777" w:rsidTr="0050008E">
        <w:trPr>
          <w:cantSplit/>
        </w:trPr>
        <w:tc>
          <w:tcPr>
            <w:tcW w:w="10031" w:type="dxa"/>
            <w:gridSpan w:val="4"/>
          </w:tcPr>
          <w:p w14:paraId="05AC8D8D" w14:textId="34A96C86" w:rsidR="000A5B9A" w:rsidRPr="00082C35" w:rsidRDefault="00082C35" w:rsidP="000A5B9A">
            <w:pPr>
              <w:pStyle w:val="Title1"/>
              <w:rPr>
                <w:lang w:val="es-ES"/>
              </w:rPr>
            </w:pPr>
            <w:bookmarkStart w:id="3" w:name="dtitle1" w:colFirst="0" w:colLast="0"/>
            <w:bookmarkEnd w:id="2"/>
            <w:r w:rsidRPr="00082C35">
              <w:rPr>
                <w:lang w:val="es-ES"/>
              </w:rPr>
              <w:t>PROPUESTAS PARA LAS TRABAJOS D</w:t>
            </w:r>
            <w:r>
              <w:rPr>
                <w:lang w:val="es-ES"/>
              </w:rPr>
              <w:t>E LA CONFERENCIA</w:t>
            </w:r>
          </w:p>
        </w:tc>
      </w:tr>
      <w:tr w:rsidR="000A5B9A" w:rsidRPr="0002785D" w14:paraId="5795BEB0" w14:textId="77777777" w:rsidTr="0050008E">
        <w:trPr>
          <w:cantSplit/>
        </w:trPr>
        <w:tc>
          <w:tcPr>
            <w:tcW w:w="10031" w:type="dxa"/>
            <w:gridSpan w:val="4"/>
          </w:tcPr>
          <w:p w14:paraId="093529EA" w14:textId="77777777" w:rsidR="000A5B9A" w:rsidRPr="00082C35" w:rsidRDefault="000A5B9A" w:rsidP="000A5B9A">
            <w:pPr>
              <w:pStyle w:val="Title2"/>
              <w:rPr>
                <w:lang w:val="es-ES"/>
              </w:rPr>
            </w:pPr>
            <w:bookmarkStart w:id="4" w:name="dtitle2" w:colFirst="0" w:colLast="0"/>
            <w:bookmarkEnd w:id="3"/>
          </w:p>
        </w:tc>
      </w:tr>
      <w:tr w:rsidR="000A5B9A" w14:paraId="5FD23A4A" w14:textId="77777777" w:rsidTr="0050008E">
        <w:trPr>
          <w:cantSplit/>
        </w:trPr>
        <w:tc>
          <w:tcPr>
            <w:tcW w:w="10031" w:type="dxa"/>
            <w:gridSpan w:val="4"/>
          </w:tcPr>
          <w:p w14:paraId="26C1471F" w14:textId="77777777" w:rsidR="000A5B9A" w:rsidRDefault="000A5B9A" w:rsidP="000A5B9A">
            <w:pPr>
              <w:pStyle w:val="Agendaitem"/>
            </w:pPr>
            <w:bookmarkStart w:id="5" w:name="dtitle3" w:colFirst="0" w:colLast="0"/>
            <w:bookmarkEnd w:id="4"/>
            <w:r w:rsidRPr="00AE658F">
              <w:t>Punto 1.18 del orden del día</w:t>
            </w:r>
          </w:p>
        </w:tc>
      </w:tr>
    </w:tbl>
    <w:bookmarkEnd w:id="5"/>
    <w:p w14:paraId="1F131468" w14:textId="77777777" w:rsidR="005039E9" w:rsidRPr="00A1752C" w:rsidRDefault="00DF1D8D" w:rsidP="00A1752C">
      <w:r w:rsidRPr="00816CEF">
        <w:rPr>
          <w:bCs/>
        </w:rPr>
        <w:t>1.18</w:t>
      </w:r>
      <w:r w:rsidRPr="00816CEF">
        <w:rPr>
          <w:bCs/>
        </w:rPr>
        <w:tab/>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816CEF">
        <w:rPr>
          <w:b/>
          <w:bCs/>
        </w:rPr>
        <w:t>248 (CMR-19)</w:t>
      </w:r>
      <w:r w:rsidRPr="00816CEF">
        <w:rPr>
          <w:bCs/>
        </w:rPr>
        <w:t>;</w:t>
      </w:r>
    </w:p>
    <w:p w14:paraId="56A01734" w14:textId="02433D40" w:rsidR="00082C35" w:rsidRPr="00BF1877" w:rsidRDefault="00082C35" w:rsidP="00082C35">
      <w:pPr>
        <w:pStyle w:val="Headingb"/>
        <w:rPr>
          <w:lang w:val="es-ES" w:eastAsia="zh-CN"/>
        </w:rPr>
      </w:pPr>
      <w:r w:rsidRPr="00BF1877">
        <w:rPr>
          <w:bCs/>
          <w:lang w:val="es-ES" w:eastAsia="zh-CN"/>
        </w:rPr>
        <w:t>Introducción</w:t>
      </w:r>
    </w:p>
    <w:p w14:paraId="56A702F3" w14:textId="6796B82E" w:rsidR="00082C35" w:rsidRPr="00082C35" w:rsidRDefault="00082C35" w:rsidP="00082C35">
      <w:pPr>
        <w:rPr>
          <w:lang w:val="es-ES"/>
        </w:rPr>
      </w:pPr>
      <w:r w:rsidRPr="00082C35">
        <w:rPr>
          <w:lang w:val="es-ES"/>
        </w:rPr>
        <w:t>El punto 1.18 del orden del día de la CMR-23 i</w:t>
      </w:r>
      <w:r>
        <w:rPr>
          <w:lang w:val="es-ES"/>
        </w:rPr>
        <w:t>nvit</w:t>
      </w:r>
      <w:r w:rsidR="00BA2E6B">
        <w:rPr>
          <w:lang w:val="es-ES"/>
        </w:rPr>
        <w:t>a</w:t>
      </w:r>
      <w:r>
        <w:rPr>
          <w:lang w:val="es-ES"/>
        </w:rPr>
        <w:t xml:space="preserve"> a la CMR-23 a realizar estudios relativ</w:t>
      </w:r>
      <w:r w:rsidR="00BF1877">
        <w:rPr>
          <w:lang w:val="es-ES"/>
        </w:rPr>
        <w:t>o</w:t>
      </w:r>
      <w:r>
        <w:rPr>
          <w:lang w:val="es-ES"/>
        </w:rPr>
        <w:t xml:space="preserve">s a las necesidades del espectro y a las posibles nuevas atribuciones al servicio móvil por satélite en las bandas de frecuencias 1 695-1 710 MHz, 2 010-2 025 MHz, 3 300-3 315 MHz y 3 385-3 400 MHz para el desarrollo futuro de sistemas móviles por satélite de banda estrecha, garantizando al mismo tiempo la protección de los servicios primarios existentes en estas bandas de frecuencias y en bandas adyacentes, y sin imponer restricciones indebidas que afecten a su desarrollo ulterior. </w:t>
      </w:r>
    </w:p>
    <w:p w14:paraId="6029150B" w14:textId="3FD83D92" w:rsidR="00082C35" w:rsidRPr="009F5889" w:rsidRDefault="00082C35" w:rsidP="00082C35">
      <w:pPr>
        <w:spacing w:beforeLines="50" w:afterLines="50" w:after="120"/>
        <w:rPr>
          <w:lang w:val="es-ES" w:eastAsia="zh-CN"/>
        </w:rPr>
      </w:pPr>
      <w:r w:rsidRPr="009F5889">
        <w:rPr>
          <w:rFonts w:eastAsia="SimSun"/>
          <w:lang w:val="es-ES" w:eastAsia="zh-CN"/>
        </w:rPr>
        <w:t xml:space="preserve">De conformidad con la Resolución </w:t>
      </w:r>
      <w:r w:rsidRPr="009F5889">
        <w:rPr>
          <w:rFonts w:eastAsia="SimSun"/>
          <w:b/>
          <w:bCs/>
          <w:lang w:val="es-ES" w:eastAsia="zh-CN"/>
        </w:rPr>
        <w:t>248 (CMR-19)</w:t>
      </w:r>
      <w:r w:rsidRPr="009F5889">
        <w:rPr>
          <w:rFonts w:eastAsia="SimSun"/>
          <w:lang w:val="es-ES" w:eastAsia="zh-CN"/>
        </w:rPr>
        <w:t xml:space="preserve">, </w:t>
      </w:r>
      <w:r w:rsidR="009F5889" w:rsidRPr="009F5889">
        <w:rPr>
          <w:rFonts w:eastAsia="SimSun"/>
          <w:lang w:val="es-ES" w:eastAsia="zh-CN"/>
        </w:rPr>
        <w:t>para este punto 1.18 del orde</w:t>
      </w:r>
      <w:r w:rsidR="009F5889">
        <w:rPr>
          <w:rFonts w:eastAsia="SimSun"/>
          <w:lang w:val="es-ES" w:eastAsia="zh-CN"/>
        </w:rPr>
        <w:t>n del día se han considerado las siguientes bandas de frecuencias:</w:t>
      </w:r>
    </w:p>
    <w:p w14:paraId="23192F00" w14:textId="5C340697" w:rsidR="00082C35" w:rsidRPr="009F5889" w:rsidRDefault="00082C35" w:rsidP="00082C35">
      <w:pPr>
        <w:pStyle w:val="enumlev1"/>
        <w:rPr>
          <w:lang w:val="es-ES" w:eastAsia="zh-CN"/>
        </w:rPr>
      </w:pPr>
      <w:r w:rsidRPr="009F5889">
        <w:rPr>
          <w:lang w:val="es-ES" w:eastAsia="zh-CN"/>
        </w:rPr>
        <w:t>–</w:t>
      </w:r>
      <w:r w:rsidRPr="009F5889">
        <w:rPr>
          <w:lang w:val="es-ES" w:eastAsia="zh-CN"/>
        </w:rPr>
        <w:tab/>
        <w:t>1 695-1</w:t>
      </w:r>
      <w:bookmarkStart w:id="6" w:name="_Hlk149724277"/>
      <w:r w:rsidRPr="009F5889">
        <w:rPr>
          <w:lang w:val="es-ES" w:eastAsia="zh-CN"/>
        </w:rPr>
        <w:t> </w:t>
      </w:r>
      <w:bookmarkEnd w:id="6"/>
      <w:r w:rsidRPr="009F5889">
        <w:rPr>
          <w:lang w:val="es-ES" w:eastAsia="zh-CN"/>
        </w:rPr>
        <w:t xml:space="preserve">710 MHz </w:t>
      </w:r>
      <w:r w:rsidR="009F5889" w:rsidRPr="009F5889">
        <w:rPr>
          <w:lang w:val="es-ES" w:eastAsia="zh-CN"/>
        </w:rPr>
        <w:t>en la</w:t>
      </w:r>
      <w:r w:rsidRPr="009F5889">
        <w:rPr>
          <w:lang w:val="es-ES" w:eastAsia="zh-CN"/>
        </w:rPr>
        <w:t xml:space="preserve"> Regi</w:t>
      </w:r>
      <w:r w:rsidR="009F5889" w:rsidRPr="009F5889">
        <w:rPr>
          <w:lang w:val="es-ES" w:eastAsia="zh-CN"/>
        </w:rPr>
        <w:t>ó</w:t>
      </w:r>
      <w:r w:rsidRPr="009F5889">
        <w:rPr>
          <w:lang w:val="es-ES" w:eastAsia="zh-CN"/>
        </w:rPr>
        <w:t>n 2;</w:t>
      </w:r>
    </w:p>
    <w:p w14:paraId="182CCAF9" w14:textId="461A72AF" w:rsidR="00082C35" w:rsidRPr="009F5889" w:rsidRDefault="00082C35" w:rsidP="00082C35">
      <w:pPr>
        <w:pStyle w:val="enumlev1"/>
        <w:rPr>
          <w:lang w:val="es-ES" w:eastAsia="zh-CN"/>
        </w:rPr>
      </w:pPr>
      <w:r w:rsidRPr="009F5889">
        <w:rPr>
          <w:lang w:val="es-ES" w:eastAsia="zh-CN"/>
        </w:rPr>
        <w:t>–</w:t>
      </w:r>
      <w:r w:rsidRPr="009F5889">
        <w:rPr>
          <w:lang w:val="es-ES" w:eastAsia="zh-CN"/>
        </w:rPr>
        <w:tab/>
        <w:t xml:space="preserve">2 010- 2025 MHz </w:t>
      </w:r>
      <w:r w:rsidR="009F5889" w:rsidRPr="009F5889">
        <w:rPr>
          <w:lang w:val="es-ES" w:eastAsia="zh-CN"/>
        </w:rPr>
        <w:t xml:space="preserve">en la Región </w:t>
      </w:r>
      <w:r w:rsidRPr="009F5889">
        <w:rPr>
          <w:lang w:val="es-ES" w:eastAsia="zh-CN"/>
        </w:rPr>
        <w:t>1;</w:t>
      </w:r>
    </w:p>
    <w:p w14:paraId="0973803C" w14:textId="72F1488F" w:rsidR="00082C35" w:rsidRPr="00D37FB8" w:rsidRDefault="00082C35" w:rsidP="00082C35">
      <w:pPr>
        <w:pStyle w:val="enumlev1"/>
        <w:rPr>
          <w:lang w:val="es-ES" w:eastAsia="zh-CN"/>
        </w:rPr>
      </w:pPr>
      <w:r w:rsidRPr="00D37FB8">
        <w:rPr>
          <w:lang w:val="es-ES" w:eastAsia="zh-CN"/>
        </w:rPr>
        <w:t>–</w:t>
      </w:r>
      <w:r w:rsidRPr="00D37FB8">
        <w:rPr>
          <w:lang w:val="es-ES" w:eastAsia="zh-CN"/>
        </w:rPr>
        <w:tab/>
        <w:t xml:space="preserve">3 300-3 315 MHz </w:t>
      </w:r>
      <w:r w:rsidR="009F5889" w:rsidRPr="00D37FB8">
        <w:rPr>
          <w:lang w:val="es-ES" w:eastAsia="zh-CN"/>
        </w:rPr>
        <w:t>y</w:t>
      </w:r>
      <w:r w:rsidRPr="00D37FB8">
        <w:rPr>
          <w:lang w:val="es-ES" w:eastAsia="zh-CN"/>
        </w:rPr>
        <w:t xml:space="preserve"> 3385-3 400 MHz </w:t>
      </w:r>
      <w:r w:rsidR="009F5889" w:rsidRPr="00D37FB8">
        <w:rPr>
          <w:lang w:val="es-ES" w:eastAsia="zh-CN"/>
        </w:rPr>
        <w:t>en la Región</w:t>
      </w:r>
      <w:r w:rsidRPr="00D37FB8">
        <w:rPr>
          <w:lang w:val="es-ES" w:eastAsia="zh-CN"/>
        </w:rPr>
        <w:t xml:space="preserve"> 2;</w:t>
      </w:r>
    </w:p>
    <w:p w14:paraId="2F0B461B" w14:textId="17A89684" w:rsidR="00082C35" w:rsidRPr="00D37FB8" w:rsidRDefault="00D37FB8" w:rsidP="00082C35">
      <w:pPr>
        <w:rPr>
          <w:iCs/>
          <w:lang w:val="es-ES"/>
        </w:rPr>
      </w:pPr>
      <w:r w:rsidRPr="00D37FB8">
        <w:rPr>
          <w:iCs/>
          <w:lang w:val="es-ES" w:eastAsia="zh-CN"/>
        </w:rPr>
        <w:t xml:space="preserve">Sin embargo, dada la ambigüedad del </w:t>
      </w:r>
      <w:r w:rsidRPr="00D37FB8">
        <w:rPr>
          <w:i/>
          <w:lang w:val="es-ES" w:eastAsia="zh-CN"/>
        </w:rPr>
        <w:t xml:space="preserve">reconociendo c) </w:t>
      </w:r>
      <w:r w:rsidRPr="00D37FB8">
        <w:rPr>
          <w:iCs/>
          <w:lang w:val="es-ES" w:eastAsia="zh-CN"/>
        </w:rPr>
        <w:t>de la Resolució</w:t>
      </w:r>
      <w:r>
        <w:rPr>
          <w:iCs/>
          <w:lang w:val="es-ES" w:eastAsia="zh-CN"/>
        </w:rPr>
        <w:t xml:space="preserve">n </w:t>
      </w:r>
      <w:r>
        <w:rPr>
          <w:b/>
          <w:bCs/>
          <w:iCs/>
          <w:lang w:val="es-ES" w:eastAsia="zh-CN"/>
        </w:rPr>
        <w:t>248 (CMR-19)</w:t>
      </w:r>
      <w:r>
        <w:rPr>
          <w:iCs/>
          <w:lang w:val="es-ES" w:eastAsia="zh-CN"/>
        </w:rPr>
        <w:t xml:space="preserve">, las características del SMS para los estudios de compartición y compatibilidad no se han redactado. </w:t>
      </w:r>
      <w:r w:rsidRPr="00D37FB8">
        <w:rPr>
          <w:iCs/>
          <w:lang w:val="es-ES" w:eastAsia="zh-CN"/>
        </w:rPr>
        <w:t>Por consiguiente, los estudios de compartición y compatibilidad con l</w:t>
      </w:r>
      <w:r>
        <w:rPr>
          <w:iCs/>
          <w:lang w:val="es-ES" w:eastAsia="zh-CN"/>
        </w:rPr>
        <w:t xml:space="preserve">os servicios primarios existentes no se pudieron llevar a cabo, lo que hace imposible determinar si las atribuciones al SMS son apropiadas o no. </w:t>
      </w:r>
    </w:p>
    <w:p w14:paraId="5E8D3826" w14:textId="08CA3B99" w:rsidR="00082C35" w:rsidRPr="00D37FB8" w:rsidRDefault="00BF1877" w:rsidP="00082C35">
      <w:pPr>
        <w:rPr>
          <w:lang w:val="es-ES" w:eastAsia="zh-CN"/>
        </w:rPr>
      </w:pPr>
      <w:r>
        <w:rPr>
          <w:rFonts w:eastAsia="SimSun"/>
          <w:lang w:val="es-ES" w:eastAsia="zh-CN"/>
        </w:rPr>
        <w:t xml:space="preserve">Después </w:t>
      </w:r>
      <w:r w:rsidR="00D37FB8" w:rsidRPr="00D37FB8">
        <w:rPr>
          <w:lang w:val="es-ES" w:eastAsia="zh-CN"/>
        </w:rPr>
        <w:t>de los debates en el GT4C y la RPC23-2, se redactaron tres métodos para cumplir</w:t>
      </w:r>
      <w:r>
        <w:rPr>
          <w:lang w:val="es-ES" w:eastAsia="zh-CN"/>
        </w:rPr>
        <w:t xml:space="preserve"> con</w:t>
      </w:r>
      <w:r w:rsidR="00D37FB8" w:rsidRPr="00D37FB8">
        <w:rPr>
          <w:lang w:val="es-ES" w:eastAsia="zh-CN"/>
        </w:rPr>
        <w:t xml:space="preserve"> este punto del orden</w:t>
      </w:r>
      <w:r w:rsidR="00D37FB8">
        <w:rPr>
          <w:lang w:val="es-ES" w:eastAsia="zh-CN"/>
        </w:rPr>
        <w:t xml:space="preserve"> del </w:t>
      </w:r>
      <w:proofErr w:type="gramStart"/>
      <w:r w:rsidR="00D37FB8">
        <w:rPr>
          <w:lang w:val="es-ES" w:eastAsia="zh-CN"/>
        </w:rPr>
        <w:t>día</w:t>
      </w:r>
      <w:proofErr w:type="gramEnd"/>
      <w:r w:rsidR="00D37FB8">
        <w:rPr>
          <w:lang w:val="es-ES" w:eastAsia="zh-CN"/>
        </w:rPr>
        <w:t xml:space="preserve"> pero no se ha llegado a un consenso sobre ningún método.</w:t>
      </w:r>
    </w:p>
    <w:p w14:paraId="6AAFE870" w14:textId="595A7DB6" w:rsidR="00082C35" w:rsidRPr="00D37FB8" w:rsidRDefault="00082C35" w:rsidP="00082C35">
      <w:pPr>
        <w:pStyle w:val="enumlev1"/>
        <w:rPr>
          <w:lang w:val="es-ES" w:eastAsia="zh-CN"/>
        </w:rPr>
      </w:pPr>
      <w:r w:rsidRPr="00D37FB8">
        <w:rPr>
          <w:lang w:val="es-ES" w:eastAsia="zh-CN"/>
        </w:rPr>
        <w:t>–</w:t>
      </w:r>
      <w:r w:rsidRPr="00D37FB8">
        <w:rPr>
          <w:lang w:val="es-ES" w:eastAsia="zh-CN"/>
        </w:rPr>
        <w:tab/>
      </w:r>
      <w:r w:rsidRPr="00D37FB8">
        <w:rPr>
          <w:b/>
          <w:bCs/>
          <w:spacing w:val="-2"/>
          <w:lang w:val="es-ES"/>
        </w:rPr>
        <w:t>M</w:t>
      </w:r>
      <w:r w:rsidR="00D37FB8" w:rsidRPr="00D37FB8">
        <w:rPr>
          <w:b/>
          <w:bCs/>
          <w:spacing w:val="-2"/>
          <w:lang w:val="es-ES"/>
        </w:rPr>
        <w:t>étodo A</w:t>
      </w:r>
      <w:r w:rsidRPr="00D37FB8">
        <w:rPr>
          <w:b/>
          <w:bCs/>
          <w:spacing w:val="-2"/>
          <w:lang w:val="es-ES"/>
        </w:rPr>
        <w:t xml:space="preserve">: </w:t>
      </w:r>
      <w:r w:rsidR="00D37FB8" w:rsidRPr="00D37FB8">
        <w:rPr>
          <w:spacing w:val="-2"/>
          <w:lang w:val="es-ES"/>
        </w:rPr>
        <w:t>No realizar cambios en el Reglamento de Radiocomunicaciones y s</w:t>
      </w:r>
      <w:r w:rsidR="00D37FB8">
        <w:rPr>
          <w:spacing w:val="-2"/>
          <w:lang w:val="es-ES"/>
        </w:rPr>
        <w:t xml:space="preserve">uprimir la Resolución </w:t>
      </w:r>
      <w:r w:rsidR="00D37FB8">
        <w:rPr>
          <w:b/>
          <w:bCs/>
          <w:spacing w:val="-2"/>
          <w:lang w:val="es-ES"/>
        </w:rPr>
        <w:t>248 (CMR-19)</w:t>
      </w:r>
      <w:r w:rsidR="00D37FB8">
        <w:rPr>
          <w:spacing w:val="-2"/>
          <w:lang w:val="es-ES"/>
        </w:rPr>
        <w:t xml:space="preserve">. </w:t>
      </w:r>
    </w:p>
    <w:p w14:paraId="7974FA55" w14:textId="4A7499AC" w:rsidR="00082C35" w:rsidRPr="00255022" w:rsidRDefault="00082C35" w:rsidP="00082C35">
      <w:pPr>
        <w:pStyle w:val="enumlev1"/>
        <w:rPr>
          <w:lang w:val="es-ES" w:eastAsia="zh-CN"/>
        </w:rPr>
      </w:pPr>
      <w:r w:rsidRPr="00255022">
        <w:rPr>
          <w:lang w:val="es-ES" w:eastAsia="zh-CN"/>
        </w:rPr>
        <w:lastRenderedPageBreak/>
        <w:t>–</w:t>
      </w:r>
      <w:r w:rsidRPr="00255022">
        <w:rPr>
          <w:lang w:val="es-ES" w:eastAsia="zh-CN"/>
        </w:rPr>
        <w:tab/>
      </w:r>
      <w:r w:rsidRPr="00255022">
        <w:rPr>
          <w:b/>
          <w:bCs/>
          <w:spacing w:val="-2"/>
          <w:lang w:val="es-ES"/>
        </w:rPr>
        <w:t>M</w:t>
      </w:r>
      <w:r w:rsidR="00D37FB8" w:rsidRPr="00255022">
        <w:rPr>
          <w:b/>
          <w:bCs/>
          <w:spacing w:val="-2"/>
          <w:lang w:val="es-ES"/>
        </w:rPr>
        <w:t>étodo</w:t>
      </w:r>
      <w:r w:rsidRPr="00255022">
        <w:rPr>
          <w:b/>
          <w:bCs/>
          <w:spacing w:val="-2"/>
          <w:lang w:val="es-ES"/>
        </w:rPr>
        <w:t xml:space="preserve"> B: </w:t>
      </w:r>
      <w:r w:rsidR="00255022" w:rsidRPr="00255022">
        <w:rPr>
          <w:lang w:val="es-ES"/>
        </w:rPr>
        <w:t>No modificar ninguna disposición del Reglamento de Radiocomunicaciones ni sus A</w:t>
      </w:r>
      <w:r w:rsidR="00255022">
        <w:rPr>
          <w:lang w:val="es-ES"/>
        </w:rPr>
        <w:t xml:space="preserve">péndices, salvo la revisión de la Resolución </w:t>
      </w:r>
      <w:r w:rsidR="00255022">
        <w:rPr>
          <w:b/>
          <w:bCs/>
          <w:lang w:val="es-ES"/>
        </w:rPr>
        <w:t>248 (CMR-19)</w:t>
      </w:r>
      <w:r w:rsidR="00255022">
        <w:rPr>
          <w:lang w:val="es-ES"/>
        </w:rPr>
        <w:t xml:space="preserve"> a fin de abordar las dificultades y las incoherencias de la Resolución.  </w:t>
      </w:r>
    </w:p>
    <w:p w14:paraId="17B4936E" w14:textId="0581286C" w:rsidR="00082C35" w:rsidRPr="00255022" w:rsidRDefault="00082C35" w:rsidP="00082C35">
      <w:pPr>
        <w:pStyle w:val="enumlev1"/>
        <w:rPr>
          <w:b/>
          <w:bCs/>
          <w:lang w:val="es-ES" w:eastAsia="zh-CN"/>
        </w:rPr>
      </w:pPr>
      <w:r w:rsidRPr="00255022">
        <w:rPr>
          <w:lang w:val="es-ES" w:eastAsia="zh-CN"/>
        </w:rPr>
        <w:t>–</w:t>
      </w:r>
      <w:r w:rsidRPr="00255022">
        <w:rPr>
          <w:lang w:val="es-ES" w:eastAsia="zh-CN"/>
        </w:rPr>
        <w:tab/>
      </w:r>
      <w:r w:rsidRPr="00255022">
        <w:rPr>
          <w:b/>
          <w:bCs/>
          <w:spacing w:val="-2"/>
          <w:lang w:val="es-ES"/>
        </w:rPr>
        <w:t>M</w:t>
      </w:r>
      <w:r w:rsidR="00255022" w:rsidRPr="00255022">
        <w:rPr>
          <w:b/>
          <w:bCs/>
          <w:spacing w:val="-2"/>
          <w:lang w:val="es-ES"/>
        </w:rPr>
        <w:t>étodo C</w:t>
      </w:r>
      <w:r w:rsidRPr="00255022">
        <w:rPr>
          <w:b/>
          <w:bCs/>
          <w:spacing w:val="-2"/>
          <w:lang w:val="es-ES"/>
        </w:rPr>
        <w:t xml:space="preserve">: </w:t>
      </w:r>
      <w:r w:rsidR="00255022" w:rsidRPr="00255022">
        <w:rPr>
          <w:spacing w:val="-2"/>
          <w:lang w:val="es-ES"/>
        </w:rPr>
        <w:t>Atribución primaria al servicio móvil por satélite en la banda de frecuencias 2</w:t>
      </w:r>
      <w:r w:rsidR="00147F85">
        <w:rPr>
          <w:spacing w:val="-2"/>
          <w:lang w:val="es-ES"/>
        </w:rPr>
        <w:t> </w:t>
      </w:r>
      <w:r w:rsidR="00255022" w:rsidRPr="00255022">
        <w:rPr>
          <w:spacing w:val="-2"/>
          <w:lang w:val="es-ES"/>
        </w:rPr>
        <w:t>010-2</w:t>
      </w:r>
      <w:r w:rsidR="00147F85">
        <w:rPr>
          <w:spacing w:val="-2"/>
          <w:lang w:val="es-ES"/>
        </w:rPr>
        <w:t> </w:t>
      </w:r>
      <w:r w:rsidR="00255022" w:rsidRPr="00255022">
        <w:rPr>
          <w:spacing w:val="-2"/>
          <w:lang w:val="es-ES"/>
        </w:rPr>
        <w:t>025 MHz (Tierra-espacio) en la Región 1</w:t>
      </w:r>
      <w:r w:rsidR="00255022">
        <w:rPr>
          <w:spacing w:val="-2"/>
          <w:lang w:val="es-ES"/>
        </w:rPr>
        <w:t>.</w:t>
      </w:r>
    </w:p>
    <w:p w14:paraId="0588A2E1" w14:textId="77777777" w:rsidR="00082C35" w:rsidRPr="003A33E7" w:rsidRDefault="00082C35" w:rsidP="00147F85">
      <w:pPr>
        <w:pStyle w:val="Headingb"/>
        <w:rPr>
          <w:lang w:val="es-ES" w:eastAsia="zh-CN"/>
        </w:rPr>
      </w:pPr>
      <w:r w:rsidRPr="003A33E7">
        <w:rPr>
          <w:lang w:val="es-ES"/>
        </w:rPr>
        <w:t>Proposal</w:t>
      </w:r>
    </w:p>
    <w:p w14:paraId="65DD42E4" w14:textId="5845C8FA" w:rsidR="00082C35" w:rsidRPr="00255022" w:rsidRDefault="00255022" w:rsidP="00082C35">
      <w:pPr>
        <w:rPr>
          <w:rFonts w:eastAsia="SimSun"/>
          <w:iCs/>
          <w:lang w:val="es-ES" w:eastAsia="zh-CN"/>
        </w:rPr>
      </w:pPr>
      <w:r w:rsidRPr="00255022">
        <w:rPr>
          <w:iCs/>
          <w:lang w:val="es-ES" w:eastAsia="zh-CN"/>
        </w:rPr>
        <w:t>El UIT-R no pudo completa</w:t>
      </w:r>
      <w:r>
        <w:rPr>
          <w:iCs/>
          <w:lang w:val="es-ES" w:eastAsia="zh-CN"/>
        </w:rPr>
        <w:t>r el estudio de los parámetros del sistema de</w:t>
      </w:r>
      <w:r w:rsidR="00BF1877">
        <w:rPr>
          <w:iCs/>
          <w:lang w:val="es-ES" w:eastAsia="zh-CN"/>
        </w:rPr>
        <w:t>l</w:t>
      </w:r>
      <w:r>
        <w:rPr>
          <w:iCs/>
          <w:lang w:val="es-ES" w:eastAsia="zh-CN"/>
        </w:rPr>
        <w:t xml:space="preserve"> SMS durante el periodo de estudios de la CMR-23 debido a la ambigüedad del </w:t>
      </w:r>
      <w:r>
        <w:rPr>
          <w:i/>
          <w:lang w:val="es-ES" w:eastAsia="zh-CN"/>
        </w:rPr>
        <w:t>reconociendo c)</w:t>
      </w:r>
      <w:r>
        <w:rPr>
          <w:iCs/>
          <w:lang w:val="es-ES" w:eastAsia="zh-CN"/>
        </w:rPr>
        <w:t xml:space="preserve"> en la Resolución </w:t>
      </w:r>
      <w:r>
        <w:rPr>
          <w:b/>
          <w:bCs/>
          <w:iCs/>
          <w:lang w:val="es-ES" w:eastAsia="zh-CN"/>
        </w:rPr>
        <w:t>248 (CMR</w:t>
      </w:r>
      <w:r w:rsidR="00147F85">
        <w:rPr>
          <w:b/>
          <w:bCs/>
          <w:iCs/>
          <w:lang w:val="es-ES" w:eastAsia="zh-CN"/>
        </w:rPr>
        <w:noBreakHyphen/>
      </w:r>
      <w:r>
        <w:rPr>
          <w:b/>
          <w:bCs/>
          <w:iCs/>
          <w:lang w:val="es-ES" w:eastAsia="zh-CN"/>
        </w:rPr>
        <w:t>19)</w:t>
      </w:r>
      <w:r>
        <w:rPr>
          <w:iCs/>
          <w:lang w:val="es-ES" w:eastAsia="zh-CN"/>
        </w:rPr>
        <w:t xml:space="preserve">. Por consiguiente, los estudios de compartición y compatibilidad con los servicios primarios existentes no se pudieron llevar a cabo. </w:t>
      </w:r>
      <w:r w:rsidR="00DA04F1">
        <w:rPr>
          <w:iCs/>
          <w:lang w:val="es-ES" w:eastAsia="zh-CN"/>
        </w:rPr>
        <w:t>Debido a la falta de parámetros del SMS, e</w:t>
      </w:r>
      <w:r>
        <w:rPr>
          <w:iCs/>
          <w:lang w:val="es-ES" w:eastAsia="zh-CN"/>
        </w:rPr>
        <w:t>l UIT</w:t>
      </w:r>
      <w:r w:rsidR="00147F85">
        <w:rPr>
          <w:iCs/>
          <w:lang w:val="es-ES" w:eastAsia="zh-CN"/>
        </w:rPr>
        <w:noBreakHyphen/>
      </w:r>
      <w:r>
        <w:rPr>
          <w:iCs/>
          <w:lang w:val="es-ES" w:eastAsia="zh-CN"/>
        </w:rPr>
        <w:t>R no pu</w:t>
      </w:r>
      <w:r w:rsidR="00BF1877">
        <w:rPr>
          <w:iCs/>
          <w:lang w:val="es-ES" w:eastAsia="zh-CN"/>
        </w:rPr>
        <w:t>ede</w:t>
      </w:r>
      <w:r>
        <w:rPr>
          <w:iCs/>
          <w:lang w:val="es-ES" w:eastAsia="zh-CN"/>
        </w:rPr>
        <w:t xml:space="preserve"> completar los estudios sobre compartición y compatibilidad con los servicios primarios existentes</w:t>
      </w:r>
      <w:r w:rsidR="00BF1877">
        <w:rPr>
          <w:iCs/>
          <w:lang w:val="es-ES" w:eastAsia="zh-CN"/>
        </w:rPr>
        <w:t>,</w:t>
      </w:r>
      <w:r w:rsidR="00DA04F1">
        <w:rPr>
          <w:iCs/>
          <w:lang w:val="es-ES" w:eastAsia="zh-CN"/>
        </w:rPr>
        <w:t xml:space="preserve"> lo</w:t>
      </w:r>
      <w:r w:rsidR="00BF1877">
        <w:rPr>
          <w:iCs/>
          <w:lang w:val="es-ES" w:eastAsia="zh-CN"/>
        </w:rPr>
        <w:t xml:space="preserve"> que impide</w:t>
      </w:r>
      <w:r>
        <w:rPr>
          <w:iCs/>
          <w:lang w:val="es-ES" w:eastAsia="zh-CN"/>
        </w:rPr>
        <w:t xml:space="preserve"> determinar las medidas reglamentarias y técnicas para la protección de los servicios existentes, no hay base para una nueva atribución de frecuencia</w:t>
      </w:r>
      <w:r w:rsidR="00BA2E6B">
        <w:rPr>
          <w:iCs/>
          <w:lang w:val="es-ES" w:eastAsia="zh-CN"/>
        </w:rPr>
        <w:t>s</w:t>
      </w:r>
      <w:r>
        <w:rPr>
          <w:iCs/>
          <w:lang w:val="es-ES" w:eastAsia="zh-CN"/>
        </w:rPr>
        <w:t xml:space="preserve"> </w:t>
      </w:r>
      <w:r w:rsidR="00BA2E6B">
        <w:rPr>
          <w:iCs/>
          <w:lang w:val="es-ES" w:eastAsia="zh-CN"/>
        </w:rPr>
        <w:t xml:space="preserve">al servicio móvil por satélite bajo las circunstancias actuales. </w:t>
      </w:r>
    </w:p>
    <w:p w14:paraId="745C04A9" w14:textId="3E13F599" w:rsidR="00082C35" w:rsidRPr="00301444" w:rsidRDefault="00BA2E6B" w:rsidP="00082C35">
      <w:pPr>
        <w:spacing w:beforeLines="50" w:afterLines="50" w:after="120"/>
        <w:jc w:val="both"/>
        <w:rPr>
          <w:rFonts w:eastAsia="SimSun"/>
          <w:lang w:eastAsia="zh-CN"/>
        </w:rPr>
      </w:pPr>
      <w:r>
        <w:rPr>
          <w:rFonts w:eastAsia="SimSun"/>
          <w:lang w:eastAsia="zh-CN"/>
        </w:rPr>
        <w:t xml:space="preserve">China apoya el Método A. </w:t>
      </w:r>
    </w:p>
    <w:p w14:paraId="3A02A65C" w14:textId="77777777" w:rsidR="00363A65" w:rsidRDefault="00363A65" w:rsidP="002C1A52"/>
    <w:p w14:paraId="12B4E354"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081C111" w14:textId="77777777" w:rsidR="002A731B" w:rsidRDefault="00DF1D8D">
      <w:pPr>
        <w:pStyle w:val="Proposal"/>
      </w:pPr>
      <w:r>
        <w:rPr>
          <w:u w:val="single"/>
        </w:rPr>
        <w:lastRenderedPageBreak/>
        <w:t>NOC</w:t>
      </w:r>
      <w:r>
        <w:tab/>
        <w:t>CHN/111A18/1</w:t>
      </w:r>
    </w:p>
    <w:p w14:paraId="4CD881D1" w14:textId="77777777" w:rsidR="005039E9" w:rsidRPr="00147F85" w:rsidRDefault="00DF1D8D" w:rsidP="006C3DD2">
      <w:pPr>
        <w:pStyle w:val="Volumetitle"/>
        <w:rPr>
          <w:b/>
          <w:bCs/>
        </w:rPr>
      </w:pPr>
      <w:bookmarkStart w:id="7" w:name="_Toc48141288"/>
      <w:r w:rsidRPr="00147F85">
        <w:rPr>
          <w:b/>
          <w:bCs/>
        </w:rPr>
        <w:t>ARTÍCULOS</w:t>
      </w:r>
      <w:bookmarkEnd w:id="7"/>
    </w:p>
    <w:p w14:paraId="28F90432" w14:textId="6B042947" w:rsidR="002A731B" w:rsidRPr="00BA2E6B" w:rsidRDefault="00DF1D8D">
      <w:pPr>
        <w:pStyle w:val="Reasons"/>
        <w:rPr>
          <w:lang w:val="es-ES"/>
        </w:rPr>
      </w:pPr>
      <w:r w:rsidRPr="00BA2E6B">
        <w:rPr>
          <w:b/>
          <w:lang w:val="es-ES"/>
        </w:rPr>
        <w:t>Motivos:</w:t>
      </w:r>
      <w:r w:rsidRPr="00BA2E6B">
        <w:rPr>
          <w:lang w:val="es-ES"/>
        </w:rPr>
        <w:tab/>
      </w:r>
      <w:r w:rsidR="00BA2E6B" w:rsidRPr="00BA2E6B">
        <w:rPr>
          <w:iCs/>
          <w:lang w:val="es-ES" w:eastAsia="zh-CN"/>
        </w:rPr>
        <w:t>No hay base para una nueva atribución de frecuencias al servicio móvil por satélite debido a la falta de los estudios de compartición y compatibilidad.</w:t>
      </w:r>
    </w:p>
    <w:p w14:paraId="7422C0C3" w14:textId="77777777" w:rsidR="002A731B" w:rsidRDefault="00DF1D8D">
      <w:pPr>
        <w:pStyle w:val="Proposal"/>
      </w:pPr>
      <w:r>
        <w:rPr>
          <w:u w:val="single"/>
        </w:rPr>
        <w:t>NOC</w:t>
      </w:r>
      <w:r>
        <w:tab/>
        <w:t>CHN/111A18/2</w:t>
      </w:r>
    </w:p>
    <w:p w14:paraId="7449E76E" w14:textId="77777777" w:rsidR="005039E9" w:rsidRPr="00147F85" w:rsidRDefault="00DF1D8D" w:rsidP="003271E3">
      <w:pPr>
        <w:pStyle w:val="Volumetitle"/>
        <w:rPr>
          <w:b/>
          <w:bCs/>
        </w:rPr>
      </w:pPr>
      <w:bookmarkStart w:id="8" w:name="_Toc327956568"/>
      <w:r w:rsidRPr="00147F85">
        <w:rPr>
          <w:b/>
          <w:bCs/>
        </w:rPr>
        <w:t>APÉNDICES</w:t>
      </w:r>
      <w:bookmarkEnd w:id="8"/>
    </w:p>
    <w:p w14:paraId="52406B0F" w14:textId="44A41FD1" w:rsidR="002A731B" w:rsidRPr="00BA2E6B" w:rsidRDefault="00DF1D8D">
      <w:pPr>
        <w:pStyle w:val="Reasons"/>
        <w:rPr>
          <w:lang w:val="es-ES"/>
        </w:rPr>
      </w:pPr>
      <w:r w:rsidRPr="00BA2E6B">
        <w:rPr>
          <w:b/>
          <w:lang w:val="es-ES"/>
        </w:rPr>
        <w:t>Motivos:</w:t>
      </w:r>
      <w:r w:rsidRPr="00BA2E6B">
        <w:rPr>
          <w:lang w:val="es-ES"/>
        </w:rPr>
        <w:tab/>
      </w:r>
      <w:r w:rsidR="00BA2E6B" w:rsidRPr="00BA2E6B">
        <w:rPr>
          <w:iCs/>
          <w:lang w:val="es-ES" w:eastAsia="zh-CN"/>
        </w:rPr>
        <w:t>No hay base para una nueva atribución de frecuencias al servicio móvil por satélite debido a la falta de los estudios de compartición y compatibilidad.</w:t>
      </w:r>
    </w:p>
    <w:p w14:paraId="0C580148" w14:textId="77777777" w:rsidR="002A731B" w:rsidRDefault="00DF1D8D">
      <w:pPr>
        <w:pStyle w:val="Proposal"/>
      </w:pPr>
      <w:r>
        <w:t>SUP</w:t>
      </w:r>
      <w:r>
        <w:tab/>
        <w:t>CHN/111A18/3</w:t>
      </w:r>
    </w:p>
    <w:p w14:paraId="2735F10A" w14:textId="77777777" w:rsidR="005039E9" w:rsidRPr="00ED1619" w:rsidRDefault="00DF1D8D" w:rsidP="00983DEC">
      <w:pPr>
        <w:pStyle w:val="ResNo"/>
      </w:pPr>
      <w:bookmarkStart w:id="9" w:name="_Toc36190249"/>
      <w:bookmarkStart w:id="10" w:name="_Toc39734929"/>
      <w:r w:rsidRPr="00ED1619">
        <w:rPr>
          <w:caps w:val="0"/>
        </w:rPr>
        <w:t xml:space="preserve">RESOLUCIÓN </w:t>
      </w:r>
      <w:r w:rsidRPr="003803B2">
        <w:rPr>
          <w:rStyle w:val="href"/>
          <w:caps w:val="0"/>
        </w:rPr>
        <w:t>248</w:t>
      </w:r>
      <w:r w:rsidRPr="00ED1619">
        <w:rPr>
          <w:caps w:val="0"/>
        </w:rPr>
        <w:t xml:space="preserve"> (CMR-19)</w:t>
      </w:r>
      <w:bookmarkEnd w:id="9"/>
      <w:bookmarkEnd w:id="10"/>
    </w:p>
    <w:p w14:paraId="5B6CC3DB" w14:textId="77777777" w:rsidR="005039E9" w:rsidRPr="00ED1619" w:rsidRDefault="00DF1D8D" w:rsidP="00265C64">
      <w:pPr>
        <w:pStyle w:val="Restitle"/>
      </w:pPr>
      <w:bookmarkStart w:id="11" w:name="_Toc36190250"/>
      <w:bookmarkStart w:id="12" w:name="_Toc39734930"/>
      <w:r w:rsidRPr="00ED1619">
        <w:t>Estudios sobre las necesidades de espectro y posibles nuevas atribuciones</w:t>
      </w:r>
      <w:r>
        <w:br/>
      </w:r>
      <w:r w:rsidRPr="00ED1619">
        <w:t>al servicio móvil por satélite en las bandas de frecuencias</w:t>
      </w:r>
      <w:r>
        <w:rPr>
          <w:szCs w:val="24"/>
        </w:rPr>
        <w:br/>
      </w:r>
      <w:r w:rsidRPr="00ED1619">
        <w:rPr>
          <w:szCs w:val="24"/>
        </w:rPr>
        <w:t>1 695</w:t>
      </w:r>
      <w:r w:rsidRPr="00ED1619">
        <w:rPr>
          <w:szCs w:val="24"/>
        </w:rPr>
        <w:noBreakHyphen/>
        <w:t>1 710 MHz, 2 010</w:t>
      </w:r>
      <w:r w:rsidRPr="00ED1619">
        <w:rPr>
          <w:szCs w:val="24"/>
        </w:rPr>
        <w:noBreakHyphen/>
        <w:t>2 025 MHz, 3 300</w:t>
      </w:r>
      <w:r w:rsidRPr="00ED1619">
        <w:rPr>
          <w:szCs w:val="24"/>
        </w:rPr>
        <w:noBreakHyphen/>
        <w:t>3 315 MHz</w:t>
      </w:r>
      <w:r>
        <w:rPr>
          <w:szCs w:val="24"/>
        </w:rPr>
        <w:t xml:space="preserve"> </w:t>
      </w:r>
      <w:r w:rsidRPr="00ED1619">
        <w:rPr>
          <w:szCs w:val="24"/>
        </w:rPr>
        <w:t>y</w:t>
      </w:r>
      <w:r>
        <w:rPr>
          <w:szCs w:val="24"/>
        </w:rPr>
        <w:br/>
      </w:r>
      <w:r w:rsidRPr="00ED1619">
        <w:rPr>
          <w:szCs w:val="24"/>
        </w:rPr>
        <w:t>3 385</w:t>
      </w:r>
      <w:r w:rsidRPr="00ED1619">
        <w:rPr>
          <w:szCs w:val="24"/>
        </w:rPr>
        <w:noBreakHyphen/>
        <w:t>3 400 MHz</w:t>
      </w:r>
      <w:r w:rsidRPr="00ED1619">
        <w:t xml:space="preserve"> para el desarrollo futuro</w:t>
      </w:r>
      <w:r>
        <w:t xml:space="preserve"> </w:t>
      </w:r>
      <w:r w:rsidRPr="00ED1619">
        <w:t>de</w:t>
      </w:r>
      <w:r>
        <w:t xml:space="preserve"> </w:t>
      </w:r>
      <w:r w:rsidRPr="00ED1619">
        <w:t>sistemas</w:t>
      </w:r>
      <w:r>
        <w:br/>
      </w:r>
      <w:r w:rsidRPr="00ED1619">
        <w:t>móviles por satélite de banda estrecha</w:t>
      </w:r>
      <w:bookmarkEnd w:id="11"/>
      <w:bookmarkEnd w:id="12"/>
    </w:p>
    <w:p w14:paraId="034B9434" w14:textId="1E8E331E" w:rsidR="00147F85" w:rsidRDefault="00DF1D8D" w:rsidP="00411C49">
      <w:pPr>
        <w:pStyle w:val="Reasons"/>
        <w:rPr>
          <w:iCs/>
          <w:lang w:val="es-ES" w:eastAsia="zh-CN"/>
        </w:rPr>
      </w:pPr>
      <w:r w:rsidRPr="00BA2E6B">
        <w:rPr>
          <w:b/>
          <w:lang w:val="es-ES"/>
        </w:rPr>
        <w:t>Motivos:</w:t>
      </w:r>
      <w:r w:rsidRPr="00BA2E6B">
        <w:rPr>
          <w:lang w:val="es-ES"/>
        </w:rPr>
        <w:tab/>
      </w:r>
      <w:r w:rsidR="00BA2E6B" w:rsidRPr="00BA2E6B">
        <w:rPr>
          <w:iCs/>
          <w:lang w:val="es-ES" w:eastAsia="zh-CN"/>
        </w:rPr>
        <w:t>No hay base para una nueva atribución de frecuencias al servicio móvil por satélite debido a la falta de los estudios de compartición y compatibilidad.</w:t>
      </w:r>
    </w:p>
    <w:p w14:paraId="504BB840" w14:textId="77777777" w:rsidR="00A216C8" w:rsidRDefault="00A216C8" w:rsidP="00A216C8"/>
    <w:p w14:paraId="38D8AC91" w14:textId="03E84B7E" w:rsidR="00BA2E6B" w:rsidRPr="00A216C8" w:rsidRDefault="00147F85" w:rsidP="00A216C8">
      <w:pPr>
        <w:jc w:val="center"/>
      </w:pPr>
      <w:r>
        <w:t>______________</w:t>
      </w:r>
    </w:p>
    <w:sectPr w:rsidR="00BA2E6B" w:rsidRPr="00A216C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7957" w14:textId="77777777" w:rsidR="00666B37" w:rsidRDefault="00666B37">
      <w:r>
        <w:separator/>
      </w:r>
    </w:p>
  </w:endnote>
  <w:endnote w:type="continuationSeparator" w:id="0">
    <w:p w14:paraId="0AC7147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7E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FEA57" w14:textId="22D7122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66952">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0AB2" w14:textId="302463B9" w:rsidR="0077084A" w:rsidRPr="009C13E5" w:rsidRDefault="009C13E5" w:rsidP="009C13E5">
    <w:pPr>
      <w:pStyle w:val="Footer"/>
      <w:rPr>
        <w:lang w:val="en-US"/>
      </w:rPr>
    </w:pPr>
    <w:r>
      <w:fldChar w:fldCharType="begin"/>
    </w:r>
    <w:r>
      <w:instrText xml:space="preserve"> FILENAME \p  \* MERGEFORMAT </w:instrText>
    </w:r>
    <w:r>
      <w:fldChar w:fldCharType="separate"/>
    </w:r>
    <w:r>
      <w:t>P:\ESP\ITU-R\CONF-R\CMR23\100\111ADD18S.docx</w:t>
    </w:r>
    <w:r>
      <w:fldChar w:fldCharType="end"/>
    </w:r>
    <w:r>
      <w:t xml:space="preserve"> </w:t>
    </w:r>
    <w:r>
      <w:rPr>
        <w:lang w:val="en-US"/>
      </w:rPr>
      <w:t>(530267)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BDFF" w14:textId="5C3F48FA" w:rsidR="0077084A" w:rsidRPr="00DF1D8D" w:rsidRDefault="009C13E5" w:rsidP="009C13E5">
    <w:pPr>
      <w:pStyle w:val="Footer"/>
      <w:rPr>
        <w:lang w:val="en-US"/>
      </w:rPr>
    </w:pPr>
    <w:fldSimple w:instr=" FILENAME \p  \* MERGEFORMAT ">
      <w:r>
        <w:t>P:\ESP\ITU-R\CONF-R\CMR23\100\111ADD18S.docx</w:t>
      </w:r>
    </w:fldSimple>
    <w:r>
      <w:t xml:space="preserve"> </w:t>
    </w:r>
    <w:r w:rsidR="00DF1D8D">
      <w:rPr>
        <w:lang w:val="en-US"/>
      </w:rPr>
      <w:t>(530267)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483B" w14:textId="77777777" w:rsidR="00666B37" w:rsidRDefault="00666B37">
      <w:r>
        <w:rPr>
          <w:b/>
        </w:rPr>
        <w:t>_______________</w:t>
      </w:r>
    </w:p>
  </w:footnote>
  <w:footnote w:type="continuationSeparator" w:id="0">
    <w:p w14:paraId="30F06EB5"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D85C" w14:textId="77777777" w:rsidR="00DF1D8D" w:rsidRDefault="00DF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367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EBADE0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111(Add.18)-</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938" w14:textId="77777777" w:rsidR="00DF1D8D" w:rsidRDefault="00DF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94539220">
    <w:abstractNumId w:val="8"/>
  </w:num>
  <w:num w:numId="2" w16cid:durableId="19304988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91059716">
    <w:abstractNumId w:val="9"/>
  </w:num>
  <w:num w:numId="4" w16cid:durableId="1357846338">
    <w:abstractNumId w:val="7"/>
  </w:num>
  <w:num w:numId="5" w16cid:durableId="1069111095">
    <w:abstractNumId w:val="6"/>
  </w:num>
  <w:num w:numId="6" w16cid:durableId="1872448218">
    <w:abstractNumId w:val="5"/>
  </w:num>
  <w:num w:numId="7" w16cid:durableId="724988874">
    <w:abstractNumId w:val="4"/>
  </w:num>
  <w:num w:numId="8" w16cid:durableId="1712654325">
    <w:abstractNumId w:val="3"/>
  </w:num>
  <w:num w:numId="9" w16cid:durableId="2017028826">
    <w:abstractNumId w:val="2"/>
  </w:num>
  <w:num w:numId="10" w16cid:durableId="1063480982">
    <w:abstractNumId w:val="1"/>
  </w:num>
  <w:num w:numId="11" w16cid:durableId="34938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2C35"/>
    <w:rsid w:val="00087AE8"/>
    <w:rsid w:val="00091054"/>
    <w:rsid w:val="000A2A7D"/>
    <w:rsid w:val="000A5B9A"/>
    <w:rsid w:val="000E5BF9"/>
    <w:rsid w:val="000F0E6D"/>
    <w:rsid w:val="00121170"/>
    <w:rsid w:val="00123CC5"/>
    <w:rsid w:val="00147F85"/>
    <w:rsid w:val="0015142D"/>
    <w:rsid w:val="001616DC"/>
    <w:rsid w:val="00163962"/>
    <w:rsid w:val="00191A97"/>
    <w:rsid w:val="0019729C"/>
    <w:rsid w:val="001A083F"/>
    <w:rsid w:val="001C41FA"/>
    <w:rsid w:val="001E2B52"/>
    <w:rsid w:val="001E3F27"/>
    <w:rsid w:val="001E7D42"/>
    <w:rsid w:val="0023659C"/>
    <w:rsid w:val="00236D2A"/>
    <w:rsid w:val="0024569E"/>
    <w:rsid w:val="00255022"/>
    <w:rsid w:val="00255F12"/>
    <w:rsid w:val="00262C09"/>
    <w:rsid w:val="002A731B"/>
    <w:rsid w:val="002A791F"/>
    <w:rsid w:val="002C1A52"/>
    <w:rsid w:val="002C1B26"/>
    <w:rsid w:val="002C5D6C"/>
    <w:rsid w:val="002E701F"/>
    <w:rsid w:val="003248A9"/>
    <w:rsid w:val="00324FFA"/>
    <w:rsid w:val="0032680B"/>
    <w:rsid w:val="00363A65"/>
    <w:rsid w:val="003A33E7"/>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039E9"/>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C13E5"/>
    <w:rsid w:val="009E11EC"/>
    <w:rsid w:val="009F5889"/>
    <w:rsid w:val="00A021CC"/>
    <w:rsid w:val="00A118DB"/>
    <w:rsid w:val="00A216C8"/>
    <w:rsid w:val="00A4450C"/>
    <w:rsid w:val="00A66952"/>
    <w:rsid w:val="00AA5E6C"/>
    <w:rsid w:val="00AC49B1"/>
    <w:rsid w:val="00AE5677"/>
    <w:rsid w:val="00AE658F"/>
    <w:rsid w:val="00AF2F78"/>
    <w:rsid w:val="00B239FA"/>
    <w:rsid w:val="00B372AB"/>
    <w:rsid w:val="00B47331"/>
    <w:rsid w:val="00B52D55"/>
    <w:rsid w:val="00B8288C"/>
    <w:rsid w:val="00B86034"/>
    <w:rsid w:val="00BA2E6B"/>
    <w:rsid w:val="00BE2E80"/>
    <w:rsid w:val="00BE5EDD"/>
    <w:rsid w:val="00BE6A1F"/>
    <w:rsid w:val="00BF1877"/>
    <w:rsid w:val="00C126C4"/>
    <w:rsid w:val="00C44E9E"/>
    <w:rsid w:val="00C63EB5"/>
    <w:rsid w:val="00C87DA7"/>
    <w:rsid w:val="00CA4945"/>
    <w:rsid w:val="00CC01E0"/>
    <w:rsid w:val="00CD5FEE"/>
    <w:rsid w:val="00CE60D2"/>
    <w:rsid w:val="00CE7431"/>
    <w:rsid w:val="00D00CA8"/>
    <w:rsid w:val="00D0288A"/>
    <w:rsid w:val="00D37FB8"/>
    <w:rsid w:val="00D55416"/>
    <w:rsid w:val="00D72A5D"/>
    <w:rsid w:val="00DA04F1"/>
    <w:rsid w:val="00DA71A3"/>
    <w:rsid w:val="00DC1922"/>
    <w:rsid w:val="00DC629B"/>
    <w:rsid w:val="00DE1C31"/>
    <w:rsid w:val="00DF1D8D"/>
    <w:rsid w:val="00E05BFF"/>
    <w:rsid w:val="00E262F1"/>
    <w:rsid w:val="00E3176A"/>
    <w:rsid w:val="00E36CE4"/>
    <w:rsid w:val="00E42371"/>
    <w:rsid w:val="00E54754"/>
    <w:rsid w:val="00E56BD3"/>
    <w:rsid w:val="00E71D14"/>
    <w:rsid w:val="00EA77F0"/>
    <w:rsid w:val="00EB72DB"/>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0D19B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1B3F1319-A41F-4362-BAC2-635DC7ECA781}">
  <ds:schemaRefs>
    <ds:schemaRef ds:uri="http://schemas.microsoft.com/sharepoint/events"/>
  </ds:schemaRefs>
</ds:datastoreItem>
</file>

<file path=customXml/itemProps2.xml><?xml version="1.0" encoding="utf-8"?>
<ds:datastoreItem xmlns:ds="http://schemas.openxmlformats.org/officeDocument/2006/customXml" ds:itemID="{A935E0C8-5C66-46CB-9740-211725ADFCF2}">
  <ds:schemaRefs>
    <ds:schemaRef ds:uri="http://schemas.microsoft.com/sharepoint/v3/contenttype/forms"/>
  </ds:schemaRefs>
</ds:datastoreItem>
</file>

<file path=customXml/itemProps3.xml><?xml version="1.0" encoding="utf-8"?>
<ds:datastoreItem xmlns:ds="http://schemas.openxmlformats.org/officeDocument/2006/customXml" ds:itemID="{F9C2E31D-5485-422D-A12F-6E19ABDA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CA4E1B3B-F885-46A4-A80E-5D4169210EE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665</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R23-WRC23-C-0111!A18!MSW-S</vt:lpstr>
    </vt:vector>
  </TitlesOfParts>
  <Manager>Secretaría General - Pool</Manager>
  <Company>Unión Internacional de Telecomunicaciones (UIT)</Company>
  <LinksUpToDate>false</LinksUpToDate>
  <CharactersWithSpaces>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R23-WRC23-C-0111!A18!MSW-S</dc:title>
  <dc:subject>Conferencia Mundial de Radiocomunicaciones - 2019</dc:subject>
  <dc:creator>Documents Proposals Manager (DPM)</dc:creator>
  <cp:keywords>DPM_v2023.11.6.1_prod</cp:keywords>
  <dc:description/>
  <cp:lastModifiedBy>Catalano Moreira, Rossana</cp:lastModifiedBy>
  <cp:revision>8</cp:revision>
  <cp:lastPrinted>2003-02-19T20:20:00Z</cp:lastPrinted>
  <dcterms:created xsi:type="dcterms:W3CDTF">2023-11-07T13:05:00Z</dcterms:created>
  <dcterms:modified xsi:type="dcterms:W3CDTF">2023-11-07T13:37:00Z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