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F76F2" w14:paraId="38615315" w14:textId="77777777" w:rsidTr="00C1305F">
        <w:trPr>
          <w:cantSplit/>
        </w:trPr>
        <w:tc>
          <w:tcPr>
            <w:tcW w:w="1418" w:type="dxa"/>
            <w:vAlign w:val="center"/>
          </w:tcPr>
          <w:p w14:paraId="24D43FED" w14:textId="77777777" w:rsidR="00C1305F" w:rsidRPr="00CF76F2" w:rsidRDefault="00C1305F" w:rsidP="004F1641">
            <w:pPr>
              <w:spacing w:before="0"/>
              <w:rPr>
                <w:rFonts w:ascii="Verdana" w:hAnsi="Verdana"/>
                <w:b/>
                <w:bCs/>
                <w:sz w:val="20"/>
              </w:rPr>
            </w:pPr>
            <w:r w:rsidRPr="00CF76F2">
              <w:rPr>
                <w:noProof/>
              </w:rPr>
              <w:drawing>
                <wp:inline distT="0" distB="0" distL="0" distR="0" wp14:anchorId="144F3C41" wp14:editId="3EC73CA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DA53A57" w14:textId="01125ED5" w:rsidR="00C1305F" w:rsidRPr="00CF76F2" w:rsidRDefault="00C1305F" w:rsidP="004F1641">
            <w:pPr>
              <w:spacing w:before="400" w:after="48"/>
              <w:rPr>
                <w:rFonts w:ascii="Verdana" w:hAnsi="Verdana"/>
                <w:b/>
                <w:bCs/>
                <w:sz w:val="20"/>
              </w:rPr>
            </w:pPr>
            <w:r w:rsidRPr="00CF76F2">
              <w:rPr>
                <w:rFonts w:ascii="Verdana" w:hAnsi="Verdana"/>
                <w:b/>
                <w:bCs/>
                <w:sz w:val="20"/>
              </w:rPr>
              <w:t>Conférence mondiale des radiocommunications (CMR-23)</w:t>
            </w:r>
            <w:r w:rsidRPr="00CF76F2">
              <w:rPr>
                <w:rFonts w:ascii="Verdana" w:hAnsi="Verdana"/>
                <w:b/>
                <w:bCs/>
                <w:sz w:val="20"/>
              </w:rPr>
              <w:br/>
            </w:r>
            <w:r w:rsidRPr="00CF76F2">
              <w:rPr>
                <w:rFonts w:ascii="Verdana" w:hAnsi="Verdana"/>
                <w:b/>
                <w:bCs/>
                <w:sz w:val="18"/>
                <w:szCs w:val="18"/>
              </w:rPr>
              <w:t xml:space="preserve">Dubaï, 20 novembre </w:t>
            </w:r>
            <w:r w:rsidR="00CF76F2" w:rsidRPr="00CF76F2">
              <w:rPr>
                <w:rFonts w:ascii="Verdana" w:hAnsi="Verdana"/>
                <w:b/>
                <w:bCs/>
                <w:sz w:val="18"/>
                <w:szCs w:val="18"/>
              </w:rPr>
              <w:t>–</w:t>
            </w:r>
            <w:r w:rsidRPr="00CF76F2">
              <w:rPr>
                <w:rFonts w:ascii="Verdana" w:hAnsi="Verdana"/>
                <w:b/>
                <w:bCs/>
                <w:sz w:val="18"/>
                <w:szCs w:val="18"/>
              </w:rPr>
              <w:t xml:space="preserve"> 15 décembre 2023</w:t>
            </w:r>
          </w:p>
        </w:tc>
        <w:tc>
          <w:tcPr>
            <w:tcW w:w="1809" w:type="dxa"/>
            <w:vAlign w:val="center"/>
          </w:tcPr>
          <w:p w14:paraId="46BC143D" w14:textId="77777777" w:rsidR="00C1305F" w:rsidRPr="00CF76F2" w:rsidRDefault="00C1305F" w:rsidP="00C1305F">
            <w:pPr>
              <w:spacing w:before="0" w:line="240" w:lineRule="atLeast"/>
            </w:pPr>
            <w:bookmarkStart w:id="0" w:name="ditulogo"/>
            <w:bookmarkEnd w:id="0"/>
            <w:r w:rsidRPr="00CF76F2">
              <w:rPr>
                <w:noProof/>
              </w:rPr>
              <w:drawing>
                <wp:inline distT="0" distB="0" distL="0" distR="0" wp14:anchorId="7C6E2DCD" wp14:editId="29E0039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F76F2" w14:paraId="419AF3D5" w14:textId="77777777" w:rsidTr="0050008E">
        <w:trPr>
          <w:cantSplit/>
        </w:trPr>
        <w:tc>
          <w:tcPr>
            <w:tcW w:w="6911" w:type="dxa"/>
            <w:gridSpan w:val="2"/>
            <w:tcBorders>
              <w:bottom w:val="single" w:sz="12" w:space="0" w:color="auto"/>
            </w:tcBorders>
          </w:tcPr>
          <w:p w14:paraId="08BD2E30" w14:textId="77777777" w:rsidR="00BB1D82" w:rsidRPr="00CF76F2" w:rsidRDefault="00BB1D82" w:rsidP="004F1641">
            <w:pPr>
              <w:spacing w:before="0" w:after="48"/>
              <w:rPr>
                <w:b/>
                <w:smallCaps/>
                <w:szCs w:val="24"/>
              </w:rPr>
            </w:pPr>
            <w:bookmarkStart w:id="1" w:name="dhead"/>
          </w:p>
        </w:tc>
        <w:tc>
          <w:tcPr>
            <w:tcW w:w="3120" w:type="dxa"/>
            <w:gridSpan w:val="2"/>
            <w:tcBorders>
              <w:bottom w:val="single" w:sz="12" w:space="0" w:color="auto"/>
            </w:tcBorders>
          </w:tcPr>
          <w:p w14:paraId="5CA1ADF2" w14:textId="77777777" w:rsidR="00BB1D82" w:rsidRPr="00CF76F2" w:rsidRDefault="00BB1D82" w:rsidP="004F1641">
            <w:pPr>
              <w:spacing w:before="0"/>
              <w:rPr>
                <w:rFonts w:ascii="Verdana" w:hAnsi="Verdana"/>
                <w:szCs w:val="24"/>
              </w:rPr>
            </w:pPr>
          </w:p>
        </w:tc>
      </w:tr>
      <w:tr w:rsidR="00BB1D82" w:rsidRPr="00CF76F2" w14:paraId="1B6D9D9D" w14:textId="77777777" w:rsidTr="00BB1D82">
        <w:trPr>
          <w:cantSplit/>
        </w:trPr>
        <w:tc>
          <w:tcPr>
            <w:tcW w:w="6911" w:type="dxa"/>
            <w:gridSpan w:val="2"/>
            <w:tcBorders>
              <w:top w:val="single" w:sz="12" w:space="0" w:color="auto"/>
            </w:tcBorders>
          </w:tcPr>
          <w:p w14:paraId="708900D4" w14:textId="77777777" w:rsidR="00BB1D82" w:rsidRPr="00CF76F2" w:rsidRDefault="00BB1D82" w:rsidP="004F1641">
            <w:pPr>
              <w:spacing w:before="0" w:after="48"/>
              <w:rPr>
                <w:rFonts w:ascii="Verdana" w:hAnsi="Verdana"/>
                <w:b/>
                <w:smallCaps/>
                <w:sz w:val="20"/>
              </w:rPr>
            </w:pPr>
          </w:p>
        </w:tc>
        <w:tc>
          <w:tcPr>
            <w:tcW w:w="3120" w:type="dxa"/>
            <w:gridSpan w:val="2"/>
            <w:tcBorders>
              <w:top w:val="single" w:sz="12" w:space="0" w:color="auto"/>
            </w:tcBorders>
          </w:tcPr>
          <w:p w14:paraId="52F1A5AC" w14:textId="77777777" w:rsidR="00BB1D82" w:rsidRPr="00CF76F2" w:rsidRDefault="00BB1D82" w:rsidP="004F1641">
            <w:pPr>
              <w:spacing w:before="0"/>
              <w:rPr>
                <w:rFonts w:ascii="Verdana" w:hAnsi="Verdana"/>
                <w:sz w:val="20"/>
              </w:rPr>
            </w:pPr>
          </w:p>
        </w:tc>
      </w:tr>
      <w:tr w:rsidR="00BB1D82" w:rsidRPr="00CF76F2" w14:paraId="41264B7A" w14:textId="77777777" w:rsidTr="00BB1D82">
        <w:trPr>
          <w:cantSplit/>
        </w:trPr>
        <w:tc>
          <w:tcPr>
            <w:tcW w:w="6911" w:type="dxa"/>
            <w:gridSpan w:val="2"/>
          </w:tcPr>
          <w:p w14:paraId="5744599D" w14:textId="77777777" w:rsidR="00BB1D82" w:rsidRPr="00CF76F2" w:rsidRDefault="006D4724" w:rsidP="004F1641">
            <w:pPr>
              <w:spacing w:before="0"/>
              <w:rPr>
                <w:rFonts w:ascii="Verdana" w:hAnsi="Verdana"/>
                <w:b/>
                <w:sz w:val="20"/>
              </w:rPr>
            </w:pPr>
            <w:r w:rsidRPr="00CF76F2">
              <w:rPr>
                <w:rFonts w:ascii="Verdana" w:hAnsi="Verdana"/>
                <w:b/>
                <w:sz w:val="20"/>
              </w:rPr>
              <w:t>SÉANCE PLÉNIÈRE</w:t>
            </w:r>
          </w:p>
        </w:tc>
        <w:tc>
          <w:tcPr>
            <w:tcW w:w="3120" w:type="dxa"/>
            <w:gridSpan w:val="2"/>
          </w:tcPr>
          <w:p w14:paraId="742EC41C" w14:textId="77777777" w:rsidR="00BB1D82" w:rsidRPr="00CF76F2" w:rsidRDefault="006D4724" w:rsidP="004F1641">
            <w:pPr>
              <w:spacing w:before="0"/>
              <w:rPr>
                <w:rFonts w:ascii="Verdana" w:hAnsi="Verdana"/>
                <w:sz w:val="20"/>
              </w:rPr>
            </w:pPr>
            <w:r w:rsidRPr="00CF76F2">
              <w:rPr>
                <w:rFonts w:ascii="Verdana" w:hAnsi="Verdana"/>
                <w:b/>
                <w:sz w:val="20"/>
              </w:rPr>
              <w:t>Addendum 3 au</w:t>
            </w:r>
            <w:r w:rsidRPr="00CF76F2">
              <w:rPr>
                <w:rFonts w:ascii="Verdana" w:hAnsi="Verdana"/>
                <w:b/>
                <w:sz w:val="20"/>
              </w:rPr>
              <w:br/>
              <w:t>Document 111(Add.25)</w:t>
            </w:r>
            <w:r w:rsidR="00BB1D82" w:rsidRPr="00CF76F2">
              <w:rPr>
                <w:rFonts w:ascii="Verdana" w:hAnsi="Verdana"/>
                <w:b/>
                <w:sz w:val="20"/>
              </w:rPr>
              <w:t>-</w:t>
            </w:r>
            <w:r w:rsidRPr="00CF76F2">
              <w:rPr>
                <w:rFonts w:ascii="Verdana" w:hAnsi="Verdana"/>
                <w:b/>
                <w:sz w:val="20"/>
              </w:rPr>
              <w:t>F</w:t>
            </w:r>
          </w:p>
        </w:tc>
      </w:tr>
      <w:bookmarkEnd w:id="1"/>
      <w:tr w:rsidR="00690C7B" w:rsidRPr="00CF76F2" w14:paraId="5D03C2D5" w14:textId="77777777" w:rsidTr="00BB1D82">
        <w:trPr>
          <w:cantSplit/>
        </w:trPr>
        <w:tc>
          <w:tcPr>
            <w:tcW w:w="6911" w:type="dxa"/>
            <w:gridSpan w:val="2"/>
          </w:tcPr>
          <w:p w14:paraId="752A50F9" w14:textId="77777777" w:rsidR="00690C7B" w:rsidRPr="00CF76F2" w:rsidRDefault="00690C7B" w:rsidP="004F1641">
            <w:pPr>
              <w:spacing w:before="0"/>
              <w:rPr>
                <w:rFonts w:ascii="Verdana" w:hAnsi="Verdana"/>
                <w:b/>
                <w:sz w:val="20"/>
              </w:rPr>
            </w:pPr>
          </w:p>
        </w:tc>
        <w:tc>
          <w:tcPr>
            <w:tcW w:w="3120" w:type="dxa"/>
            <w:gridSpan w:val="2"/>
          </w:tcPr>
          <w:p w14:paraId="73714F7F" w14:textId="77777777" w:rsidR="00690C7B" w:rsidRPr="00CF76F2" w:rsidRDefault="00690C7B" w:rsidP="004F1641">
            <w:pPr>
              <w:spacing w:before="0"/>
              <w:rPr>
                <w:rFonts w:ascii="Verdana" w:hAnsi="Verdana"/>
                <w:b/>
                <w:sz w:val="20"/>
              </w:rPr>
            </w:pPr>
            <w:r w:rsidRPr="00CF76F2">
              <w:rPr>
                <w:rFonts w:ascii="Verdana" w:hAnsi="Verdana"/>
                <w:b/>
                <w:sz w:val="20"/>
              </w:rPr>
              <w:t>30 octobre 2023</w:t>
            </w:r>
          </w:p>
        </w:tc>
      </w:tr>
      <w:tr w:rsidR="00690C7B" w:rsidRPr="00CF76F2" w14:paraId="46669A9E" w14:textId="77777777" w:rsidTr="00BB1D82">
        <w:trPr>
          <w:cantSplit/>
        </w:trPr>
        <w:tc>
          <w:tcPr>
            <w:tcW w:w="6911" w:type="dxa"/>
            <w:gridSpan w:val="2"/>
          </w:tcPr>
          <w:p w14:paraId="74563D6B" w14:textId="77777777" w:rsidR="00690C7B" w:rsidRPr="00CF76F2" w:rsidRDefault="00690C7B" w:rsidP="004F1641">
            <w:pPr>
              <w:spacing w:before="0" w:after="48"/>
              <w:rPr>
                <w:rFonts w:ascii="Verdana" w:hAnsi="Verdana"/>
                <w:b/>
                <w:smallCaps/>
                <w:sz w:val="20"/>
              </w:rPr>
            </w:pPr>
          </w:p>
        </w:tc>
        <w:tc>
          <w:tcPr>
            <w:tcW w:w="3120" w:type="dxa"/>
            <w:gridSpan w:val="2"/>
          </w:tcPr>
          <w:p w14:paraId="2B7F1C1F" w14:textId="77777777" w:rsidR="00690C7B" w:rsidRPr="00CF76F2" w:rsidRDefault="00690C7B" w:rsidP="004F1641">
            <w:pPr>
              <w:spacing w:before="0"/>
              <w:rPr>
                <w:rFonts w:ascii="Verdana" w:hAnsi="Verdana"/>
                <w:b/>
                <w:sz w:val="20"/>
              </w:rPr>
            </w:pPr>
            <w:r w:rsidRPr="00CF76F2">
              <w:rPr>
                <w:rFonts w:ascii="Verdana" w:hAnsi="Verdana"/>
                <w:b/>
                <w:sz w:val="20"/>
              </w:rPr>
              <w:t>Original: chinois</w:t>
            </w:r>
          </w:p>
        </w:tc>
      </w:tr>
      <w:tr w:rsidR="00690C7B" w:rsidRPr="00CF76F2" w14:paraId="4EA61657" w14:textId="77777777" w:rsidTr="00C11970">
        <w:trPr>
          <w:cantSplit/>
        </w:trPr>
        <w:tc>
          <w:tcPr>
            <w:tcW w:w="10031" w:type="dxa"/>
            <w:gridSpan w:val="4"/>
          </w:tcPr>
          <w:p w14:paraId="69467291" w14:textId="77777777" w:rsidR="00690C7B" w:rsidRPr="00CF76F2" w:rsidRDefault="00690C7B" w:rsidP="004F1641">
            <w:pPr>
              <w:spacing w:before="0"/>
              <w:rPr>
                <w:rFonts w:ascii="Verdana" w:hAnsi="Verdana"/>
                <w:b/>
                <w:sz w:val="20"/>
              </w:rPr>
            </w:pPr>
          </w:p>
        </w:tc>
      </w:tr>
      <w:tr w:rsidR="00690C7B" w:rsidRPr="00CF76F2" w14:paraId="17045FC0" w14:textId="77777777" w:rsidTr="0050008E">
        <w:trPr>
          <w:cantSplit/>
        </w:trPr>
        <w:tc>
          <w:tcPr>
            <w:tcW w:w="10031" w:type="dxa"/>
            <w:gridSpan w:val="4"/>
          </w:tcPr>
          <w:p w14:paraId="54B3F680" w14:textId="77777777" w:rsidR="00690C7B" w:rsidRPr="00CF76F2" w:rsidRDefault="00690C7B" w:rsidP="004F1641">
            <w:pPr>
              <w:pStyle w:val="Source"/>
            </w:pPr>
            <w:bookmarkStart w:id="2" w:name="dsource" w:colFirst="0" w:colLast="0"/>
            <w:r w:rsidRPr="00CF76F2">
              <w:t>Chine (République populaire de)</w:t>
            </w:r>
          </w:p>
        </w:tc>
      </w:tr>
      <w:tr w:rsidR="00690C7B" w:rsidRPr="00CF76F2" w14:paraId="4D8BBBCE" w14:textId="77777777" w:rsidTr="0050008E">
        <w:trPr>
          <w:cantSplit/>
        </w:trPr>
        <w:tc>
          <w:tcPr>
            <w:tcW w:w="10031" w:type="dxa"/>
            <w:gridSpan w:val="4"/>
          </w:tcPr>
          <w:p w14:paraId="1DD9F4A9" w14:textId="37C8F753" w:rsidR="00690C7B" w:rsidRPr="00CF76F2" w:rsidRDefault="00726FC0" w:rsidP="004F1641">
            <w:pPr>
              <w:pStyle w:val="Title1"/>
            </w:pPr>
            <w:bookmarkStart w:id="3" w:name="dtitle1" w:colFirst="0" w:colLast="0"/>
            <w:bookmarkEnd w:id="2"/>
            <w:r w:rsidRPr="00CF76F2">
              <w:t>propositions pour les travaux de la conférence</w:t>
            </w:r>
          </w:p>
        </w:tc>
      </w:tr>
      <w:tr w:rsidR="00690C7B" w:rsidRPr="00CF76F2" w14:paraId="072ED442" w14:textId="77777777" w:rsidTr="0050008E">
        <w:trPr>
          <w:cantSplit/>
        </w:trPr>
        <w:tc>
          <w:tcPr>
            <w:tcW w:w="10031" w:type="dxa"/>
            <w:gridSpan w:val="4"/>
          </w:tcPr>
          <w:p w14:paraId="04B0A176" w14:textId="77777777" w:rsidR="00690C7B" w:rsidRPr="00CF76F2" w:rsidRDefault="00690C7B" w:rsidP="004F1641">
            <w:pPr>
              <w:pStyle w:val="Title2"/>
            </w:pPr>
            <w:bookmarkStart w:id="4" w:name="dtitle2" w:colFirst="0" w:colLast="0"/>
            <w:bookmarkEnd w:id="3"/>
          </w:p>
        </w:tc>
      </w:tr>
      <w:tr w:rsidR="00690C7B" w:rsidRPr="00CF76F2" w14:paraId="2E78A927" w14:textId="77777777" w:rsidTr="0050008E">
        <w:trPr>
          <w:cantSplit/>
        </w:trPr>
        <w:tc>
          <w:tcPr>
            <w:tcW w:w="10031" w:type="dxa"/>
            <w:gridSpan w:val="4"/>
          </w:tcPr>
          <w:p w14:paraId="2A9197C8" w14:textId="77777777" w:rsidR="00690C7B" w:rsidRPr="00CF76F2" w:rsidRDefault="00690C7B" w:rsidP="004F1641">
            <w:pPr>
              <w:pStyle w:val="Agendaitem"/>
              <w:rPr>
                <w:lang w:val="fr-FR"/>
              </w:rPr>
            </w:pPr>
            <w:bookmarkStart w:id="5" w:name="dtitle3" w:colFirst="0" w:colLast="0"/>
            <w:bookmarkEnd w:id="4"/>
            <w:r w:rsidRPr="00CF76F2">
              <w:rPr>
                <w:lang w:val="fr-FR"/>
              </w:rPr>
              <w:t>Point 9.2 de l'ordre du jour</w:t>
            </w:r>
          </w:p>
        </w:tc>
      </w:tr>
    </w:tbl>
    <w:bookmarkEnd w:id="5"/>
    <w:p w14:paraId="65FDFA4F" w14:textId="77777777" w:rsidR="00F5133A" w:rsidRPr="00CF76F2" w:rsidRDefault="00BE3212" w:rsidP="00AB7FDA">
      <w:r w:rsidRPr="00CF76F2">
        <w:t>9</w:t>
      </w:r>
      <w:r w:rsidRPr="00CF76F2">
        <w:tab/>
        <w:t>examiner et approuver le rapport du Directeur du Bureau des radiocommunications, conformément à l'article 7 de la Convention de l'UIT:</w:t>
      </w:r>
    </w:p>
    <w:p w14:paraId="5B788AEE" w14:textId="77777777" w:rsidR="00F5133A" w:rsidRPr="00CF76F2" w:rsidRDefault="00BE3212" w:rsidP="00AB7FDA">
      <w:r w:rsidRPr="00CF76F2">
        <w:t>9.2</w:t>
      </w:r>
      <w:r w:rsidRPr="00CF76F2">
        <w:tab/>
        <w:t>sur les difficultés rencontrées ou les incohérences constatées dans l'application du Règlement des radiocommunications</w:t>
      </w:r>
      <w:r w:rsidRPr="00CF76F2">
        <w:rPr>
          <w:rStyle w:val="FootnoteReference"/>
        </w:rPr>
        <w:footnoteReference w:customMarkFollows="1" w:id="1"/>
        <w:t>1</w:t>
      </w:r>
      <w:r w:rsidRPr="00CF76F2">
        <w:t>; et</w:t>
      </w:r>
    </w:p>
    <w:p w14:paraId="20EF7816" w14:textId="30ACB08E" w:rsidR="00726FC0" w:rsidRPr="00CF76F2" w:rsidRDefault="00C52BCC" w:rsidP="00CF76F2">
      <w:pPr>
        <w:pStyle w:val="Heading2"/>
        <w:tabs>
          <w:tab w:val="clear" w:pos="1134"/>
        </w:tabs>
        <w:ind w:left="0" w:firstLine="0"/>
        <w:jc w:val="center"/>
      </w:pPr>
      <w:r w:rsidRPr="00CF76F2">
        <w:t>Résultats obtenus dans l'application des procédures prévues</w:t>
      </w:r>
      <w:r w:rsidR="00CF76F2" w:rsidRPr="00CF76F2">
        <w:br/>
      </w:r>
      <w:r w:rsidRPr="00CF76F2">
        <w:t>dans le Règlement des radiocommunications</w:t>
      </w:r>
    </w:p>
    <w:p w14:paraId="1DDEADCD" w14:textId="37864638" w:rsidR="00726FC0" w:rsidRPr="00CF76F2" w:rsidRDefault="00726FC0" w:rsidP="00CF76F2">
      <w:pPr>
        <w:pStyle w:val="Heading2"/>
        <w:tabs>
          <w:tab w:val="clear" w:pos="1134"/>
          <w:tab w:val="clear" w:pos="1871"/>
          <w:tab w:val="clear" w:pos="2268"/>
          <w:tab w:val="left" w:pos="2410"/>
        </w:tabs>
        <w:ind w:left="567" w:hanging="567"/>
        <w:jc w:val="center"/>
      </w:pPr>
      <w:r w:rsidRPr="00CF76F2">
        <w:t>3.1</w:t>
      </w:r>
      <w:r w:rsidR="00CF76F2" w:rsidRPr="00CF76F2">
        <w:tab/>
      </w:r>
      <w:r w:rsidRPr="00CF76F2">
        <w:t xml:space="preserve">Articles </w:t>
      </w:r>
      <w:r w:rsidR="00C52BCC" w:rsidRPr="00CF76F2">
        <w:t>du Règlement des radiocommunications</w:t>
      </w:r>
    </w:p>
    <w:p w14:paraId="3A76AB52" w14:textId="37B482A6" w:rsidR="003A583E" w:rsidRPr="00CF76F2" w:rsidRDefault="00726FC0" w:rsidP="00AB7FDA">
      <w:pPr>
        <w:pStyle w:val="Heading3"/>
        <w:jc w:val="center"/>
      </w:pPr>
      <w:r w:rsidRPr="00CF76F2">
        <w:t>(</w:t>
      </w:r>
      <w:r w:rsidR="00C52BCC" w:rsidRPr="00CF76F2">
        <w:t>questions liées aux satellites non géostationnaires</w:t>
      </w:r>
      <w:r w:rsidRPr="00CF76F2">
        <w:t>)</w:t>
      </w:r>
    </w:p>
    <w:p w14:paraId="4D978EEB" w14:textId="5D7AE458" w:rsidR="00726FC0" w:rsidRPr="00CF76F2" w:rsidRDefault="00726FC0" w:rsidP="00726FC0">
      <w:pPr>
        <w:pStyle w:val="Headingb"/>
      </w:pPr>
      <w:r w:rsidRPr="00CF76F2">
        <w:t>Introduction</w:t>
      </w:r>
    </w:p>
    <w:p w14:paraId="4E96E11B" w14:textId="72F9BBAF" w:rsidR="00726FC0" w:rsidRPr="00CF76F2" w:rsidRDefault="00E67FF0" w:rsidP="00726FC0">
      <w:r w:rsidRPr="00CF76F2">
        <w:t>Compte tenu des difficultés rencontrées et des incohérences constatées dans l'application de certaines dispositions du Règlement des radiocommunications rec</w:t>
      </w:r>
      <w:r w:rsidR="000F119F" w:rsidRPr="00CF76F2">
        <w:t>ueillies et analysées dans la Partie </w:t>
      </w:r>
      <w:r w:rsidRPr="00CF76F2">
        <w:t xml:space="preserve">2 du Rapport du Directeur du Bureau des radiocommunications </w:t>
      </w:r>
      <w:r w:rsidRPr="00CF76F2">
        <w:rPr>
          <w:lang w:eastAsia="zh-CN"/>
        </w:rPr>
        <w:t>(</w:t>
      </w:r>
      <w:hyperlink r:id="rId13">
        <w:r w:rsidR="000F119F" w:rsidRPr="00CF76F2">
          <w:rPr>
            <w:rStyle w:val="Hyperlink"/>
            <w:lang w:eastAsia="zh-CN"/>
          </w:rPr>
          <w:t>Addendum 2 au D</w:t>
        </w:r>
        <w:r w:rsidRPr="00CF76F2">
          <w:rPr>
            <w:rStyle w:val="Hyperlink"/>
            <w:lang w:eastAsia="zh-CN"/>
          </w:rPr>
          <w:t>ocument WRC-23/4</w:t>
        </w:r>
      </w:hyperlink>
      <w:r w:rsidRPr="00CF76F2">
        <w:rPr>
          <w:lang w:eastAsia="zh-CN"/>
        </w:rPr>
        <w:t xml:space="preserve">), la présente contribution </w:t>
      </w:r>
      <w:r w:rsidR="000F119F" w:rsidRPr="00CF76F2">
        <w:rPr>
          <w:lang w:eastAsia="zh-CN"/>
        </w:rPr>
        <w:t>a pour objet de</w:t>
      </w:r>
      <w:r w:rsidRPr="00CF76F2">
        <w:rPr>
          <w:lang w:eastAsia="zh-CN"/>
        </w:rPr>
        <w:t xml:space="preserve"> résumer nos vues et propositions concernant un certain nombre de questions, en </w:t>
      </w:r>
      <w:r w:rsidR="000F119F" w:rsidRPr="00CF76F2">
        <w:rPr>
          <w:lang w:eastAsia="zh-CN"/>
        </w:rPr>
        <w:t>mettant l'accent</w:t>
      </w:r>
      <w:r w:rsidRPr="00CF76F2">
        <w:rPr>
          <w:lang w:eastAsia="zh-CN"/>
        </w:rPr>
        <w:t xml:space="preserve"> sur les résultats obtenus dans l'application des procédures prévues dans le Règlement des radiocommunications (§ 3.1 – Articles du Règlement des radiocommunications) en ce qui concerne les questions liées aux satellites non géostationnaires (non OSG)</w:t>
      </w:r>
      <w:r w:rsidR="000F119F" w:rsidRPr="00CF76F2">
        <w:rPr>
          <w:lang w:eastAsia="zh-CN"/>
        </w:rPr>
        <w:t>.</w:t>
      </w:r>
    </w:p>
    <w:p w14:paraId="2D30D187" w14:textId="2954E33A" w:rsidR="00726FC0" w:rsidRPr="00CF76F2" w:rsidRDefault="00726FC0" w:rsidP="00B1304C">
      <w:pPr>
        <w:pStyle w:val="Headingb"/>
        <w:keepNext w:val="0"/>
      </w:pPr>
      <w:r w:rsidRPr="00CF76F2">
        <w:lastRenderedPageBreak/>
        <w:t>Proposition</w:t>
      </w:r>
    </w:p>
    <w:p w14:paraId="389DE836" w14:textId="7615C227" w:rsidR="00726FC0" w:rsidRPr="00CF76F2" w:rsidRDefault="00E67FF0" w:rsidP="00B1304C">
      <w:r w:rsidRPr="00CF76F2">
        <w:t xml:space="preserve">L'Administration de la République populaire de Chine </w:t>
      </w:r>
      <w:r w:rsidR="007F076C" w:rsidRPr="00CF76F2">
        <w:t>expose</w:t>
      </w:r>
      <w:r w:rsidRPr="00CF76F2">
        <w:t xml:space="preserve"> ses vues et propositions concernant</w:t>
      </w:r>
      <w:r w:rsidR="007F076C" w:rsidRPr="00CF76F2">
        <w:t xml:space="preserve"> un certain nombre de questions, </w:t>
      </w:r>
      <w:r w:rsidRPr="00CF76F2">
        <w:t>pour examen complémentaire lors de la Conférence.</w:t>
      </w:r>
    </w:p>
    <w:p w14:paraId="759740FA" w14:textId="77777777" w:rsidR="0015203F" w:rsidRPr="00CF76F2" w:rsidRDefault="0015203F">
      <w:pPr>
        <w:tabs>
          <w:tab w:val="clear" w:pos="1134"/>
          <w:tab w:val="clear" w:pos="1871"/>
          <w:tab w:val="clear" w:pos="2268"/>
        </w:tabs>
        <w:overflowPunct/>
        <w:autoSpaceDE/>
        <w:autoSpaceDN/>
        <w:adjustRightInd/>
        <w:spacing w:before="0"/>
        <w:textAlignment w:val="auto"/>
      </w:pPr>
      <w:r w:rsidRPr="00CF76F2">
        <w:br w:type="page"/>
      </w:r>
    </w:p>
    <w:p w14:paraId="46A4AF01" w14:textId="08BC8588" w:rsidR="0015203F" w:rsidRPr="00CF76F2" w:rsidRDefault="00726FC0" w:rsidP="00726FC0">
      <w:pPr>
        <w:pStyle w:val="Headingb"/>
      </w:pPr>
      <w:r w:rsidRPr="00CF76F2">
        <w:lastRenderedPageBreak/>
        <w:t>Général</w:t>
      </w:r>
    </w:p>
    <w:p w14:paraId="36DAA0B1" w14:textId="77777777" w:rsidR="00135F5A" w:rsidRPr="00CF76F2" w:rsidRDefault="00BE3212">
      <w:pPr>
        <w:pStyle w:val="Proposal"/>
      </w:pPr>
      <w:r w:rsidRPr="00CF76F2">
        <w:tab/>
        <w:t>CHN/111A25A3/1</w:t>
      </w:r>
    </w:p>
    <w:p w14:paraId="0B303F5B" w14:textId="71ECD46F" w:rsidR="00726FC0" w:rsidRPr="00CF76F2" w:rsidRDefault="00726FC0" w:rsidP="00984CC9">
      <w:pPr>
        <w:pStyle w:val="Heading3"/>
      </w:pPr>
      <w:r w:rsidRPr="00CF76F2">
        <w:t>3.1.4</w:t>
      </w:r>
      <w:r w:rsidRPr="00CF76F2">
        <w:tab/>
        <w:t>Scinder un système à satellites non géostationnaires en plusieurs systèmes notifiés</w:t>
      </w:r>
    </w:p>
    <w:p w14:paraId="7C536C48" w14:textId="0852D700" w:rsidR="00135F5A" w:rsidRPr="00CF76F2" w:rsidRDefault="00726FC0" w:rsidP="00AB7FDA">
      <w:pPr>
        <w:pBdr>
          <w:top w:val="single" w:sz="4" w:space="1" w:color="auto"/>
          <w:left w:val="single" w:sz="4" w:space="4" w:color="auto"/>
          <w:bottom w:val="single" w:sz="4" w:space="1" w:color="auto"/>
          <w:right w:val="single" w:sz="4" w:space="4" w:color="auto"/>
        </w:pBdr>
      </w:pPr>
      <w:r w:rsidRPr="00CF76F2">
        <w:t xml:space="preserve">D'autres questions concernent la pratique consistant à scinder un système à satellites </w:t>
      </w:r>
      <w:r w:rsidR="00E13300" w:rsidRPr="00CF76F2">
        <w:t xml:space="preserve">non géostationnaires </w:t>
      </w:r>
      <w:r w:rsidRPr="00CF76F2">
        <w:t>en plusieurs systèmes notifiés, qui risque de nuire à l'efficacité des limites d'epfd pour une seule source de brouillage définie</w:t>
      </w:r>
      <w:r w:rsidR="00BB6458" w:rsidRPr="00CF76F2">
        <w:t>s</w:t>
      </w:r>
      <w:r w:rsidRPr="00CF76F2">
        <w:t xml:space="preserve"> dans l'Article </w:t>
      </w:r>
      <w:r w:rsidRPr="00CF76F2">
        <w:rPr>
          <w:b/>
          <w:bCs/>
        </w:rPr>
        <w:t>22</w:t>
      </w:r>
      <w:r w:rsidRPr="00CF76F2">
        <w:t xml:space="preserve"> pour protéger les systèmes à satellites géostationnaires ou d'avoir des incidences sur la mise en œuvre de la Résolution </w:t>
      </w:r>
      <w:r w:rsidRPr="00CF76F2">
        <w:rPr>
          <w:b/>
          <w:bCs/>
        </w:rPr>
        <w:t>76 (Rév.CMR-15)</w:t>
      </w:r>
      <w:r w:rsidRPr="00CF76F2">
        <w:t>.</w:t>
      </w:r>
    </w:p>
    <w:p w14:paraId="6273BCAD" w14:textId="1FC96721" w:rsidR="00726FC0" w:rsidRPr="00CF76F2" w:rsidRDefault="00226A6C" w:rsidP="00AB7FDA">
      <w:r w:rsidRPr="00CF76F2">
        <w:rPr>
          <w:b/>
          <w:bCs/>
        </w:rPr>
        <w:t>Vues</w:t>
      </w:r>
      <w:r w:rsidR="00E13300" w:rsidRPr="00CF76F2">
        <w:rPr>
          <w:b/>
          <w:bCs/>
        </w:rPr>
        <w:t xml:space="preserve"> </w:t>
      </w:r>
      <w:r w:rsidR="00726FC0" w:rsidRPr="00CF76F2">
        <w:rPr>
          <w:b/>
          <w:bCs/>
        </w:rPr>
        <w:t>et propositions</w:t>
      </w:r>
      <w:r w:rsidR="00E13300" w:rsidRPr="00CF76F2">
        <w:rPr>
          <w:b/>
          <w:bCs/>
        </w:rPr>
        <w:t>:</w:t>
      </w:r>
      <w:r w:rsidR="00E13300" w:rsidRPr="00CF76F2">
        <w:t xml:space="preserve"> Nous proposons que la CMR-23 invite l'UIT-R à étudier les incidences de la pratique consistant à scinder un système du service fixe par satellite (SFS) non géostationnaire (non</w:t>
      </w:r>
      <w:r w:rsidR="00CF76F2" w:rsidRPr="00CF76F2">
        <w:t> </w:t>
      </w:r>
      <w:r w:rsidR="00E13300" w:rsidRPr="00CF76F2">
        <w:t xml:space="preserve">OSG) en plusieurs systèmes notifiés et, en particulier, à vérifier </w:t>
      </w:r>
      <w:r w:rsidR="00BB6458" w:rsidRPr="00CF76F2">
        <w:t>la conformité avec les</w:t>
      </w:r>
      <w:r w:rsidR="00E13300" w:rsidRPr="00CF76F2">
        <w:t xml:space="preserve"> limites d'epfd pour une seule source de brouillage définies dans l'Article </w:t>
      </w:r>
      <w:r w:rsidR="00E13300" w:rsidRPr="00CF76F2">
        <w:rPr>
          <w:b/>
        </w:rPr>
        <w:t>22</w:t>
      </w:r>
      <w:r w:rsidR="00E13300" w:rsidRPr="00CF76F2">
        <w:t xml:space="preserve"> du Règlement des radiocommunications.</w:t>
      </w:r>
    </w:p>
    <w:p w14:paraId="276DF906" w14:textId="13039F6D" w:rsidR="00135F5A" w:rsidRPr="00CF76F2" w:rsidRDefault="00BE3212" w:rsidP="00AB7FDA">
      <w:pPr>
        <w:pStyle w:val="Reasons"/>
      </w:pPr>
      <w:r w:rsidRPr="00CF76F2">
        <w:rPr>
          <w:b/>
        </w:rPr>
        <w:t>Motifs:</w:t>
      </w:r>
      <w:r w:rsidR="009F422F" w:rsidRPr="00CF76F2">
        <w:tab/>
        <w:t>Nous sommes préoccupés par la pratique consistant à scinder un système du SFS non</w:t>
      </w:r>
      <w:r w:rsidR="00CF76F2" w:rsidRPr="00CF76F2">
        <w:t> </w:t>
      </w:r>
      <w:r w:rsidR="009F422F" w:rsidRPr="00CF76F2">
        <w:t xml:space="preserve">OSG en plusieurs systèmes notifiés afin de respecter les limites d'epfd pour une seule source de brouillage. Nous </w:t>
      </w:r>
      <w:r w:rsidR="002150E8" w:rsidRPr="00CF76F2">
        <w:t>constatons</w:t>
      </w:r>
      <w:r w:rsidR="009F422F" w:rsidRPr="00CF76F2">
        <w:t xml:space="preserve"> que des travaux </w:t>
      </w:r>
      <w:r w:rsidR="00F26CD8" w:rsidRPr="00CF76F2">
        <w:t>en la matière</w:t>
      </w:r>
      <w:r w:rsidR="009F422F" w:rsidRPr="00CF76F2">
        <w:t xml:space="preserve"> sont actuellement menés au titre de la Question J du point 7 de l'ordre du jour de la CMR-23.</w:t>
      </w:r>
    </w:p>
    <w:p w14:paraId="40F72030" w14:textId="77777777" w:rsidR="00135F5A" w:rsidRPr="00CF76F2" w:rsidRDefault="00BE3212">
      <w:pPr>
        <w:pStyle w:val="Proposal"/>
      </w:pPr>
      <w:r w:rsidRPr="00CF76F2">
        <w:tab/>
        <w:t>CHN/111A25A3/2</w:t>
      </w:r>
    </w:p>
    <w:p w14:paraId="639AB670" w14:textId="60F0CDDD" w:rsidR="00135F5A" w:rsidRPr="00CF76F2" w:rsidRDefault="00726FC0" w:rsidP="00984CC9">
      <w:pPr>
        <w:pStyle w:val="Heading3"/>
      </w:pPr>
      <w:r w:rsidRPr="00CF76F2">
        <w:t>3.1.4</w:t>
      </w:r>
      <w:r w:rsidRPr="00CF76F2">
        <w:tab/>
      </w:r>
      <w:r w:rsidR="002150E8" w:rsidRPr="00CF76F2">
        <w:t>Différentes altitudes orbitales dans un système à satellites non OSG</w:t>
      </w:r>
    </w:p>
    <w:p w14:paraId="25154730" w14:textId="555BE6B1" w:rsidR="00726FC0" w:rsidRPr="00CF76F2" w:rsidRDefault="003D784D" w:rsidP="00AB7FDA">
      <w:pPr>
        <w:pBdr>
          <w:top w:val="single" w:sz="4" w:space="1" w:color="auto"/>
          <w:left w:val="single" w:sz="4" w:space="4" w:color="auto"/>
          <w:bottom w:val="single" w:sz="4" w:space="1" w:color="auto"/>
          <w:right w:val="single" w:sz="4" w:space="4" w:color="auto"/>
        </w:pBdr>
        <w:rPr>
          <w:highlight w:val="yellow"/>
        </w:rPr>
      </w:pPr>
      <w:r w:rsidRPr="00CF76F2">
        <w:t xml:space="preserve">Si </w:t>
      </w:r>
      <w:r w:rsidR="002150E8" w:rsidRPr="00CF76F2">
        <w:t>un système non OSG n'</w:t>
      </w:r>
      <w:r w:rsidR="00726FC0" w:rsidRPr="00CF76F2">
        <w:t xml:space="preserve">a </w:t>
      </w:r>
      <w:r w:rsidR="002150E8" w:rsidRPr="00CF76F2">
        <w:t>qu'</w:t>
      </w:r>
      <w:r w:rsidR="00726FC0" w:rsidRPr="00CF76F2">
        <w:t>une seule altitude pour tous les satellites dans tous les plans</w:t>
      </w:r>
      <w:r w:rsidR="002150E8" w:rsidRPr="00CF76F2">
        <w:t>, la puissance surfacique</w:t>
      </w:r>
      <w:r w:rsidRPr="00CF76F2">
        <w:t xml:space="preserve"> </w:t>
      </w:r>
      <w:r w:rsidR="00171A12" w:rsidRPr="00CF76F2">
        <w:t xml:space="preserve">produite </w:t>
      </w:r>
      <w:r w:rsidRPr="00CF76F2">
        <w:t>en direction de la surface de la Terre est calculée à partir d'une longitude orbitale unique à différents angles d'arrivée, afin de déterminer le dépassement de la puissance surfacique pour chaque assignation de fréquence.</w:t>
      </w:r>
    </w:p>
    <w:p w14:paraId="7C5AB4A9" w14:textId="28738305" w:rsidR="00726FC0" w:rsidRPr="00CF76F2" w:rsidRDefault="00726FC0" w:rsidP="00726FC0">
      <w:pPr>
        <w:pBdr>
          <w:top w:val="single" w:sz="4" w:space="1" w:color="auto"/>
          <w:left w:val="single" w:sz="4" w:space="4" w:color="auto"/>
          <w:bottom w:val="single" w:sz="4" w:space="1" w:color="auto"/>
          <w:right w:val="single" w:sz="4" w:space="4" w:color="auto"/>
        </w:pBdr>
        <w:rPr>
          <w:highlight w:val="yellow"/>
        </w:rPr>
      </w:pPr>
      <w:r w:rsidRPr="00CF76F2">
        <w:t>En revanche, lorsque les systèmes à satellites non OSG comportent plus d'une altitude dans la constellation, la puissance surfacique doit être calculée pour chacune des différentes altitudes. Si la limite de puissance surfacique est dépassée pour une altitude et qu'une conclusion défavorable doit être rendue pour ce cas, il faudrait scinder le faisceau afin de représenter la relation entre les orbites et les faisceaux, puis subdiviser également les groupes, afin de rendre des conclusions en conséquence pour les assignations de fréquence.</w:t>
      </w:r>
    </w:p>
    <w:p w14:paraId="0C5DF2DA" w14:textId="4ED451B0" w:rsidR="00726FC0" w:rsidRPr="00CF76F2" w:rsidRDefault="00171A12" w:rsidP="00726FC0">
      <w:pPr>
        <w:pBdr>
          <w:top w:val="single" w:sz="4" w:space="1" w:color="auto"/>
          <w:left w:val="single" w:sz="4" w:space="4" w:color="auto"/>
          <w:bottom w:val="single" w:sz="4" w:space="1" w:color="auto"/>
          <w:right w:val="single" w:sz="4" w:space="4" w:color="auto"/>
        </w:pBdr>
        <w:rPr>
          <w:highlight w:val="yellow"/>
        </w:rPr>
      </w:pPr>
      <w:r w:rsidRPr="00CF76F2">
        <w:t>Dans certains cas, les systèmes non OSG présentent des complexités en matière de configuration (par exemple en ayant des altitudes et des configurations de faisceaux</w:t>
      </w:r>
      <w:r w:rsidRPr="00CF76F2">
        <w:rPr>
          <w:color w:val="000000"/>
        </w:rPr>
        <w:t xml:space="preserve"> différentes, ou une seule altitude mais une configuration faisceau/plan orbital ou faisceau/satellite complexe) qui dépassent la capacité des tables correspondantes de la base de données SNS et que le Bureau a dû traiter manuellement avec d'autres moyens.</w:t>
      </w:r>
    </w:p>
    <w:p w14:paraId="45179312" w14:textId="74CB5E7C" w:rsidR="00726FC0" w:rsidRPr="00CF76F2" w:rsidRDefault="00171A12" w:rsidP="00AB7FDA">
      <w:pPr>
        <w:pBdr>
          <w:top w:val="single" w:sz="4" w:space="1" w:color="auto"/>
          <w:left w:val="single" w:sz="4" w:space="4" w:color="auto"/>
          <w:bottom w:val="single" w:sz="4" w:space="1" w:color="auto"/>
          <w:right w:val="single" w:sz="4" w:space="4" w:color="auto"/>
        </w:pBdr>
      </w:pPr>
      <w:r w:rsidRPr="00CF76F2">
        <w:t>É</w:t>
      </w:r>
      <w:r w:rsidR="00726FC0" w:rsidRPr="00CF76F2">
        <w:t>tant donné que les fiches de notification de satellites non OSG sont de plus en plus complexes, le Bureau améliore ses outils internes afin d'automatiser le processus d'examen de la puissance surfacique.</w:t>
      </w:r>
    </w:p>
    <w:p w14:paraId="4A164F87" w14:textId="414343D8" w:rsidR="00726FC0" w:rsidRPr="00CF76F2" w:rsidRDefault="00226A6C" w:rsidP="00AB7FDA">
      <w:r w:rsidRPr="00CF76F2">
        <w:rPr>
          <w:b/>
          <w:bCs/>
        </w:rPr>
        <w:t>Vues</w:t>
      </w:r>
      <w:r w:rsidR="00726FC0" w:rsidRPr="00CF76F2">
        <w:rPr>
          <w:b/>
          <w:bCs/>
        </w:rPr>
        <w:t xml:space="preserve"> et propositions:</w:t>
      </w:r>
      <w:r w:rsidR="00C338FD" w:rsidRPr="00CF76F2">
        <w:t xml:space="preserve"> Nous proposons </w:t>
      </w:r>
      <w:r w:rsidR="00A33274" w:rsidRPr="00CF76F2">
        <w:t>qu'il soit demandé</w:t>
      </w:r>
      <w:r w:rsidR="00C338FD" w:rsidRPr="00CF76F2">
        <w:t xml:space="preserve"> aux administrations </w:t>
      </w:r>
      <w:r w:rsidR="00A33274" w:rsidRPr="00CF76F2">
        <w:t>de notifier</w:t>
      </w:r>
      <w:r w:rsidR="00C338FD" w:rsidRPr="00CF76F2">
        <w:t xml:space="preserve"> le niveau de puissance pour chaque altitude, à moins qu'elles utilisent en réalité </w:t>
      </w:r>
      <w:r w:rsidR="00A33274" w:rsidRPr="00CF76F2">
        <w:t xml:space="preserve">le même niveau de puissance </w:t>
      </w:r>
      <w:r w:rsidR="00C338FD" w:rsidRPr="00CF76F2">
        <w:t xml:space="preserve">pour toutes les altitudes. Les efforts fournis par le Bureau pour améliorer ses outils internes afin d'automatiser </w:t>
      </w:r>
      <w:r w:rsidR="00A33274" w:rsidRPr="00CF76F2">
        <w:t>le processus</w:t>
      </w:r>
      <w:r w:rsidR="00C338FD" w:rsidRPr="00CF76F2">
        <w:t xml:space="preserve"> d'examen </w:t>
      </w:r>
      <w:r w:rsidR="00A33274" w:rsidRPr="00CF76F2">
        <w:t>de la</w:t>
      </w:r>
      <w:r w:rsidR="00C338FD" w:rsidRPr="00CF76F2">
        <w:t xml:space="preserve"> puissance surfacique sont appréciés.</w:t>
      </w:r>
    </w:p>
    <w:p w14:paraId="4155E132" w14:textId="1E85BDAF" w:rsidR="00135F5A" w:rsidRPr="00CF76F2" w:rsidRDefault="00BE3212" w:rsidP="00AB7FDA">
      <w:pPr>
        <w:pStyle w:val="Reasons"/>
      </w:pPr>
      <w:r w:rsidRPr="00CF76F2">
        <w:rPr>
          <w:b/>
        </w:rPr>
        <w:t>Motifs:</w:t>
      </w:r>
      <w:r w:rsidRPr="00CF76F2">
        <w:tab/>
      </w:r>
      <w:r w:rsidR="00C338FD" w:rsidRPr="00CF76F2">
        <w:t xml:space="preserve">Nous estimons que la définition du faisceau devrait </w:t>
      </w:r>
      <w:r w:rsidR="008329C9" w:rsidRPr="00CF76F2">
        <w:t>tenir compte de</w:t>
      </w:r>
      <w:r w:rsidR="00C338FD" w:rsidRPr="00CF76F2">
        <w:t xml:space="preserve"> l'altitude orbitale, et que les valeurs de puissance surfacique et la qualité de fonctionnement des liaisons sont également liées à l'altitude orbitale et à l'angle d'élévation d'exploitation. Par conséquent, </w:t>
      </w:r>
      <w:r w:rsidR="00EB468E" w:rsidRPr="00CF76F2">
        <w:t xml:space="preserve">il devrait être </w:t>
      </w:r>
      <w:r w:rsidR="00EB468E" w:rsidRPr="00CF76F2">
        <w:lastRenderedPageBreak/>
        <w:t xml:space="preserve">également envisagé que l'outil servant à l'examen </w:t>
      </w:r>
      <w:r w:rsidR="00D82BFB" w:rsidRPr="00CF76F2">
        <w:t xml:space="preserve">de la puissance surfacique </w:t>
      </w:r>
      <w:r w:rsidR="00EB468E" w:rsidRPr="00CF76F2">
        <w:t>prenne</w:t>
      </w:r>
      <w:r w:rsidR="00C338FD" w:rsidRPr="00CF76F2">
        <w:t xml:space="preserve"> en charge différents paramètres de puissance pour différentes altitudes et différents plans orbitaux, tout en tenant compte des incidences de l'angle d'élévation d'exploitation minimal du système non OSG.</w:t>
      </w:r>
    </w:p>
    <w:p w14:paraId="16AD1455" w14:textId="77777777" w:rsidR="00135F5A" w:rsidRPr="00CF76F2" w:rsidRDefault="00BE3212">
      <w:pPr>
        <w:pStyle w:val="Proposal"/>
      </w:pPr>
      <w:r w:rsidRPr="00CF76F2">
        <w:tab/>
        <w:t>CHN/111A25A3/3</w:t>
      </w:r>
    </w:p>
    <w:p w14:paraId="08F1BA34" w14:textId="21C1D0C1" w:rsidR="00135F5A" w:rsidRPr="00CF76F2" w:rsidRDefault="00726FC0" w:rsidP="00984CC9">
      <w:pPr>
        <w:pStyle w:val="Heading3"/>
      </w:pPr>
      <w:r w:rsidRPr="00CF76F2">
        <w:t>3.1.4</w:t>
      </w:r>
      <w:r w:rsidRPr="00CF76F2">
        <w:tab/>
        <w:t>Soumission de multiples gabarits dans la même bande de fréquences</w:t>
      </w:r>
    </w:p>
    <w:p w14:paraId="0E1BFED0" w14:textId="4C53EB7D" w:rsidR="00726FC0" w:rsidRPr="00CF76F2" w:rsidRDefault="00726FC0" w:rsidP="00AB7FDA">
      <w:pPr>
        <w:pBdr>
          <w:top w:val="single" w:sz="4" w:space="1" w:color="auto"/>
          <w:left w:val="single" w:sz="4" w:space="4" w:color="auto"/>
          <w:bottom w:val="single" w:sz="4" w:space="1" w:color="auto"/>
          <w:right w:val="single" w:sz="4" w:space="4" w:color="auto"/>
        </w:pBdr>
      </w:pPr>
      <w:r w:rsidRPr="00CF76F2">
        <w:t xml:space="preserve">Dans plusieurs cas, lors de l'examen au titre des numéros </w:t>
      </w:r>
      <w:r w:rsidRPr="00CF76F2">
        <w:rPr>
          <w:b/>
        </w:rPr>
        <w:t>22.5C</w:t>
      </w:r>
      <w:r w:rsidRPr="00CF76F2">
        <w:t xml:space="preserve">, </w:t>
      </w:r>
      <w:r w:rsidRPr="00CF76F2">
        <w:rPr>
          <w:b/>
        </w:rPr>
        <w:t>22.5D</w:t>
      </w:r>
      <w:r w:rsidRPr="00CF76F2">
        <w:t xml:space="preserve"> et </w:t>
      </w:r>
      <w:r w:rsidRPr="00CF76F2">
        <w:rPr>
          <w:b/>
        </w:rPr>
        <w:t>22.5F</w:t>
      </w:r>
      <w:r w:rsidRPr="00CF76F2">
        <w:t>, le Bureau a constaté que de multiples gabarits de puissance surfacique ou de p.i.r.e. sont soumis en vue d'être appliqués dans la même bande de fréquences. De multiples gabarits sont fournis pour modéliser les transmissions pour des types de liaison différents (par exemple, liaison d'utilisateur, liaison de connexion, liaison de service, etc.) ou des diamètres d'antenne de station terrienne différents.</w:t>
      </w:r>
    </w:p>
    <w:p w14:paraId="5865C33B" w14:textId="51346DCF" w:rsidR="00726FC0" w:rsidRPr="00CF76F2" w:rsidRDefault="00BA3EE0" w:rsidP="00AB7FDA">
      <w:pPr>
        <w:pBdr>
          <w:top w:val="single" w:sz="4" w:space="1" w:color="auto"/>
          <w:left w:val="single" w:sz="4" w:space="4" w:color="auto"/>
          <w:bottom w:val="single" w:sz="4" w:space="1" w:color="auto"/>
          <w:right w:val="single" w:sz="4" w:space="4" w:color="auto"/>
        </w:pBdr>
      </w:pPr>
      <w:r w:rsidRPr="00CF76F2">
        <w:t>Le Bureau note ce qui suit</w:t>
      </w:r>
      <w:r w:rsidR="00726FC0" w:rsidRPr="00CF76F2">
        <w:t>:</w:t>
      </w:r>
    </w:p>
    <w:p w14:paraId="4DA9DAD2" w14:textId="4847AB8C" w:rsidR="00726FC0" w:rsidRPr="00CF76F2" w:rsidRDefault="00726FC0" w:rsidP="00AB7FDA">
      <w:pPr>
        <w:pStyle w:val="enumlev1"/>
        <w:pBdr>
          <w:top w:val="single" w:sz="4" w:space="1" w:color="auto"/>
          <w:left w:val="single" w:sz="4" w:space="4" w:color="auto"/>
          <w:bottom w:val="single" w:sz="4" w:space="1" w:color="auto"/>
          <w:right w:val="single" w:sz="4" w:space="4" w:color="auto"/>
        </w:pBdr>
      </w:pPr>
      <w:r w:rsidRPr="00CF76F2">
        <w:t>–</w:t>
      </w:r>
      <w:r w:rsidRPr="00CF76F2">
        <w:tab/>
      </w:r>
      <w:r w:rsidR="00BA3EE0" w:rsidRPr="00CF76F2">
        <w:t xml:space="preserve">Les limites figurant dans les Tableaux </w:t>
      </w:r>
      <w:r w:rsidR="00BA3EE0" w:rsidRPr="00CF76F2">
        <w:rPr>
          <w:b/>
          <w:bCs/>
        </w:rPr>
        <w:t>22-1A</w:t>
      </w:r>
      <w:r w:rsidR="00BA3EE0" w:rsidRPr="00CF76F2">
        <w:t xml:space="preserve"> à </w:t>
      </w:r>
      <w:r w:rsidR="00BA3EE0" w:rsidRPr="00CF76F2">
        <w:rPr>
          <w:b/>
          <w:bCs/>
        </w:rPr>
        <w:t>22-1E</w:t>
      </w:r>
      <w:r w:rsidR="00BA3EE0" w:rsidRPr="00CF76F2">
        <w:t xml:space="preserve"> et dans le</w:t>
      </w:r>
      <w:r w:rsidR="00543E6A" w:rsidRPr="00CF76F2">
        <w:t>s</w:t>
      </w:r>
      <w:r w:rsidR="00BA3EE0" w:rsidRPr="00CF76F2">
        <w:t xml:space="preserve"> Tableau</w:t>
      </w:r>
      <w:r w:rsidR="00543E6A" w:rsidRPr="00CF76F2">
        <w:t xml:space="preserve">x </w:t>
      </w:r>
      <w:r w:rsidR="00543E6A" w:rsidRPr="00CF76F2">
        <w:rPr>
          <w:b/>
        </w:rPr>
        <w:t>22-2</w:t>
      </w:r>
      <w:r w:rsidR="00543E6A" w:rsidRPr="00CF76F2">
        <w:t xml:space="preserve"> et</w:t>
      </w:r>
      <w:r w:rsidR="00BA3EE0" w:rsidRPr="00CF76F2">
        <w:t xml:space="preserve"> </w:t>
      </w:r>
      <w:r w:rsidR="00BA3EE0" w:rsidRPr="00CF76F2">
        <w:rPr>
          <w:b/>
          <w:bCs/>
        </w:rPr>
        <w:t xml:space="preserve">22-3 </w:t>
      </w:r>
      <w:r w:rsidR="00BA3EE0" w:rsidRPr="00CF76F2">
        <w:t xml:space="preserve">s'appliquent à un système en tant qu'ensemble. </w:t>
      </w:r>
      <w:r w:rsidRPr="00CF76F2">
        <w:t>Le fait de procéder à un examen individuel pour chaque liaison ou chaque type de station terrienne ne permet pas de vérifier le respect d'une limite pour une seule source de brouillage pour les cas où ces liaisons ou types de station terrienne sont censés être exploités simultanément dans la même bande de fréquences.</w:t>
      </w:r>
    </w:p>
    <w:p w14:paraId="3B91C31A" w14:textId="0F705A60" w:rsidR="00726FC0" w:rsidRPr="00CF76F2" w:rsidRDefault="00726FC0" w:rsidP="00AB7FDA">
      <w:pPr>
        <w:pStyle w:val="enumlev1"/>
        <w:pBdr>
          <w:top w:val="single" w:sz="4" w:space="1" w:color="auto"/>
          <w:left w:val="single" w:sz="4" w:space="4" w:color="auto"/>
          <w:bottom w:val="single" w:sz="4" w:space="1" w:color="auto"/>
          <w:right w:val="single" w:sz="4" w:space="4" w:color="auto"/>
        </w:pBdr>
      </w:pPr>
      <w:r w:rsidRPr="00CF76F2">
        <w:t>–</w:t>
      </w:r>
      <w:r w:rsidRPr="00CF76F2">
        <w:tab/>
      </w:r>
      <w:r w:rsidR="00BA3EE0" w:rsidRPr="00CF76F2">
        <w:t>La méthode décrite dans la Recommandation UIT-R S.1503 ne permet pas de combiner, pour le calcul de l'epfd, de multiples gabarits dans la même bande de fréquences ou de multiples paramètres d'exploitation différents applicables à la même bande de fréquences.</w:t>
      </w:r>
    </w:p>
    <w:p w14:paraId="3741067C" w14:textId="00E210E6" w:rsidR="00BE3212" w:rsidRPr="00CF76F2" w:rsidRDefault="00BE3212" w:rsidP="00AB7FDA">
      <w:pPr>
        <w:pStyle w:val="enumlev1"/>
        <w:pBdr>
          <w:top w:val="single" w:sz="4" w:space="1" w:color="auto"/>
          <w:left w:val="single" w:sz="4" w:space="4" w:color="auto"/>
          <w:bottom w:val="single" w:sz="4" w:space="1" w:color="auto"/>
          <w:right w:val="single" w:sz="4" w:space="4" w:color="auto"/>
        </w:pBdr>
      </w:pPr>
      <w:r w:rsidRPr="00CF76F2">
        <w:t>–</w:t>
      </w:r>
      <w:r w:rsidRPr="00CF76F2">
        <w:tab/>
        <w:t>De multiples examens pour chaque bande de fréquences obligeraient le Bureau à traiter, examiner et publier différents ensembles de données relatives à l'epfd et risquent de rallonger le délai de publication.</w:t>
      </w:r>
    </w:p>
    <w:p w14:paraId="7BAEFF99" w14:textId="6DD9E5FE" w:rsidR="00BE3212" w:rsidRPr="00CF76F2" w:rsidRDefault="00543E6A" w:rsidP="00984CC9">
      <w:pPr>
        <w:pBdr>
          <w:top w:val="single" w:sz="4" w:space="1" w:color="auto"/>
          <w:left w:val="single" w:sz="4" w:space="4" w:color="auto"/>
          <w:bottom w:val="single" w:sz="4" w:space="1" w:color="auto"/>
          <w:right w:val="single" w:sz="4" w:space="4" w:color="auto"/>
        </w:pBdr>
      </w:pPr>
      <w:r w:rsidRPr="00CF76F2">
        <w:rPr>
          <w:rFonts w:cstheme="minorHAnsi"/>
        </w:rPr>
        <w:t>Compte tenu de ce qui précède</w:t>
      </w:r>
      <w:r w:rsidR="00C25097" w:rsidRPr="00CF76F2">
        <w:rPr>
          <w:rFonts w:cstheme="minorHAnsi"/>
        </w:rPr>
        <w:t xml:space="preserve">, le Bureau </w:t>
      </w:r>
      <w:r w:rsidRPr="00CF76F2">
        <w:rPr>
          <w:rFonts w:cstheme="minorHAnsi"/>
        </w:rPr>
        <w:t xml:space="preserve">accepte de multiples gabarits de p.i.r.e. ou de puissance surfacique pour la même gamme de fréquences uniquement si ces gabarits s'appliquent à des configurations orbitales différentes, ou à des orbites </w:t>
      </w:r>
      <w:r w:rsidR="0000066A" w:rsidRPr="00CF76F2">
        <w:rPr>
          <w:rFonts w:cstheme="minorHAnsi"/>
        </w:rPr>
        <w:t xml:space="preserve">de satellites </w:t>
      </w:r>
      <w:r w:rsidRPr="00CF76F2">
        <w:rPr>
          <w:rFonts w:cstheme="minorHAnsi"/>
        </w:rPr>
        <w:t>et satellites différents. Le Bureau prend</w:t>
      </w:r>
      <w:r w:rsidR="00C25097" w:rsidRPr="00CF76F2">
        <w:rPr>
          <w:rFonts w:cstheme="minorHAnsi"/>
        </w:rPr>
        <w:t xml:space="preserve"> contact avec ces administrations </w:t>
      </w:r>
      <w:r w:rsidRPr="00CF76F2">
        <w:rPr>
          <w:rFonts w:cstheme="minorHAnsi"/>
        </w:rPr>
        <w:t>demandant</w:t>
      </w:r>
      <w:r w:rsidR="00C25097" w:rsidRPr="00CF76F2">
        <w:rPr>
          <w:rFonts w:cstheme="minorHAnsi"/>
        </w:rPr>
        <w:t xml:space="preserve"> </w:t>
      </w:r>
      <w:r w:rsidRPr="00CF76F2">
        <w:rPr>
          <w:rFonts w:cstheme="minorHAnsi"/>
        </w:rPr>
        <w:t xml:space="preserve">d'appliquer de multiples gabarits de p.i.r.e. ou de puissance surfacique à la même gamme de fréquences et leur demande </w:t>
      </w:r>
      <w:r w:rsidR="00C25097" w:rsidRPr="00CF76F2">
        <w:rPr>
          <w:rFonts w:cstheme="minorHAnsi"/>
        </w:rPr>
        <w:t>de fournir, pour une gamme de fréquences donnée, un gabarit de p.i.r.e. ou de puissance surfacique unique tenant compte des émissions de toutes les stations terriennes/spatiales (plusieurs tailles d'antenne, diagrammes d'antenne, st</w:t>
      </w:r>
      <w:r w:rsidRPr="00CF76F2">
        <w:rPr>
          <w:rFonts w:cstheme="minorHAnsi"/>
        </w:rPr>
        <w:t>ratégies de poursuite, etc.).</w:t>
      </w:r>
    </w:p>
    <w:p w14:paraId="0AFE6DA1" w14:textId="3FE28988" w:rsidR="00726FC0" w:rsidRPr="00CF76F2" w:rsidRDefault="00C25097" w:rsidP="00984CC9">
      <w:pPr>
        <w:pBdr>
          <w:top w:val="single" w:sz="4" w:space="1" w:color="auto"/>
          <w:left w:val="single" w:sz="4" w:space="4" w:color="auto"/>
          <w:bottom w:val="single" w:sz="4" w:space="1" w:color="auto"/>
          <w:right w:val="single" w:sz="4" w:space="4" w:color="auto"/>
        </w:pBdr>
      </w:pPr>
      <w:r w:rsidRPr="00CF76F2">
        <w:t>L</w:t>
      </w:r>
      <w:r w:rsidR="0000066A" w:rsidRPr="00CF76F2">
        <w:t>e Bureau invite l</w:t>
      </w:r>
      <w:r w:rsidRPr="00CF76F2">
        <w:t>a Conférence à approuver la pratique susmentionnée.</w:t>
      </w:r>
    </w:p>
    <w:p w14:paraId="03ECB4A7" w14:textId="2A0E0AFB" w:rsidR="00726FC0" w:rsidRPr="00CF76F2" w:rsidRDefault="00226A6C" w:rsidP="00AB7FDA">
      <w:r w:rsidRPr="00CF76F2">
        <w:rPr>
          <w:b/>
          <w:bCs/>
        </w:rPr>
        <w:t>Vues</w:t>
      </w:r>
      <w:r w:rsidR="00BE3212" w:rsidRPr="00CF76F2">
        <w:rPr>
          <w:b/>
          <w:bCs/>
        </w:rPr>
        <w:t xml:space="preserve"> et propositions</w:t>
      </w:r>
      <w:r w:rsidR="00BE3212" w:rsidRPr="00CF76F2">
        <w:t>:</w:t>
      </w:r>
      <w:r w:rsidR="007F3521" w:rsidRPr="00CF76F2">
        <w:t xml:space="preserve"> Selon nous, tant que la Recommandation UIT-R S.1503 n'aura pas été actualisée pour y </w:t>
      </w:r>
      <w:r w:rsidR="0000066A" w:rsidRPr="00CF76F2">
        <w:t>inclure le traitement</w:t>
      </w:r>
      <w:r w:rsidR="007F3521" w:rsidRPr="00CF76F2">
        <w:t xml:space="preserve"> de multiples gabarits dans la même bande de fréquences, le Bureau ne devrait pas accepter de multiples gabarits, afin d'éviter </w:t>
      </w:r>
      <w:r w:rsidR="0000066A" w:rsidRPr="00CF76F2">
        <w:t>de rendre l'évaluation difficile</w:t>
      </w:r>
      <w:r w:rsidR="007F3521" w:rsidRPr="00CF76F2">
        <w:t xml:space="preserve">. Nous proposons que la Conférence charge le Groupe de travail 4A </w:t>
      </w:r>
      <w:r w:rsidR="00C60B27" w:rsidRPr="00CF76F2">
        <w:t xml:space="preserve">d'accélérer </w:t>
      </w:r>
      <w:r w:rsidR="0000066A" w:rsidRPr="00CF76F2">
        <w:t>le processus</w:t>
      </w:r>
      <w:r w:rsidR="00C60B27" w:rsidRPr="00CF76F2">
        <w:t xml:space="preserve"> de révision de la Recommandation UIT-R S.1503 et de soumettre la </w:t>
      </w:r>
      <w:r w:rsidR="0000066A" w:rsidRPr="00CF76F2">
        <w:t>version révisée</w:t>
      </w:r>
      <w:r w:rsidR="00C77CF8" w:rsidRPr="00CF76F2">
        <w:t xml:space="preserve"> accompagnée de solutions pertinentes pour approbation avant </w:t>
      </w:r>
      <w:r w:rsidR="0000066A" w:rsidRPr="00CF76F2">
        <w:t xml:space="preserve">la </w:t>
      </w:r>
      <w:r w:rsidR="00C77CF8" w:rsidRPr="00CF76F2">
        <w:t>fin de l'année 2025.</w:t>
      </w:r>
    </w:p>
    <w:p w14:paraId="3C810EA5" w14:textId="02A8797C" w:rsidR="00135F5A" w:rsidRPr="00CF76F2" w:rsidRDefault="00BE3212" w:rsidP="00B1304C">
      <w:pPr>
        <w:pStyle w:val="Reasons"/>
        <w:keepLines/>
      </w:pPr>
      <w:r w:rsidRPr="00CF76F2">
        <w:rPr>
          <w:b/>
        </w:rPr>
        <w:lastRenderedPageBreak/>
        <w:t>Motifs:</w:t>
      </w:r>
      <w:r w:rsidRPr="00CF76F2">
        <w:tab/>
      </w:r>
      <w:r w:rsidR="00C77CF8" w:rsidRPr="00CF76F2">
        <w:t>La version en vigueur de la Recommandation UIT-R S.1503 ne permet pas de combiner de multiples gabarits dans la même bande de fréquences</w:t>
      </w:r>
      <w:r w:rsidR="0000066A" w:rsidRPr="00CF76F2">
        <w:t xml:space="preserve"> </w:t>
      </w:r>
      <w:r w:rsidR="00F73F47" w:rsidRPr="00CF76F2">
        <w:t>pour</w:t>
      </w:r>
      <w:r w:rsidR="0000066A" w:rsidRPr="00CF76F2">
        <w:t xml:space="preserve"> la validation </w:t>
      </w:r>
      <w:r w:rsidR="00F73F47" w:rsidRPr="00CF76F2">
        <w:t>de l'epfd</w:t>
      </w:r>
      <w:r w:rsidR="00C77CF8" w:rsidRPr="00CF76F2">
        <w:t xml:space="preserve">, et ne permet pas non plus de combiner de multiples paramètres d'exploitation différents applicables à la même bande de fréquences, </w:t>
      </w:r>
      <w:r w:rsidR="00322681" w:rsidRPr="00CF76F2">
        <w:t xml:space="preserve">étant donné qu'il n'est possible d'utiliser différents gabarits que pour différents satellites. </w:t>
      </w:r>
      <w:r w:rsidR="0000066A" w:rsidRPr="00CF76F2">
        <w:t>Si</w:t>
      </w:r>
      <w:r w:rsidR="00322681" w:rsidRPr="00CF76F2">
        <w:t xml:space="preserve"> une administration soumet </w:t>
      </w:r>
      <w:r w:rsidR="0000066A" w:rsidRPr="00CF76F2">
        <w:t xml:space="preserve">aujourd'hui </w:t>
      </w:r>
      <w:r w:rsidR="00322681" w:rsidRPr="00CF76F2">
        <w:t xml:space="preserve">de multiples gabarits, le BR peut seulement effectuer la vérification séparément et </w:t>
      </w:r>
      <w:r w:rsidR="0000066A" w:rsidRPr="00CF76F2">
        <w:t>se servir du</w:t>
      </w:r>
      <w:r w:rsidR="00322681" w:rsidRPr="00CF76F2">
        <w:t xml:space="preserve"> résultat des essais </w:t>
      </w:r>
      <w:r w:rsidR="0000066A" w:rsidRPr="00CF76F2">
        <w:t xml:space="preserve">correspondant au cas </w:t>
      </w:r>
      <w:r w:rsidR="00322681" w:rsidRPr="00CF76F2">
        <w:t xml:space="preserve">le plus défavorable comme fondement de la conclusion. Dans ce cas, l'administration a seulement besoin de soumettre le gabarit pour </w:t>
      </w:r>
      <w:r w:rsidR="00F73F47" w:rsidRPr="00CF76F2">
        <w:t>le cas de brouillage</w:t>
      </w:r>
      <w:r w:rsidR="00322681" w:rsidRPr="00CF76F2">
        <w:t xml:space="preserve"> le</w:t>
      </w:r>
      <w:r w:rsidR="00F73F47" w:rsidRPr="00CF76F2">
        <w:t xml:space="preserve"> plus défavorable</w:t>
      </w:r>
      <w:r w:rsidR="00322681" w:rsidRPr="00CF76F2">
        <w:t>.</w:t>
      </w:r>
    </w:p>
    <w:p w14:paraId="3E1B9ACC" w14:textId="77777777" w:rsidR="00135F5A" w:rsidRPr="00CF76F2" w:rsidRDefault="00BE3212">
      <w:pPr>
        <w:pStyle w:val="Proposal"/>
      </w:pPr>
      <w:r w:rsidRPr="00CF76F2">
        <w:tab/>
        <w:t>CHN/111A25A3/4</w:t>
      </w:r>
    </w:p>
    <w:p w14:paraId="440E4931" w14:textId="3957F279" w:rsidR="00135F5A" w:rsidRPr="00CF76F2" w:rsidRDefault="00BE3212" w:rsidP="00BE3212">
      <w:pPr>
        <w:pStyle w:val="Heading3"/>
      </w:pPr>
      <w:r w:rsidRPr="00CF76F2">
        <w:t>3.1.4</w:t>
      </w:r>
      <w:r w:rsidRPr="00CF76F2">
        <w:tab/>
      </w:r>
      <w:r w:rsidR="00322681" w:rsidRPr="00CF76F2">
        <w:t>Utilisation des ressources et recouvrement des coûts</w:t>
      </w:r>
    </w:p>
    <w:p w14:paraId="01CE4A63" w14:textId="3A55E753" w:rsidR="00BE3212" w:rsidRPr="00CF76F2" w:rsidRDefault="00322681" w:rsidP="00AB7FDA">
      <w:pPr>
        <w:pBdr>
          <w:top w:val="single" w:sz="4" w:space="1" w:color="auto"/>
          <w:left w:val="single" w:sz="4" w:space="4" w:color="auto"/>
          <w:bottom w:val="single" w:sz="4" w:space="1" w:color="auto"/>
          <w:right w:val="single" w:sz="4" w:space="4" w:color="auto"/>
        </w:pBdr>
      </w:pPr>
      <w:r w:rsidRPr="00CF76F2">
        <w:t xml:space="preserve">Sur la base des renseignements indiqués au § 3.1.4, le Bureau </w:t>
      </w:r>
      <w:r w:rsidR="00F73F47" w:rsidRPr="00CF76F2">
        <w:t>constate</w:t>
      </w:r>
      <w:r w:rsidR="000D4CDB" w:rsidRPr="00CF76F2">
        <w:t xml:space="preserve"> que trois principaux éléments mobilisent des ressources considérables dans le cadre des examens d'ordre réglementaire de l'Article </w:t>
      </w:r>
      <w:r w:rsidR="000D4CDB" w:rsidRPr="00CF76F2">
        <w:rPr>
          <w:b/>
        </w:rPr>
        <w:t>22</w:t>
      </w:r>
      <w:r w:rsidR="00BE3212" w:rsidRPr="00CF76F2">
        <w:t>:</w:t>
      </w:r>
    </w:p>
    <w:p w14:paraId="44A2755D" w14:textId="6A23AABF" w:rsidR="00BE3212" w:rsidRPr="00CF76F2" w:rsidRDefault="00BE3212" w:rsidP="00AB7FDA">
      <w:pPr>
        <w:pStyle w:val="enumlev1"/>
        <w:pBdr>
          <w:top w:val="single" w:sz="4" w:space="1" w:color="auto"/>
          <w:left w:val="single" w:sz="4" w:space="4" w:color="auto"/>
          <w:bottom w:val="single" w:sz="4" w:space="1" w:color="auto"/>
          <w:right w:val="single" w:sz="4" w:space="4" w:color="auto"/>
        </w:pBdr>
      </w:pPr>
      <w:r w:rsidRPr="00CF76F2">
        <w:t>1</w:t>
      </w:r>
      <w:r w:rsidR="00CF76F2" w:rsidRPr="00CF76F2">
        <w:t>)</w:t>
      </w:r>
      <w:r w:rsidRPr="00CF76F2">
        <w:tab/>
        <w:t xml:space="preserve">la préparation des données d'entrée pour l'examen de la conformité aux limites </w:t>
      </w:r>
      <w:r w:rsidR="000D4CDB" w:rsidRPr="00CF76F2">
        <w:t xml:space="preserve">d'epfd figurant dans l'Article </w:t>
      </w:r>
      <w:r w:rsidR="000D4CDB" w:rsidRPr="00CF76F2">
        <w:rPr>
          <w:b/>
        </w:rPr>
        <w:t>22</w:t>
      </w:r>
      <w:r w:rsidR="000D4CDB" w:rsidRPr="00CF76F2">
        <w:t>;</w:t>
      </w:r>
    </w:p>
    <w:p w14:paraId="7063DBE3" w14:textId="755A4FFA" w:rsidR="00BE3212" w:rsidRPr="00CF76F2" w:rsidRDefault="00BE3212" w:rsidP="00AB7FDA">
      <w:pPr>
        <w:pStyle w:val="enumlev1"/>
        <w:pBdr>
          <w:top w:val="single" w:sz="4" w:space="1" w:color="auto"/>
          <w:left w:val="single" w:sz="4" w:space="4" w:color="auto"/>
          <w:bottom w:val="single" w:sz="4" w:space="1" w:color="auto"/>
          <w:right w:val="single" w:sz="4" w:space="4" w:color="auto"/>
        </w:pBdr>
      </w:pPr>
      <w:r w:rsidRPr="00CF76F2">
        <w:t>2</w:t>
      </w:r>
      <w:r w:rsidR="00CF76F2" w:rsidRPr="00CF76F2">
        <w:t>)</w:t>
      </w:r>
      <w:r w:rsidRPr="00CF76F2">
        <w:tab/>
      </w:r>
      <w:r w:rsidR="000D4CDB" w:rsidRPr="00CF76F2">
        <w:t>le développement des logiciels; et</w:t>
      </w:r>
    </w:p>
    <w:p w14:paraId="0F0A3A69" w14:textId="24BB2DEC" w:rsidR="00BE3212" w:rsidRPr="00CF76F2" w:rsidRDefault="00BE3212" w:rsidP="00AB7FDA">
      <w:pPr>
        <w:pStyle w:val="enumlev1"/>
        <w:pBdr>
          <w:top w:val="single" w:sz="4" w:space="1" w:color="auto"/>
          <w:left w:val="single" w:sz="4" w:space="4" w:color="auto"/>
          <w:bottom w:val="single" w:sz="4" w:space="1" w:color="auto"/>
          <w:right w:val="single" w:sz="4" w:space="4" w:color="auto"/>
        </w:pBdr>
      </w:pPr>
      <w:r w:rsidRPr="00CF76F2">
        <w:t>3</w:t>
      </w:r>
      <w:r w:rsidR="00CF76F2" w:rsidRPr="00CF76F2">
        <w:t>)</w:t>
      </w:r>
      <w:r w:rsidRPr="00CF76F2">
        <w:tab/>
      </w:r>
      <w:r w:rsidR="000D4CDB" w:rsidRPr="00CF76F2">
        <w:t>la mise à jour des logiciels.</w:t>
      </w:r>
    </w:p>
    <w:p w14:paraId="3AE705B1" w14:textId="0061EF56" w:rsidR="00BE3212" w:rsidRPr="00CF76F2" w:rsidRDefault="00F73F47" w:rsidP="00AB7FDA">
      <w:pPr>
        <w:pBdr>
          <w:top w:val="single" w:sz="4" w:space="1" w:color="auto"/>
          <w:left w:val="single" w:sz="4" w:space="4" w:color="auto"/>
          <w:bottom w:val="single" w:sz="4" w:space="1" w:color="auto"/>
          <w:right w:val="single" w:sz="4" w:space="4" w:color="auto"/>
        </w:pBdr>
      </w:pPr>
      <w:r w:rsidRPr="00CF76F2">
        <w:rPr>
          <w:rFonts w:cstheme="minorHAnsi"/>
          <w:szCs w:val="24"/>
        </w:rPr>
        <w:t>En outre, l</w:t>
      </w:r>
      <w:r w:rsidR="000D4CDB" w:rsidRPr="00CF76F2">
        <w:rPr>
          <w:rFonts w:cstheme="minorHAnsi"/>
          <w:szCs w:val="24"/>
        </w:rPr>
        <w:t>e Bureau fait remarquer que sa charge de travail dans ce domaine d'activité a considérablement augmenté</w:t>
      </w:r>
      <w:r w:rsidR="000D4CDB" w:rsidRPr="00CF76F2">
        <w:t>.</w:t>
      </w:r>
    </w:p>
    <w:p w14:paraId="3DDA84E2" w14:textId="28185E6F" w:rsidR="00BE3212" w:rsidRPr="00CF76F2" w:rsidRDefault="000D4CDB" w:rsidP="00AB7FDA">
      <w:pPr>
        <w:pBdr>
          <w:top w:val="single" w:sz="4" w:space="1" w:color="auto"/>
          <w:left w:val="single" w:sz="4" w:space="4" w:color="auto"/>
          <w:bottom w:val="single" w:sz="4" w:space="1" w:color="auto"/>
          <w:right w:val="single" w:sz="4" w:space="4" w:color="auto"/>
        </w:pBdr>
      </w:pPr>
      <w:r w:rsidRPr="00CF76F2">
        <w:rPr>
          <w:rFonts w:cstheme="minorHAnsi"/>
          <w:szCs w:val="24"/>
        </w:rPr>
        <w:t xml:space="preserve">Le Bureau souligne que </w:t>
      </w:r>
      <w:r w:rsidR="0085221F" w:rsidRPr="00CF76F2">
        <w:rPr>
          <w:rFonts w:cstheme="minorHAnsi"/>
          <w:szCs w:val="24"/>
        </w:rPr>
        <w:t>cette situation a concouru</w:t>
      </w:r>
      <w:r w:rsidRPr="00CF76F2">
        <w:rPr>
          <w:rFonts w:cstheme="minorHAnsi"/>
          <w:szCs w:val="24"/>
        </w:rPr>
        <w:t xml:space="preserve"> à allonger le délai de traitement des demandes de coordination pour les réseaux à satellite OSG comme pour les réseaux à satellite non OSG, avec un dépassement du délai réglementaire de quatre mois</w:t>
      </w:r>
      <w:r w:rsidRPr="00CF76F2">
        <w:t>.</w:t>
      </w:r>
    </w:p>
    <w:p w14:paraId="12CD6B4B" w14:textId="2FF3E984" w:rsidR="000D4CDB" w:rsidRPr="00CF76F2" w:rsidRDefault="000D4CDB" w:rsidP="00AB7FDA">
      <w:pPr>
        <w:pBdr>
          <w:top w:val="single" w:sz="4" w:space="1" w:color="auto"/>
          <w:left w:val="single" w:sz="4" w:space="4" w:color="auto"/>
          <w:bottom w:val="single" w:sz="4" w:space="1" w:color="auto"/>
          <w:right w:val="single" w:sz="4" w:space="4" w:color="auto"/>
        </w:pBdr>
        <w:rPr>
          <w:rFonts w:cs="Calibri"/>
          <w:color w:val="000000"/>
        </w:rPr>
      </w:pPr>
      <w:r w:rsidRPr="00CF76F2">
        <w:rPr>
          <w:rFonts w:cs="Calibri"/>
          <w:color w:val="000000"/>
        </w:rPr>
        <w:t>Le Bureau invite la Conférence à examiner des solutions réglementaires pour résoudre le problème que représentent ces fiches de notification de satellites non OSG exceptionnellement volumineuses et complexes.</w:t>
      </w:r>
    </w:p>
    <w:p w14:paraId="3B523376" w14:textId="06A3DDB7" w:rsidR="000D4CDB" w:rsidRPr="00CF76F2" w:rsidRDefault="000D4CDB" w:rsidP="00AB7FDA">
      <w:pPr>
        <w:pBdr>
          <w:top w:val="single" w:sz="4" w:space="1" w:color="auto"/>
          <w:left w:val="single" w:sz="4" w:space="4" w:color="auto"/>
          <w:bottom w:val="single" w:sz="4" w:space="1" w:color="auto"/>
          <w:right w:val="single" w:sz="4" w:space="4" w:color="auto"/>
        </w:pBdr>
        <w:rPr>
          <w:rFonts w:cs="Calibri"/>
          <w:color w:val="000000"/>
        </w:rPr>
      </w:pPr>
      <w:r w:rsidRPr="00CF76F2">
        <w:rPr>
          <w:rFonts w:cs="Calibri"/>
          <w:color w:val="000000"/>
        </w:rPr>
        <w:t>Le Bureau invite la Conférence à approuver la pratique susmentionnée.</w:t>
      </w:r>
    </w:p>
    <w:p w14:paraId="76487428" w14:textId="7EEE91E6" w:rsidR="00BE3212" w:rsidRPr="00CF76F2" w:rsidRDefault="00226A6C" w:rsidP="00AB7FDA">
      <w:r w:rsidRPr="00CF76F2">
        <w:rPr>
          <w:b/>
          <w:bCs/>
        </w:rPr>
        <w:t>Vues</w:t>
      </w:r>
      <w:r w:rsidR="00BE3212" w:rsidRPr="00CF76F2">
        <w:rPr>
          <w:b/>
          <w:bCs/>
        </w:rPr>
        <w:t xml:space="preserve"> et propositions:</w:t>
      </w:r>
      <w:r w:rsidR="00572607" w:rsidRPr="00CF76F2">
        <w:t xml:space="preserve"> Nous estimons que les droits au titre du recouvrement des coûts pour ces soumissions devrai</w:t>
      </w:r>
      <w:r w:rsidR="0085221F" w:rsidRPr="00CF76F2">
        <w:t>en</w:t>
      </w:r>
      <w:r w:rsidR="00572607" w:rsidRPr="00CF76F2">
        <w:t>t être proportionnel</w:t>
      </w:r>
      <w:r w:rsidR="0085221F" w:rsidRPr="00CF76F2">
        <w:t>s</w:t>
      </w:r>
      <w:r w:rsidR="00572607" w:rsidRPr="00CF76F2">
        <w:t xml:space="preserve"> aux ressources mobilisées pour examiner les </w:t>
      </w:r>
      <w:r w:rsidR="00572607" w:rsidRPr="00CF76F2">
        <w:rPr>
          <w:rFonts w:cs="Calibri"/>
          <w:color w:val="000000"/>
        </w:rPr>
        <w:t xml:space="preserve">fiches de notification de systèmes à satellites non OSG exceptionnellement volumineuses et complexes. Un groupe d'experts sur la Décision 482 ayant été créé, il est recommandé que les questions </w:t>
      </w:r>
      <w:r w:rsidR="0085221F" w:rsidRPr="00CF76F2">
        <w:rPr>
          <w:rFonts w:cs="Calibri"/>
          <w:color w:val="000000"/>
        </w:rPr>
        <w:t>sur ce sujet</w:t>
      </w:r>
      <w:r w:rsidR="00572607" w:rsidRPr="00CF76F2">
        <w:rPr>
          <w:rFonts w:cs="Calibri"/>
          <w:color w:val="000000"/>
        </w:rPr>
        <w:t xml:space="preserve"> soient soumises au Groupe d'experts pour examen. Nous </w:t>
      </w:r>
      <w:r w:rsidR="00E015A3" w:rsidRPr="00CF76F2">
        <w:rPr>
          <w:rFonts w:cs="Calibri"/>
          <w:color w:val="000000"/>
        </w:rPr>
        <w:t>appuyons l'invitation formulée par le Bureau à l'intention de la Conférence à examiner des solutions réglementaires pour résoudre le problème que représente l'examen des fiches de notification de satellites non OSG exceptionnellement volumineuses et complexes.</w:t>
      </w:r>
    </w:p>
    <w:p w14:paraId="731AC8C5" w14:textId="39FA4DC5" w:rsidR="00135F5A" w:rsidRPr="00CF76F2" w:rsidRDefault="00BE3212" w:rsidP="00B1304C">
      <w:pPr>
        <w:pStyle w:val="Reasons"/>
        <w:keepLines/>
      </w:pPr>
      <w:r w:rsidRPr="00CF76F2">
        <w:rPr>
          <w:b/>
        </w:rPr>
        <w:lastRenderedPageBreak/>
        <w:t>Motifs:</w:t>
      </w:r>
      <w:r w:rsidRPr="00CF76F2">
        <w:tab/>
      </w:r>
      <w:r w:rsidR="00E015A3" w:rsidRPr="00CF76F2">
        <w:t xml:space="preserve">La méthode de validation </w:t>
      </w:r>
      <w:r w:rsidR="000A47B5" w:rsidRPr="00CF76F2">
        <w:t xml:space="preserve">des limites d'epfd </w:t>
      </w:r>
      <w:r w:rsidR="0085221F" w:rsidRPr="00CF76F2">
        <w:t xml:space="preserve">actuelle </w:t>
      </w:r>
      <w:r w:rsidR="000A47B5" w:rsidRPr="00CF76F2">
        <w:t xml:space="preserve">nécessite, premièrement, </w:t>
      </w:r>
      <w:r w:rsidR="00E015A3" w:rsidRPr="00CF76F2">
        <w:t xml:space="preserve">que le Bureau prépare </w:t>
      </w:r>
      <w:r w:rsidR="0085221F" w:rsidRPr="00CF76F2">
        <w:t>l</w:t>
      </w:r>
      <w:r w:rsidR="00E015A3" w:rsidRPr="00CF76F2">
        <w:t xml:space="preserve">es données d'entrée et génère les fichiers de base de données </w:t>
      </w:r>
      <w:r w:rsidR="0085221F" w:rsidRPr="00CF76F2">
        <w:t>concernant le SRS et l</w:t>
      </w:r>
      <w:r w:rsidR="00E015A3" w:rsidRPr="00CF76F2">
        <w:t xml:space="preserve">es gabarits afin de vérifier l'epfd. </w:t>
      </w:r>
      <w:r w:rsidR="0085221F" w:rsidRPr="00CF76F2">
        <w:t>En ce qui concerne les</w:t>
      </w:r>
      <w:r w:rsidR="00E015A3" w:rsidRPr="00CF76F2">
        <w:t xml:space="preserve"> </w:t>
      </w:r>
      <w:r w:rsidR="0085221F" w:rsidRPr="00CF76F2">
        <w:t xml:space="preserve">grandes </w:t>
      </w:r>
      <w:r w:rsidR="00E015A3" w:rsidRPr="00CF76F2">
        <w:t xml:space="preserve">constellations, </w:t>
      </w:r>
      <w:r w:rsidR="0085221F" w:rsidRPr="00CF76F2">
        <w:t>la mise au point</w:t>
      </w:r>
      <w:r w:rsidR="00E015A3" w:rsidRPr="00CF76F2">
        <w:t xml:space="preserve"> d'une base de données du SRS est une tâche particulièrement lourde. Ensuite, la Recommandation</w:t>
      </w:r>
      <w:r w:rsidR="00CF76F2" w:rsidRPr="00CF76F2">
        <w:t> </w:t>
      </w:r>
      <w:r w:rsidR="00E015A3" w:rsidRPr="00CF76F2">
        <w:t>UIT-R S.1503 existante a été mise à jour</w:t>
      </w:r>
      <w:r w:rsidR="000A47B5" w:rsidRPr="00CF76F2">
        <w:t xml:space="preserve"> et remplacée par la Recommandation</w:t>
      </w:r>
      <w:r w:rsidR="00CF76F2" w:rsidRPr="00CF76F2">
        <w:t> </w:t>
      </w:r>
      <w:r w:rsidR="000A47B5" w:rsidRPr="00CF76F2">
        <w:t xml:space="preserve">UIT-R S.1503-4, mais la version du logiciel de validation est toujours </w:t>
      </w:r>
      <w:r w:rsidR="0085221F" w:rsidRPr="00CF76F2">
        <w:t>la version</w:t>
      </w:r>
      <w:r w:rsidR="00CF76F2" w:rsidRPr="00CF76F2">
        <w:t> </w:t>
      </w:r>
      <w:r w:rsidR="000A47B5" w:rsidRPr="00CF76F2">
        <w:t xml:space="preserve">1503-2. Par conséquent, le Bureau doit mobiliser </w:t>
      </w:r>
      <w:r w:rsidR="0085221F" w:rsidRPr="00CF76F2">
        <w:t>davantage</w:t>
      </w:r>
      <w:r w:rsidR="000A47B5" w:rsidRPr="00CF76F2">
        <w:t xml:space="preserve"> de ressources dans le développement et la mise à jour des logiciels. Troisièmement, la méthode de validation de l'epfd existante est extrêmement inefficace pour les </w:t>
      </w:r>
      <w:r w:rsidR="0085221F" w:rsidRPr="00CF76F2">
        <w:t xml:space="preserve">grandes </w:t>
      </w:r>
      <w:r w:rsidR="000A47B5" w:rsidRPr="00CF76F2">
        <w:t xml:space="preserve">constellations et nécessite beaucoup de ressources informatiques et de temps. Nous notons toutefois que le GT 4A </w:t>
      </w:r>
      <w:r w:rsidR="0085221F" w:rsidRPr="00CF76F2">
        <w:t>étudie d</w:t>
      </w:r>
      <w:r w:rsidR="000A47B5" w:rsidRPr="00CF76F2">
        <w:t>es algorithmes optimisés. Il est donc à espérer que la révision de la Recommandation UIT-R S.1503 puisse être accélérée afin d'améliorer l'efficacité de la vérification de l'epfd.</w:t>
      </w:r>
    </w:p>
    <w:p w14:paraId="659523F3" w14:textId="77777777" w:rsidR="00135F5A" w:rsidRPr="00CF76F2" w:rsidRDefault="00BE3212">
      <w:pPr>
        <w:pStyle w:val="Proposal"/>
      </w:pPr>
      <w:r w:rsidRPr="00CF76F2">
        <w:tab/>
        <w:t>CHN/111A25A3/5</w:t>
      </w:r>
    </w:p>
    <w:p w14:paraId="2591212F" w14:textId="0C92E361" w:rsidR="00135F5A" w:rsidRPr="00CF76F2" w:rsidRDefault="00BE3212" w:rsidP="00BE3212">
      <w:pPr>
        <w:pStyle w:val="Heading4"/>
      </w:pPr>
      <w:r w:rsidRPr="00CF76F2">
        <w:t>3.1.4.7</w:t>
      </w:r>
      <w:r w:rsidRPr="00CF76F2">
        <w:tab/>
      </w:r>
      <w:r w:rsidR="00793729" w:rsidRPr="00CF76F2">
        <w:t>Modifications apportées à des demandes de coordination existantes concernant des systèmes à satellites non géostationnaires aux fins de la mise en service</w:t>
      </w:r>
    </w:p>
    <w:p w14:paraId="0E0447C8" w14:textId="0A78D0B1" w:rsidR="00BE3212" w:rsidRPr="00CF76F2" w:rsidRDefault="00D945ED" w:rsidP="00AB7FDA">
      <w:pPr>
        <w:pBdr>
          <w:top w:val="single" w:sz="4" w:space="1" w:color="auto"/>
          <w:left w:val="single" w:sz="4" w:space="4" w:color="auto"/>
          <w:bottom w:val="single" w:sz="4" w:space="1" w:color="auto"/>
          <w:right w:val="single" w:sz="4" w:space="4" w:color="auto"/>
        </w:pBdr>
      </w:pPr>
      <w:r w:rsidRPr="00CF76F2">
        <w:t>L'expérience du Bureau révèle que les administrations adoptent deux approches principales</w:t>
      </w:r>
      <w:r w:rsidR="00793729" w:rsidRPr="00CF76F2">
        <w:t xml:space="preserve"> pour modifier un système non OSG aux fins de la mise en service de leurs assignations de fréquence</w:t>
      </w:r>
      <w:r w:rsidR="00BE3212" w:rsidRPr="00CF76F2">
        <w:t>:</w:t>
      </w:r>
    </w:p>
    <w:p w14:paraId="262DE5C8" w14:textId="6E251A17" w:rsidR="00BE3212" w:rsidRPr="00CF76F2" w:rsidRDefault="00BE3212" w:rsidP="00AB7FDA">
      <w:pPr>
        <w:pStyle w:val="enumlev1"/>
        <w:pBdr>
          <w:top w:val="single" w:sz="4" w:space="1" w:color="auto"/>
          <w:left w:val="single" w:sz="4" w:space="4" w:color="auto"/>
          <w:bottom w:val="single" w:sz="4" w:space="1" w:color="auto"/>
          <w:right w:val="single" w:sz="4" w:space="4" w:color="auto"/>
        </w:pBdr>
      </w:pPr>
      <w:r w:rsidRPr="00CF76F2">
        <w:t>1</w:t>
      </w:r>
      <w:r w:rsidR="00CF76F2" w:rsidRPr="00CF76F2">
        <w:t>)</w:t>
      </w:r>
      <w:r w:rsidRPr="00CF76F2">
        <w:tab/>
      </w:r>
      <w:r w:rsidR="00CF76F2" w:rsidRPr="00CF76F2">
        <w:t>m</w:t>
      </w:r>
      <w:r w:rsidR="00703CA7" w:rsidRPr="00CF76F2">
        <w:t>odifications de</w:t>
      </w:r>
      <w:r w:rsidR="003B4582" w:rsidRPr="00CF76F2">
        <w:t xml:space="preserve"> la demande de coordination initiale </w:t>
      </w:r>
      <w:r w:rsidR="00703CA7" w:rsidRPr="00CF76F2">
        <w:t>visant à</w:t>
      </w:r>
      <w:r w:rsidR="003B4582" w:rsidRPr="00CF76F2">
        <w:t xml:space="preserve"> aligner toutes les caractéristiques orbitales sur celles utilisées pour la mise en service des assignations de fréquence correspondantes, tout en maintenant la date de protection initiale; et</w:t>
      </w:r>
    </w:p>
    <w:p w14:paraId="45A1F86D" w14:textId="2421ED4E" w:rsidR="00BE3212" w:rsidRPr="00CF76F2" w:rsidRDefault="00BE3212" w:rsidP="00AB7FDA">
      <w:pPr>
        <w:pStyle w:val="enumlev1"/>
        <w:pBdr>
          <w:top w:val="single" w:sz="4" w:space="1" w:color="auto"/>
          <w:left w:val="single" w:sz="4" w:space="4" w:color="auto"/>
          <w:bottom w:val="single" w:sz="4" w:space="1" w:color="auto"/>
          <w:right w:val="single" w:sz="4" w:space="4" w:color="auto"/>
        </w:pBdr>
      </w:pPr>
      <w:r w:rsidRPr="00CF76F2">
        <w:t>2</w:t>
      </w:r>
      <w:r w:rsidR="00CF76F2" w:rsidRPr="00CF76F2">
        <w:t>)</w:t>
      </w:r>
      <w:r w:rsidR="003B4582" w:rsidRPr="00CF76F2">
        <w:tab/>
      </w:r>
      <w:r w:rsidR="00CF76F2" w:rsidRPr="00CF76F2">
        <w:t>m</w:t>
      </w:r>
      <w:r w:rsidR="00703CA7" w:rsidRPr="00CF76F2">
        <w:t>odifications de</w:t>
      </w:r>
      <w:r w:rsidR="003B4582" w:rsidRPr="00CF76F2">
        <w:t xml:space="preserve"> la demande de coordination initiale </w:t>
      </w:r>
      <w:r w:rsidR="00703CA7" w:rsidRPr="00CF76F2">
        <w:t>visant à</w:t>
      </w:r>
      <w:r w:rsidR="003B4582" w:rsidRPr="00CF76F2">
        <w:t xml:space="preserve"> ajouter u</w:t>
      </w:r>
      <w:r w:rsidR="00703CA7" w:rsidRPr="00CF76F2">
        <w:t xml:space="preserve">n satellite à un plan orbital, </w:t>
      </w:r>
      <w:r w:rsidR="0017467A" w:rsidRPr="00CF76F2">
        <w:t>en s'alignant</w:t>
      </w:r>
      <w:r w:rsidR="00703CA7" w:rsidRPr="00CF76F2">
        <w:t xml:space="preserve"> sur les </w:t>
      </w:r>
      <w:r w:rsidR="003B4582" w:rsidRPr="00CF76F2">
        <w:t>caractéristiques</w:t>
      </w:r>
      <w:r w:rsidR="00703CA7" w:rsidRPr="00CF76F2">
        <w:t xml:space="preserve"> orbitales du satellite utilisé</w:t>
      </w:r>
      <w:r w:rsidR="003B4582" w:rsidRPr="00CF76F2">
        <w:t xml:space="preserve"> pour mettre en service le système non OSG. Ces modifications ne contiennent pas de demande de maintien de la date de protection</w:t>
      </w:r>
      <w:r w:rsidR="00677A34" w:rsidRPr="00CF76F2">
        <w:t xml:space="preserve"> initiale</w:t>
      </w:r>
      <w:r w:rsidR="00114D98" w:rsidRPr="00CF76F2">
        <w:t>; par conséquent, une nouvelle date est donnée aux groupes associés au(x) faisceau(x) du nouveau satellite additionnel.</w:t>
      </w:r>
    </w:p>
    <w:p w14:paraId="122D6B99" w14:textId="35AA681F" w:rsidR="00BE3212" w:rsidRPr="00CF76F2" w:rsidRDefault="00114D98" w:rsidP="00AB7FDA">
      <w:pPr>
        <w:pBdr>
          <w:top w:val="single" w:sz="4" w:space="1" w:color="auto"/>
          <w:left w:val="single" w:sz="4" w:space="4" w:color="auto"/>
          <w:bottom w:val="single" w:sz="4" w:space="1" w:color="auto"/>
          <w:right w:val="single" w:sz="4" w:space="4" w:color="auto"/>
        </w:pBdr>
      </w:pPr>
      <w:r w:rsidRPr="00CF76F2">
        <w:t>Pour ce qui est de la deuxième approche, le Bureau estime</w:t>
      </w:r>
      <w:r w:rsidR="00BE3212" w:rsidRPr="00CF76F2">
        <w:t>:</w:t>
      </w:r>
    </w:p>
    <w:p w14:paraId="0939703D" w14:textId="6CCF19F5" w:rsidR="00BE3212" w:rsidRPr="00CF76F2" w:rsidRDefault="00BE3212" w:rsidP="00AB7FDA">
      <w:pPr>
        <w:pStyle w:val="enumlev1"/>
        <w:pBdr>
          <w:top w:val="single" w:sz="4" w:space="1" w:color="auto"/>
          <w:left w:val="single" w:sz="4" w:space="4" w:color="auto"/>
          <w:bottom w:val="single" w:sz="4" w:space="1" w:color="auto"/>
          <w:right w:val="single" w:sz="4" w:space="4" w:color="auto"/>
        </w:pBdr>
      </w:pPr>
      <w:r w:rsidRPr="00CF76F2">
        <w:t>i)</w:t>
      </w:r>
      <w:r w:rsidRPr="00CF76F2">
        <w:tab/>
      </w:r>
      <w:r w:rsidR="00114D98" w:rsidRPr="00CF76F2">
        <w:t xml:space="preserve">que la conformité aux limites d'epfd indiquées dans l'Article </w:t>
      </w:r>
      <w:r w:rsidR="00114D98" w:rsidRPr="00CF76F2">
        <w:rPr>
          <w:b/>
        </w:rPr>
        <w:t>22</w:t>
      </w:r>
      <w:r w:rsidR="00114D98" w:rsidRPr="00CF76F2">
        <w:t xml:space="preserve">, pour les bandes de fréquences auxquelles elles s'appliquent, devrait être vérifiée </w:t>
      </w:r>
      <w:r w:rsidR="00703CA7" w:rsidRPr="00CF76F2">
        <w:t xml:space="preserve">pour </w:t>
      </w:r>
      <w:r w:rsidR="00114D98" w:rsidRPr="00CF76F2">
        <w:t>le système tout entier;</w:t>
      </w:r>
    </w:p>
    <w:p w14:paraId="46B908FD" w14:textId="16730DD8" w:rsidR="00BE3212" w:rsidRPr="00CF76F2" w:rsidRDefault="00BE3212" w:rsidP="00AB7FDA">
      <w:pPr>
        <w:pStyle w:val="enumlev1"/>
        <w:pBdr>
          <w:top w:val="single" w:sz="4" w:space="1" w:color="auto"/>
          <w:left w:val="single" w:sz="4" w:space="4" w:color="auto"/>
          <w:bottom w:val="single" w:sz="4" w:space="1" w:color="auto"/>
          <w:right w:val="single" w:sz="4" w:space="4" w:color="auto"/>
        </w:pBdr>
      </w:pPr>
      <w:r w:rsidRPr="00CF76F2">
        <w:t>ii)</w:t>
      </w:r>
      <w:r w:rsidRPr="00CF76F2">
        <w:tab/>
      </w:r>
      <w:r w:rsidR="00114D98" w:rsidRPr="00CF76F2">
        <w:t>que la question de savoir si la pratique est compatible avec l'utilisation efficace des ressources orbites/spectre serait soulevée dans certains cas, puisqu'il est toujours possible d'ajouter un plan orbital à un système à satellites non OSG existant. Par conséquent, il pourrait être possible de mettre en service n'importe quel système non OSG avec n'importe quel type de satellite non OSG, sous réserve que ses caractéristiques soient ajoutées à la description initiale du système.</w:t>
      </w:r>
    </w:p>
    <w:p w14:paraId="247EBB29" w14:textId="5B59345D" w:rsidR="00BE3212" w:rsidRPr="00CF76F2" w:rsidRDefault="00114D98" w:rsidP="00AB7FDA">
      <w:pPr>
        <w:pBdr>
          <w:top w:val="single" w:sz="4" w:space="1" w:color="auto"/>
          <w:left w:val="single" w:sz="4" w:space="4" w:color="auto"/>
          <w:bottom w:val="single" w:sz="4" w:space="1" w:color="auto"/>
          <w:right w:val="single" w:sz="4" w:space="4" w:color="auto"/>
        </w:pBdr>
      </w:pPr>
      <w:r w:rsidRPr="00CF76F2">
        <w:t xml:space="preserve">En ce qui concerne le point ii), le Bureau </w:t>
      </w:r>
      <w:r w:rsidR="0009606A" w:rsidRPr="00CF76F2">
        <w:t>examine</w:t>
      </w:r>
      <w:r w:rsidRPr="00CF76F2">
        <w:t xml:space="preserve"> la question au cas par cas et </w:t>
      </w:r>
      <w:r w:rsidR="0009606A" w:rsidRPr="00CF76F2">
        <w:t xml:space="preserve">pourra </w:t>
      </w:r>
      <w:r w:rsidR="00F23AE9" w:rsidRPr="00CF76F2">
        <w:t>soumettre</w:t>
      </w:r>
      <w:r w:rsidR="0009606A" w:rsidRPr="00CF76F2">
        <w:t xml:space="preserve"> </w:t>
      </w:r>
      <w:r w:rsidR="00F23AE9" w:rsidRPr="00CF76F2">
        <w:t>tout</w:t>
      </w:r>
      <w:r w:rsidR="0009606A" w:rsidRPr="00CF76F2">
        <w:t xml:space="preserve"> cas </w:t>
      </w:r>
      <w:r w:rsidR="0043352E" w:rsidRPr="00CF76F2">
        <w:t>pertinent</w:t>
      </w:r>
      <w:r w:rsidR="0009606A" w:rsidRPr="00CF76F2">
        <w:t xml:space="preserve"> au RRB pour </w:t>
      </w:r>
      <w:r w:rsidR="00F23AE9" w:rsidRPr="00CF76F2">
        <w:t>que celui-ci prenne une décision</w:t>
      </w:r>
      <w:r w:rsidR="0009606A" w:rsidRPr="00CF76F2">
        <w:t>.</w:t>
      </w:r>
    </w:p>
    <w:p w14:paraId="2240C4A0" w14:textId="38F68FF1" w:rsidR="00114D98" w:rsidRPr="00CF76F2" w:rsidRDefault="00114D98" w:rsidP="00AB7FDA">
      <w:pPr>
        <w:pBdr>
          <w:top w:val="single" w:sz="4" w:space="1" w:color="auto"/>
          <w:left w:val="single" w:sz="4" w:space="4" w:color="auto"/>
          <w:bottom w:val="single" w:sz="4" w:space="1" w:color="auto"/>
          <w:right w:val="single" w:sz="4" w:space="4" w:color="auto"/>
        </w:pBdr>
      </w:pPr>
      <w:r w:rsidRPr="00CF76F2">
        <w:t xml:space="preserve">La Conférence est invitée à confirmer ou à infirmer </w:t>
      </w:r>
      <w:r w:rsidR="0009606A" w:rsidRPr="00CF76F2">
        <w:t>cette</w:t>
      </w:r>
      <w:r w:rsidRPr="00CF76F2">
        <w:t xml:space="preserve"> façon de procéder</w:t>
      </w:r>
      <w:r w:rsidR="0009606A" w:rsidRPr="00CF76F2">
        <w:t>.</w:t>
      </w:r>
    </w:p>
    <w:p w14:paraId="70CD3170" w14:textId="1D337BDA" w:rsidR="00BE3212" w:rsidRPr="00CF76F2" w:rsidRDefault="00226A6C" w:rsidP="00BE3212">
      <w:r w:rsidRPr="00CF76F2">
        <w:rPr>
          <w:b/>
          <w:bCs/>
        </w:rPr>
        <w:t>Vues</w:t>
      </w:r>
      <w:r w:rsidR="00BE3212" w:rsidRPr="00CF76F2">
        <w:rPr>
          <w:b/>
          <w:bCs/>
        </w:rPr>
        <w:t xml:space="preserve"> et propositions:</w:t>
      </w:r>
      <w:r w:rsidR="003C1374" w:rsidRPr="00CF76F2">
        <w:t xml:space="preserve"> Nous appu</w:t>
      </w:r>
      <w:r w:rsidR="00307497" w:rsidRPr="00CF76F2">
        <w:t xml:space="preserve">yons la proposition du Bureau consistant à </w:t>
      </w:r>
      <w:r w:rsidR="003C1374" w:rsidRPr="00CF76F2">
        <w:t xml:space="preserve">évaluer chaque cas individuellement et </w:t>
      </w:r>
      <w:r w:rsidR="00307497" w:rsidRPr="00CF76F2">
        <w:t>à</w:t>
      </w:r>
      <w:r w:rsidR="003C1374" w:rsidRPr="00CF76F2">
        <w:t xml:space="preserve"> </w:t>
      </w:r>
      <w:r w:rsidR="00307497" w:rsidRPr="00CF76F2">
        <w:t>s'en remettre</w:t>
      </w:r>
      <w:r w:rsidR="003C1374" w:rsidRPr="00CF76F2">
        <w:t xml:space="preserve"> au Comité ou au GCR pour que ceux-ci pre</w:t>
      </w:r>
      <w:r w:rsidR="00307497" w:rsidRPr="00CF76F2">
        <w:t>nnent les décisions nécessaires au besoin</w:t>
      </w:r>
      <w:r w:rsidR="003C1374" w:rsidRPr="00CF76F2">
        <w:t>.</w:t>
      </w:r>
    </w:p>
    <w:p w14:paraId="4BB2BDDF" w14:textId="6E6492C5" w:rsidR="00135F5A" w:rsidRPr="00CF76F2" w:rsidRDefault="00BE3212">
      <w:pPr>
        <w:pStyle w:val="Reasons"/>
      </w:pPr>
      <w:r w:rsidRPr="00CF76F2">
        <w:rPr>
          <w:b/>
        </w:rPr>
        <w:t>Motifs:</w:t>
      </w:r>
      <w:r w:rsidRPr="00CF76F2">
        <w:tab/>
      </w:r>
      <w:r w:rsidR="0040574C" w:rsidRPr="00CF76F2">
        <w:t xml:space="preserve">Nous estimons que le fait de permettre l'adjonction d'un seul satellite à un plan orbital aux fins de la mise en service d'une constellation </w:t>
      </w:r>
      <w:r w:rsidR="00F23AE9" w:rsidRPr="00CF76F2">
        <w:t>constitue une source de préoccupation</w:t>
      </w:r>
      <w:r w:rsidR="0040574C" w:rsidRPr="00CF76F2">
        <w:t xml:space="preserve"> en ce qui concerne l'utilisation efficace des ressources orbitales.</w:t>
      </w:r>
    </w:p>
    <w:p w14:paraId="232AFDE3" w14:textId="77777777" w:rsidR="00135F5A" w:rsidRPr="00CF76F2" w:rsidRDefault="00BE3212">
      <w:pPr>
        <w:pStyle w:val="Proposal"/>
      </w:pPr>
      <w:r w:rsidRPr="00CF76F2">
        <w:lastRenderedPageBreak/>
        <w:tab/>
        <w:t>CHN/111A25A3/6</w:t>
      </w:r>
    </w:p>
    <w:p w14:paraId="435ABA31" w14:textId="27B907C4" w:rsidR="00135F5A" w:rsidRPr="00CF76F2" w:rsidRDefault="00BE3212" w:rsidP="00BE3212">
      <w:pPr>
        <w:pStyle w:val="Heading4"/>
      </w:pPr>
      <w:r w:rsidRPr="00CF76F2">
        <w:t>3.1.4.11</w:t>
      </w:r>
      <w:r w:rsidRPr="00CF76F2">
        <w:tab/>
      </w:r>
      <w:r w:rsidR="0020751B" w:rsidRPr="00CF76F2">
        <w:t>Modifications de demandes de coordination de systèmes à satellites non géostationnaires soumises conformément à la Règle de procédure relative au numéro 9.27</w:t>
      </w:r>
    </w:p>
    <w:p w14:paraId="53D8DC25" w14:textId="523122ED" w:rsidR="00555BBE" w:rsidRPr="00CF76F2" w:rsidRDefault="00555BBE" w:rsidP="00AB7FDA">
      <w:pPr>
        <w:pBdr>
          <w:top w:val="single" w:sz="4" w:space="1" w:color="auto"/>
          <w:left w:val="single" w:sz="4" w:space="4" w:color="auto"/>
          <w:bottom w:val="single" w:sz="4" w:space="1" w:color="auto"/>
          <w:right w:val="single" w:sz="4" w:space="4" w:color="auto"/>
        </w:pBdr>
      </w:pPr>
      <w:r w:rsidRPr="00CF76F2">
        <w:t>Depuis 2017, le Bureau a reçu régulièrement des modifications de demandes de coordination de systèmes à satellites non OSG.</w:t>
      </w:r>
    </w:p>
    <w:p w14:paraId="4215CC51" w14:textId="0636D280" w:rsidR="00555BBE" w:rsidRPr="00CF76F2" w:rsidRDefault="00555BBE" w:rsidP="00CF76F2">
      <w:pPr>
        <w:keepLines/>
        <w:pBdr>
          <w:top w:val="single" w:sz="4" w:space="1" w:color="auto"/>
          <w:left w:val="single" w:sz="4" w:space="4" w:color="auto"/>
          <w:bottom w:val="single" w:sz="4" w:space="1" w:color="auto"/>
          <w:right w:val="single" w:sz="4" w:space="4" w:color="auto"/>
        </w:pBdr>
      </w:pPr>
      <w:r w:rsidRPr="00CF76F2">
        <w:t xml:space="preserve">Dans ce contexte, aux fins de l'examen des modifications apportées aux soumissions initiales relatives aux constellations et de leurs conséquences sur la date de réception initiale des fiches de notification, le Bureau a pour pratique d'appliquer les principes directeurs de la Règle de procédure relative au numéro </w:t>
      </w:r>
      <w:r w:rsidRPr="00CF76F2">
        <w:rPr>
          <w:b/>
          <w:bCs/>
        </w:rPr>
        <w:t>9.27</w:t>
      </w:r>
      <w:r w:rsidRPr="00CF76F2">
        <w:t xml:space="preserve"> régissant le traitement des modifications, selon lesquels la coordination n'est pas requise lorsque la nature de la modification n'a pas pour effet d'accroître le brouillage causé aux assignations de fréquence d'une autre administration, ou la protection requise contre ces brouillages, comme indiqué dans l'Appendice </w:t>
      </w:r>
      <w:r w:rsidRPr="00CF76F2">
        <w:rPr>
          <w:b/>
          <w:bCs/>
        </w:rPr>
        <w:t>5</w:t>
      </w:r>
      <w:r w:rsidRPr="00CF76F2">
        <w:t xml:space="preserve"> du Règlement des radiocommunications.</w:t>
      </w:r>
    </w:p>
    <w:p w14:paraId="63B6315A" w14:textId="23A42306" w:rsidR="00BE3212" w:rsidRPr="00CF76F2" w:rsidRDefault="00BE3212" w:rsidP="00AB7FDA">
      <w:pPr>
        <w:pBdr>
          <w:top w:val="single" w:sz="4" w:space="1" w:color="auto"/>
          <w:left w:val="single" w:sz="4" w:space="4" w:color="auto"/>
          <w:bottom w:val="single" w:sz="4" w:space="1" w:color="auto"/>
          <w:right w:val="single" w:sz="4" w:space="4" w:color="auto"/>
        </w:pBdr>
      </w:pPr>
      <w:r w:rsidRPr="00CF76F2">
        <w:t xml:space="preserve">En l'absence de critères ou de méthodes de calcul appropriés pour vérifier qu'il n'y a pas eu d'augmentation du brouillage ou de la protection, le Bureau </w:t>
      </w:r>
      <w:r w:rsidR="00555BBE" w:rsidRPr="00CF76F2">
        <w:t>a</w:t>
      </w:r>
      <w:r w:rsidRPr="00CF76F2">
        <w:t xml:space="preserve"> pour pratique de demander à l'administration notificatrice de fournir des justificatifs techniques en vue de formuler sa conclusion et de la publier.</w:t>
      </w:r>
    </w:p>
    <w:p w14:paraId="5F9047DF" w14:textId="7441169A" w:rsidR="00BE3212" w:rsidRPr="00CF76F2" w:rsidRDefault="00BE3212" w:rsidP="00AB7FDA">
      <w:pPr>
        <w:pBdr>
          <w:top w:val="single" w:sz="4" w:space="1" w:color="auto"/>
          <w:left w:val="single" w:sz="4" w:space="4" w:color="auto"/>
          <w:bottom w:val="single" w:sz="4" w:space="1" w:color="auto"/>
          <w:right w:val="single" w:sz="4" w:space="4" w:color="auto"/>
        </w:pBdr>
      </w:pPr>
      <w:r w:rsidRPr="00CF76F2">
        <w:t>Des calculs ont été fournis sous la forme de fonctions de distribution cumulative du niveau du brouillage</w:t>
      </w:r>
      <w:r w:rsidR="00893288" w:rsidRPr="00CF76F2">
        <w:t xml:space="preserve"> causé aux systèmes du SFS non OSG notifiés ultérieurement</w:t>
      </w:r>
      <w:r w:rsidRPr="00CF76F2">
        <w:t>, exprimées en tant que rapport brouillage/bruit (I/N) pour différents pourcent</w:t>
      </w:r>
      <w:r w:rsidR="00893288" w:rsidRPr="00CF76F2">
        <w:t>ages de temps et d'emplacements</w:t>
      </w:r>
      <w:r w:rsidRPr="00CF76F2">
        <w:t>.</w:t>
      </w:r>
    </w:p>
    <w:p w14:paraId="7B72F1AC" w14:textId="1D803323" w:rsidR="00BE3212" w:rsidRPr="00CF76F2" w:rsidRDefault="00555BBE" w:rsidP="00AB7FDA">
      <w:pPr>
        <w:pBdr>
          <w:top w:val="single" w:sz="4" w:space="1" w:color="auto"/>
          <w:left w:val="single" w:sz="4" w:space="4" w:color="auto"/>
          <w:bottom w:val="single" w:sz="4" w:space="1" w:color="auto"/>
          <w:right w:val="single" w:sz="4" w:space="4" w:color="auto"/>
        </w:pBdr>
      </w:pPr>
      <w:r w:rsidRPr="00CF76F2">
        <w:t>Lorsque l</w:t>
      </w:r>
      <w:r w:rsidR="00BE3212" w:rsidRPr="00CF76F2">
        <w:t xml:space="preserve">es modifications </w:t>
      </w:r>
      <w:r w:rsidRPr="00CF76F2">
        <w:t xml:space="preserve">sont </w:t>
      </w:r>
      <w:r w:rsidR="00BE3212" w:rsidRPr="00CF76F2">
        <w:t xml:space="preserve">susceptibles d'accroître le brouillage causé au réseau devant être modifié, le Bureau </w:t>
      </w:r>
      <w:r w:rsidRPr="00CF76F2">
        <w:t>considère</w:t>
      </w:r>
      <w:r w:rsidR="00BE3212" w:rsidRPr="00CF76F2">
        <w:t xml:space="preserve"> que l'administration responsable s'engage à ne pas exiger une protection plus grande vis-à-vis d'autres systèmes non OSG ou de très grandes stations t</w:t>
      </w:r>
      <w:r w:rsidR="00893288" w:rsidRPr="00CF76F2">
        <w:t>erriennes assujetties au numéro</w:t>
      </w:r>
      <w:r w:rsidR="00BE3212" w:rsidRPr="00CF76F2">
        <w:t xml:space="preserve"> </w:t>
      </w:r>
      <w:r w:rsidR="00BE3212" w:rsidRPr="00CF76F2">
        <w:rPr>
          <w:b/>
        </w:rPr>
        <w:t>9.7A</w:t>
      </w:r>
      <w:r w:rsidR="00BE3212" w:rsidRPr="00CF76F2">
        <w:t xml:space="preserve"> que celle </w:t>
      </w:r>
      <w:r w:rsidR="00893288" w:rsidRPr="00CF76F2">
        <w:t xml:space="preserve">qui est </w:t>
      </w:r>
      <w:r w:rsidR="00BE3212" w:rsidRPr="00CF76F2">
        <w:t>exigée pour les paramètres initiaux.</w:t>
      </w:r>
    </w:p>
    <w:p w14:paraId="453FE79E" w14:textId="3C1996AB" w:rsidR="00BE3212" w:rsidRPr="00CF76F2" w:rsidRDefault="00226A6C" w:rsidP="00E611D0">
      <w:pPr>
        <w:rPr>
          <w:b/>
        </w:rPr>
      </w:pPr>
      <w:r w:rsidRPr="00CF76F2">
        <w:rPr>
          <w:b/>
        </w:rPr>
        <w:t>Vues</w:t>
      </w:r>
      <w:r w:rsidR="00BE3212" w:rsidRPr="00CF76F2">
        <w:rPr>
          <w:b/>
        </w:rPr>
        <w:t xml:space="preserve"> et propositions:</w:t>
      </w:r>
      <w:r w:rsidR="00555BBE" w:rsidRPr="00CF76F2">
        <w:t xml:space="preserve"> Il est recommandé que cette question </w:t>
      </w:r>
      <w:r w:rsidR="008B416F" w:rsidRPr="00CF76F2">
        <w:t>figure</w:t>
      </w:r>
      <w:r w:rsidR="00CA31DF" w:rsidRPr="00CF76F2">
        <w:t xml:space="preserve"> au</w:t>
      </w:r>
      <w:r w:rsidR="00555BBE" w:rsidRPr="00CF76F2">
        <w:t xml:space="preserve"> point 7 de l'ordre du jour ou </w:t>
      </w:r>
      <w:r w:rsidR="00CA31DF" w:rsidRPr="00CF76F2">
        <w:t>au</w:t>
      </w:r>
      <w:r w:rsidR="00555BBE" w:rsidRPr="00CF76F2">
        <w:t xml:space="preserve"> nouveau p</w:t>
      </w:r>
      <w:r w:rsidR="00CA31DF" w:rsidRPr="00CF76F2">
        <w:t>oi</w:t>
      </w:r>
      <w:r w:rsidR="00893288" w:rsidRPr="00CF76F2">
        <w:t>nt de l'ordre du jour proposé (</w:t>
      </w:r>
      <w:r w:rsidR="00CA31DF" w:rsidRPr="00CF76F2">
        <w:t>cadre réglementaire ap</w:t>
      </w:r>
      <w:r w:rsidR="00893288" w:rsidRPr="00CF76F2">
        <w:t>plicable aux satellites non</w:t>
      </w:r>
      <w:r w:rsidR="00CF76F2" w:rsidRPr="00CF76F2">
        <w:t> </w:t>
      </w:r>
      <w:r w:rsidR="00893288" w:rsidRPr="00CF76F2">
        <w:t>OSG</w:t>
      </w:r>
      <w:r w:rsidR="00CA31DF" w:rsidRPr="00CF76F2">
        <w:t xml:space="preserve">), </w:t>
      </w:r>
      <w:r w:rsidR="00555BBE" w:rsidRPr="00CF76F2">
        <w:t xml:space="preserve">et </w:t>
      </w:r>
      <w:r w:rsidR="00CA31DF" w:rsidRPr="00CF76F2">
        <w:t xml:space="preserve">qu'elle </w:t>
      </w:r>
      <w:r w:rsidR="00555BBE" w:rsidRPr="00CF76F2">
        <w:t>soit étudiée en détail lors de la prochaine période d'études.</w:t>
      </w:r>
    </w:p>
    <w:p w14:paraId="0AA5C3A5" w14:textId="009E154C" w:rsidR="00135F5A" w:rsidRPr="00CF76F2" w:rsidRDefault="00BE3212" w:rsidP="00BE3212">
      <w:pPr>
        <w:pStyle w:val="Reasons"/>
      </w:pPr>
      <w:r w:rsidRPr="00CF76F2">
        <w:rPr>
          <w:b/>
        </w:rPr>
        <w:t>Motifs:</w:t>
      </w:r>
      <w:r w:rsidRPr="00CF76F2">
        <w:tab/>
      </w:r>
      <w:r w:rsidR="002A62EC" w:rsidRPr="00CF76F2">
        <w:t xml:space="preserve">Certaines soumissions ont été modifiées </w:t>
      </w:r>
      <w:r w:rsidR="003332C2" w:rsidRPr="00CF76F2">
        <w:t>à plusieurs reprises</w:t>
      </w:r>
      <w:r w:rsidR="002A62EC" w:rsidRPr="00CF76F2">
        <w:t xml:space="preserve"> pour être en phase avec leurs systèmes à satellite </w:t>
      </w:r>
      <w:r w:rsidR="003332C2" w:rsidRPr="00CF76F2">
        <w:t>effectivement déployés</w:t>
      </w:r>
      <w:r w:rsidR="002A62EC" w:rsidRPr="00CF76F2">
        <w:t>. Parmi ces modifications figurent notamment l'adjonction de configurations entièrement nouvelles, de plans avec des altitudes et des assignations de fréquence différentes, mais aussi des modifications du nombre de satellites par plan et des caractéristiques des faisceaux. Si ce type de modification</w:t>
      </w:r>
      <w:r w:rsidR="003332C2" w:rsidRPr="00CF76F2">
        <w:t>s</w:t>
      </w:r>
      <w:r w:rsidR="002A62EC" w:rsidRPr="00CF76F2">
        <w:t xml:space="preserve"> est encouragé, la priorité sera accordée à la modification des fiches de notification existantes plut</w:t>
      </w:r>
      <w:r w:rsidR="003529B8" w:rsidRPr="00CF76F2">
        <w:t xml:space="preserve">ôt qu'à la soumission de nouvelles fiches de notification. Ceci </w:t>
      </w:r>
      <w:r w:rsidR="00400379" w:rsidRPr="00CF76F2">
        <w:t xml:space="preserve">est contraire à l'article 44 de la Constitution de l'UIT, qui dispose ce qui suit: </w:t>
      </w:r>
      <w:r w:rsidRPr="00CF76F2">
        <w:t>«</w:t>
      </w:r>
      <w:r w:rsidRPr="00CF76F2">
        <w:rPr>
          <w:iCs/>
        </w:rPr>
        <w:t xml:space="preserve">Lors de l'utilisation de bandes de fréquences pour les services de radiocommunication, les </w:t>
      </w:r>
      <w:r w:rsidR="007571D6" w:rsidRPr="00CF76F2">
        <w:rPr>
          <w:iCs/>
        </w:rPr>
        <w:t>É</w:t>
      </w:r>
      <w:r w:rsidRPr="00CF76F2">
        <w:rPr>
          <w:iCs/>
        </w:rPr>
        <w:t>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CF76F2">
        <w:t>».</w:t>
      </w:r>
    </w:p>
    <w:p w14:paraId="07F41E53" w14:textId="37BFD6EF" w:rsidR="00BE3212" w:rsidRPr="00CF76F2" w:rsidRDefault="00400379" w:rsidP="00B1304C">
      <w:pPr>
        <w:keepLines/>
      </w:pPr>
      <w:r w:rsidRPr="00CF76F2">
        <w:lastRenderedPageBreak/>
        <w:t xml:space="preserve">En outre, compte tenu de l'absence de critères ou de méthodes de calcul appropriés permettant de vérifier </w:t>
      </w:r>
      <w:r w:rsidR="003332C2" w:rsidRPr="00CF76F2">
        <w:t>s'il n'y a pas eu augmentation des brouillages</w:t>
      </w:r>
      <w:r w:rsidRPr="00CF76F2">
        <w:t xml:space="preserve">, les administrations susceptibles d'être victimes de brouillages éprouvent des difficultés à évaluer l'analyse des brouillages présentée par les administrations notifiant des modifications </w:t>
      </w:r>
      <w:r w:rsidR="003332C2" w:rsidRPr="00CF76F2">
        <w:t>de demandes de coordination de</w:t>
      </w:r>
      <w:r w:rsidRPr="00CF76F2">
        <w:t xml:space="preserve"> systèmes à satellites non OSG. Nous prenons note également des travaux les plus récents consacrés à la révision de la Recommandation UIT-R S.1526-1 </w:t>
      </w:r>
      <w:r w:rsidR="003E1FD4" w:rsidRPr="00CF76F2">
        <w:t xml:space="preserve">présentés </w:t>
      </w:r>
      <w:r w:rsidRPr="00CF76F2">
        <w:t>dans le Document 4A/691 (Rapport du Président sur la réunion du GT 4A de mai 2022). Aucune nouvelle contribution n'a été apportée depuis. Par conséquent, il serait plus judicieux que les critères et méthodes de calcul pertinents soient étudiés au titre du point 7 de l'ordre du jour ou du nouveau point de l'ordre du jour sur le cadre réglementaire applicable aux satellites non OSG, afin de leur accorder une plus grande attention et d'élaborer des dispositions applicables à ce type de modifications.</w:t>
      </w:r>
    </w:p>
    <w:p w14:paraId="1033661F" w14:textId="715025D9" w:rsidR="00BE3212" w:rsidRPr="00CF76F2" w:rsidRDefault="00BE3212" w:rsidP="00BE3212">
      <w:pPr>
        <w:jc w:val="center"/>
      </w:pPr>
      <w:r w:rsidRPr="00CF76F2">
        <w:t>______________</w:t>
      </w:r>
    </w:p>
    <w:sectPr w:rsidR="00BE3212" w:rsidRPr="00CF76F2">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7802" w14:textId="77777777" w:rsidR="00CB685A" w:rsidRDefault="00CB685A">
      <w:r>
        <w:separator/>
      </w:r>
    </w:p>
  </w:endnote>
  <w:endnote w:type="continuationSeparator" w:id="0">
    <w:p w14:paraId="51E184E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8478" w14:textId="77EABCE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611D0">
      <w:rPr>
        <w:noProof/>
      </w:rPr>
      <w:t>19.11.23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097" w14:textId="1F6DACF3"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84CC9">
      <w:rPr>
        <w:lang w:val="en-US"/>
      </w:rPr>
      <w:t>P:\FRA\ITU-R\CONF-R\CMR23\100\111ADD25ADD03F.docx</w:t>
    </w:r>
    <w:r>
      <w:fldChar w:fldCharType="end"/>
    </w:r>
    <w:r w:rsidR="00726FC0" w:rsidRPr="00C52BCC">
      <w:rPr>
        <w:lang w:val="en-US"/>
      </w:rPr>
      <w:t xml:space="preserve"> (530542)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1FD2" w14:textId="7DF34B0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984CC9">
      <w:rPr>
        <w:lang w:val="en-US"/>
      </w:rPr>
      <w:t>P:\FRA\ITU-R\CONF-R\CMR23\100\111ADD25ADD03F.docx</w:t>
    </w:r>
    <w:r>
      <w:fldChar w:fldCharType="end"/>
    </w:r>
    <w:r w:rsidR="00726FC0" w:rsidRPr="00C52BCC">
      <w:rPr>
        <w:lang w:val="en-US"/>
      </w:rPr>
      <w:t xml:space="preserve"> (530542)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4322" w14:textId="77777777" w:rsidR="00CB685A" w:rsidRDefault="00CB685A">
      <w:r>
        <w:rPr>
          <w:b/>
        </w:rPr>
        <w:t>_______________</w:t>
      </w:r>
    </w:p>
  </w:footnote>
  <w:footnote w:type="continuationSeparator" w:id="0">
    <w:p w14:paraId="60AD7EC4" w14:textId="77777777" w:rsidR="00CB685A" w:rsidRDefault="00CB685A">
      <w:r>
        <w:continuationSeparator/>
      </w:r>
    </w:p>
  </w:footnote>
  <w:footnote w:id="1">
    <w:p w14:paraId="20D8857F" w14:textId="77777777" w:rsidR="00485985" w:rsidRPr="00815FAF" w:rsidRDefault="00BE3212"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D185" w14:textId="151CEDBB" w:rsidR="004F1F8E" w:rsidRDefault="004F1F8E" w:rsidP="004F1F8E">
    <w:pPr>
      <w:pStyle w:val="Header"/>
    </w:pPr>
    <w:r>
      <w:fldChar w:fldCharType="begin"/>
    </w:r>
    <w:r>
      <w:instrText xml:space="preserve"> PAGE </w:instrText>
    </w:r>
    <w:r>
      <w:fldChar w:fldCharType="separate"/>
    </w:r>
    <w:r w:rsidR="00226A6C">
      <w:rPr>
        <w:noProof/>
      </w:rPr>
      <w:t>9</w:t>
    </w:r>
    <w:r>
      <w:fldChar w:fldCharType="end"/>
    </w:r>
  </w:p>
  <w:p w14:paraId="671AB873" w14:textId="77777777" w:rsidR="004F1F8E" w:rsidRDefault="00225CF2" w:rsidP="00FD7AA3">
    <w:pPr>
      <w:pStyle w:val="Header"/>
    </w:pPr>
    <w:r>
      <w:t>WRC</w:t>
    </w:r>
    <w:r w:rsidR="00D3426F">
      <w:t>23</w:t>
    </w:r>
    <w:r w:rsidR="004F1F8E">
      <w:t>/</w:t>
    </w:r>
    <w:r w:rsidR="006A4B45">
      <w:t>111(Add.25)(Add.3)-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99512265">
    <w:abstractNumId w:val="0"/>
  </w:num>
  <w:num w:numId="2" w16cid:durableId="185041139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66A"/>
    <w:rsid w:val="00007EC7"/>
    <w:rsid w:val="00010B43"/>
    <w:rsid w:val="00016648"/>
    <w:rsid w:val="000276DA"/>
    <w:rsid w:val="0003522F"/>
    <w:rsid w:val="00063A1F"/>
    <w:rsid w:val="00064EF7"/>
    <w:rsid w:val="00080E2C"/>
    <w:rsid w:val="00081366"/>
    <w:rsid w:val="000863B3"/>
    <w:rsid w:val="0009606A"/>
    <w:rsid w:val="000A4755"/>
    <w:rsid w:val="000A47B5"/>
    <w:rsid w:val="000A55AE"/>
    <w:rsid w:val="000B2E0C"/>
    <w:rsid w:val="000B3D0C"/>
    <w:rsid w:val="000D4CDB"/>
    <w:rsid w:val="000E5812"/>
    <w:rsid w:val="000F119F"/>
    <w:rsid w:val="00114D98"/>
    <w:rsid w:val="001167B9"/>
    <w:rsid w:val="001267A0"/>
    <w:rsid w:val="00135F5A"/>
    <w:rsid w:val="0015203F"/>
    <w:rsid w:val="00160C64"/>
    <w:rsid w:val="00171A12"/>
    <w:rsid w:val="0017467A"/>
    <w:rsid w:val="0018169B"/>
    <w:rsid w:val="0019352B"/>
    <w:rsid w:val="001960D0"/>
    <w:rsid w:val="001A11F6"/>
    <w:rsid w:val="001F17E8"/>
    <w:rsid w:val="00204306"/>
    <w:rsid w:val="0020751B"/>
    <w:rsid w:val="002150E8"/>
    <w:rsid w:val="00225CF2"/>
    <w:rsid w:val="00226A6C"/>
    <w:rsid w:val="00232FD2"/>
    <w:rsid w:val="0026554E"/>
    <w:rsid w:val="002A4622"/>
    <w:rsid w:val="002A62EC"/>
    <w:rsid w:val="002A6F8F"/>
    <w:rsid w:val="002B17E5"/>
    <w:rsid w:val="002C0EBF"/>
    <w:rsid w:val="002C28A4"/>
    <w:rsid w:val="002D7E0A"/>
    <w:rsid w:val="00307497"/>
    <w:rsid w:val="00315AFE"/>
    <w:rsid w:val="00322681"/>
    <w:rsid w:val="003332C2"/>
    <w:rsid w:val="003411F6"/>
    <w:rsid w:val="003529B8"/>
    <w:rsid w:val="003606A6"/>
    <w:rsid w:val="0036650C"/>
    <w:rsid w:val="00393ACD"/>
    <w:rsid w:val="003A583E"/>
    <w:rsid w:val="003B4582"/>
    <w:rsid w:val="003C1374"/>
    <w:rsid w:val="003D784D"/>
    <w:rsid w:val="003E112B"/>
    <w:rsid w:val="003E1D1C"/>
    <w:rsid w:val="003E1FD4"/>
    <w:rsid w:val="003E7B05"/>
    <w:rsid w:val="003F3719"/>
    <w:rsid w:val="003F6F2D"/>
    <w:rsid w:val="00400379"/>
    <w:rsid w:val="0040574C"/>
    <w:rsid w:val="0043352E"/>
    <w:rsid w:val="00466211"/>
    <w:rsid w:val="00483196"/>
    <w:rsid w:val="004834A9"/>
    <w:rsid w:val="004A5255"/>
    <w:rsid w:val="004D01FC"/>
    <w:rsid w:val="004E28C3"/>
    <w:rsid w:val="004F1641"/>
    <w:rsid w:val="004F1F8E"/>
    <w:rsid w:val="00512A32"/>
    <w:rsid w:val="005343DA"/>
    <w:rsid w:val="00543E6A"/>
    <w:rsid w:val="00555BBE"/>
    <w:rsid w:val="00560874"/>
    <w:rsid w:val="00572607"/>
    <w:rsid w:val="00586CF2"/>
    <w:rsid w:val="005A7C75"/>
    <w:rsid w:val="005C3768"/>
    <w:rsid w:val="005C6C3F"/>
    <w:rsid w:val="00613635"/>
    <w:rsid w:val="0062093D"/>
    <w:rsid w:val="00637ECF"/>
    <w:rsid w:val="00647B59"/>
    <w:rsid w:val="00677A34"/>
    <w:rsid w:val="00690C7B"/>
    <w:rsid w:val="006A4B45"/>
    <w:rsid w:val="006D4724"/>
    <w:rsid w:val="006F5FA2"/>
    <w:rsid w:val="0070076C"/>
    <w:rsid w:val="00701BAE"/>
    <w:rsid w:val="00703CA7"/>
    <w:rsid w:val="00721F04"/>
    <w:rsid w:val="00726FC0"/>
    <w:rsid w:val="00730E95"/>
    <w:rsid w:val="007426B9"/>
    <w:rsid w:val="007571D6"/>
    <w:rsid w:val="00764342"/>
    <w:rsid w:val="00774362"/>
    <w:rsid w:val="00786598"/>
    <w:rsid w:val="00790C74"/>
    <w:rsid w:val="00793729"/>
    <w:rsid w:val="007A04E8"/>
    <w:rsid w:val="007B2C34"/>
    <w:rsid w:val="007F076C"/>
    <w:rsid w:val="007F282B"/>
    <w:rsid w:val="007F3521"/>
    <w:rsid w:val="00830086"/>
    <w:rsid w:val="008329C9"/>
    <w:rsid w:val="00851625"/>
    <w:rsid w:val="0085221F"/>
    <w:rsid w:val="00863C0A"/>
    <w:rsid w:val="00893288"/>
    <w:rsid w:val="008A3120"/>
    <w:rsid w:val="008A4B97"/>
    <w:rsid w:val="008B416F"/>
    <w:rsid w:val="008C5B8E"/>
    <w:rsid w:val="008C5DD5"/>
    <w:rsid w:val="008C7123"/>
    <w:rsid w:val="008D41BE"/>
    <w:rsid w:val="008D58D3"/>
    <w:rsid w:val="008E3BC9"/>
    <w:rsid w:val="00923064"/>
    <w:rsid w:val="00930FFD"/>
    <w:rsid w:val="00936D25"/>
    <w:rsid w:val="00941EA5"/>
    <w:rsid w:val="00964700"/>
    <w:rsid w:val="00966C16"/>
    <w:rsid w:val="00984CC9"/>
    <w:rsid w:val="0098732F"/>
    <w:rsid w:val="00997736"/>
    <w:rsid w:val="009A045F"/>
    <w:rsid w:val="009A6A2B"/>
    <w:rsid w:val="009C7E7C"/>
    <w:rsid w:val="009E04A1"/>
    <w:rsid w:val="009F422F"/>
    <w:rsid w:val="00A00473"/>
    <w:rsid w:val="00A03C9B"/>
    <w:rsid w:val="00A33274"/>
    <w:rsid w:val="00A37105"/>
    <w:rsid w:val="00A606C3"/>
    <w:rsid w:val="00A83B09"/>
    <w:rsid w:val="00A84541"/>
    <w:rsid w:val="00AB7FDA"/>
    <w:rsid w:val="00AE36A0"/>
    <w:rsid w:val="00B00294"/>
    <w:rsid w:val="00B1304C"/>
    <w:rsid w:val="00B3749C"/>
    <w:rsid w:val="00B64FD0"/>
    <w:rsid w:val="00BA3EE0"/>
    <w:rsid w:val="00BA5BD0"/>
    <w:rsid w:val="00BB1D82"/>
    <w:rsid w:val="00BB6458"/>
    <w:rsid w:val="00BC217E"/>
    <w:rsid w:val="00BD51C5"/>
    <w:rsid w:val="00BE3212"/>
    <w:rsid w:val="00BF26E7"/>
    <w:rsid w:val="00C1305F"/>
    <w:rsid w:val="00C25097"/>
    <w:rsid w:val="00C338FD"/>
    <w:rsid w:val="00C35A3E"/>
    <w:rsid w:val="00C52BCC"/>
    <w:rsid w:val="00C53FCA"/>
    <w:rsid w:val="00C60B27"/>
    <w:rsid w:val="00C71DEB"/>
    <w:rsid w:val="00C76BAF"/>
    <w:rsid w:val="00C77CF8"/>
    <w:rsid w:val="00C814B9"/>
    <w:rsid w:val="00CA31DF"/>
    <w:rsid w:val="00CB685A"/>
    <w:rsid w:val="00CD516F"/>
    <w:rsid w:val="00CF76F2"/>
    <w:rsid w:val="00D119A7"/>
    <w:rsid w:val="00D25FBA"/>
    <w:rsid w:val="00D32B28"/>
    <w:rsid w:val="00D3426F"/>
    <w:rsid w:val="00D42954"/>
    <w:rsid w:val="00D66EAC"/>
    <w:rsid w:val="00D730DF"/>
    <w:rsid w:val="00D772F0"/>
    <w:rsid w:val="00D77BDC"/>
    <w:rsid w:val="00D82BFB"/>
    <w:rsid w:val="00D87F3A"/>
    <w:rsid w:val="00D945ED"/>
    <w:rsid w:val="00DC402B"/>
    <w:rsid w:val="00DE0932"/>
    <w:rsid w:val="00DF15E8"/>
    <w:rsid w:val="00E015A3"/>
    <w:rsid w:val="00E03A27"/>
    <w:rsid w:val="00E049F1"/>
    <w:rsid w:val="00E13300"/>
    <w:rsid w:val="00E37A25"/>
    <w:rsid w:val="00E537FF"/>
    <w:rsid w:val="00E60CB2"/>
    <w:rsid w:val="00E611D0"/>
    <w:rsid w:val="00E6539B"/>
    <w:rsid w:val="00E67FF0"/>
    <w:rsid w:val="00E70A31"/>
    <w:rsid w:val="00E723A7"/>
    <w:rsid w:val="00EA3F38"/>
    <w:rsid w:val="00EA5AB6"/>
    <w:rsid w:val="00EB468E"/>
    <w:rsid w:val="00EC7615"/>
    <w:rsid w:val="00ED16AA"/>
    <w:rsid w:val="00ED6B8D"/>
    <w:rsid w:val="00EE3D7B"/>
    <w:rsid w:val="00EF662E"/>
    <w:rsid w:val="00F10064"/>
    <w:rsid w:val="00F148F1"/>
    <w:rsid w:val="00F23AE9"/>
    <w:rsid w:val="00F26CD8"/>
    <w:rsid w:val="00F711A7"/>
    <w:rsid w:val="00F73F4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4912FB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qFormat/>
    <w:rPr>
      <w:color w:val="0000FF" w:themeColor="hyperlink"/>
      <w:u w:val="single"/>
    </w:rPr>
  </w:style>
  <w:style w:type="character" w:styleId="FollowedHyperlink">
    <w:name w:val="FollowedHyperlink"/>
    <w:basedOn w:val="DefaultParagraphFont"/>
    <w:semiHidden/>
    <w:unhideWhenUsed/>
    <w:rsid w:val="00E67F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RC23-C-0004/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R23-WRC23-C-0111!A25-A3!MSW-F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E4E5F-2AF7-4D27-90B8-FFB41E4114E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BCBA072-91EF-4499-9A9A-25E15BF65DBB}">
  <ds:schemaRefs>
    <ds:schemaRef ds:uri="http://schemas.microsoft.com/sharepoint/events"/>
  </ds:schemaRefs>
</ds:datastoreItem>
</file>

<file path=customXml/itemProps3.xml><?xml version="1.0" encoding="utf-8"?>
<ds:datastoreItem xmlns:ds="http://schemas.openxmlformats.org/officeDocument/2006/customXml" ds:itemID="{3B3B661B-347A-4D08-B953-907360B2F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2843</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R23-WRC23-C-0111!A25-A3!MSW-F</vt:lpstr>
    </vt:vector>
  </TitlesOfParts>
  <Manager>Secrétariat général - Pool</Manager>
  <Company>Union internationale des télécommunications (UIT)</Company>
  <LinksUpToDate>false</LinksUpToDate>
  <CharactersWithSpaces>19135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R23-WRC23-C-0111!A25-A3!MSW-F</dc:title>
  <dc:subject>Conférence mondiale des radiocommunications - 2019</dc:subject>
  <dc:creator>Documents Proposals Manager (DPM)</dc:creator>
  <cp:keywords>DPM_v2023.11.6.1_prod</cp:keywords>
  <dc:description/>
  <cp:lastModifiedBy>French</cp:lastModifiedBy>
  <cp:revision>9</cp:revision>
  <cp:lastPrinted>2003-06-05T19:34:00Z</cp:lastPrinted>
  <dcterms:created xsi:type="dcterms:W3CDTF">2023-11-16T14:15:00Z</dcterms:created>
  <dcterms:modified xsi:type="dcterms:W3CDTF">2023-11-19T15:06:00Z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