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694ABB" w14:paraId="48EF5D04" w14:textId="77777777" w:rsidTr="0080079E">
        <w:trPr>
          <w:cantSplit/>
        </w:trPr>
        <w:tc>
          <w:tcPr>
            <w:tcW w:w="1418" w:type="dxa"/>
            <w:vAlign w:val="center"/>
          </w:tcPr>
          <w:p w14:paraId="765A4C23" w14:textId="77777777" w:rsidR="0080079E" w:rsidRPr="00694ABB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694ABB">
              <w:rPr>
                <w:noProof/>
                <w:lang w:val="es-ES" w:eastAsia="es-ES"/>
              </w:rPr>
              <w:drawing>
                <wp:inline distT="0" distB="0" distL="0" distR="0" wp14:anchorId="02C46929" wp14:editId="4402FEC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127C1D2" w14:textId="77777777" w:rsidR="0080079E" w:rsidRPr="00694ABB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694ABB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694ABB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694ABB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D43465D" w14:textId="77777777" w:rsidR="0080079E" w:rsidRPr="00694ABB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694ABB">
              <w:rPr>
                <w:noProof/>
                <w:lang w:val="es-ES" w:eastAsia="es-ES"/>
              </w:rPr>
              <w:drawing>
                <wp:inline distT="0" distB="0" distL="0" distR="0" wp14:anchorId="41F594BB" wp14:editId="05579265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94ABB" w14:paraId="434A5A11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1D031CE" w14:textId="77777777" w:rsidR="0090121B" w:rsidRPr="00694ABB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B136D06" w14:textId="77777777" w:rsidR="0090121B" w:rsidRPr="00694ABB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694ABB" w14:paraId="0578438A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66E24AE" w14:textId="77777777" w:rsidR="0090121B" w:rsidRPr="00694ABB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A81ED46" w14:textId="77777777" w:rsidR="0090121B" w:rsidRPr="00694ABB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694ABB" w14:paraId="1D254BE6" w14:textId="77777777" w:rsidTr="0090121B">
        <w:trPr>
          <w:cantSplit/>
        </w:trPr>
        <w:tc>
          <w:tcPr>
            <w:tcW w:w="6911" w:type="dxa"/>
            <w:gridSpan w:val="2"/>
          </w:tcPr>
          <w:p w14:paraId="71C3C5F1" w14:textId="77777777" w:rsidR="0090121B" w:rsidRPr="00694ABB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694ABB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E35168C" w14:textId="1A6D582A" w:rsidR="00445F50" w:rsidRDefault="00445F50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Revisión </w:t>
            </w:r>
            <w:r w:rsidR="00FF62F6">
              <w:rPr>
                <w:rFonts w:ascii="Verdana" w:hAnsi="Verdana"/>
                <w:b/>
                <w:sz w:val="18"/>
                <w:szCs w:val="18"/>
                <w:lang w:val="es-ES"/>
              </w:rPr>
              <w:t>4</w:t>
            </w: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al</w:t>
            </w:r>
          </w:p>
          <w:p w14:paraId="7E8DB352" w14:textId="0E86A358" w:rsidR="0090121B" w:rsidRPr="00694ABB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694ABB">
              <w:rPr>
                <w:rFonts w:ascii="Verdana" w:hAnsi="Verdana"/>
                <w:b/>
                <w:sz w:val="18"/>
                <w:szCs w:val="18"/>
                <w:lang w:val="es-ES"/>
              </w:rPr>
              <w:t>Documento 113</w:t>
            </w:r>
            <w:r w:rsidR="0090121B" w:rsidRPr="00694ABB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694ABB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694ABB" w14:paraId="46895CAA" w14:textId="77777777" w:rsidTr="0090121B">
        <w:trPr>
          <w:cantSplit/>
        </w:trPr>
        <w:tc>
          <w:tcPr>
            <w:tcW w:w="6911" w:type="dxa"/>
            <w:gridSpan w:val="2"/>
          </w:tcPr>
          <w:p w14:paraId="3ADD7AD1" w14:textId="77777777" w:rsidR="000A5B9A" w:rsidRPr="00694AB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5DBD699C" w14:textId="44B2EE6D" w:rsidR="000A5B9A" w:rsidRPr="00694ABB" w:rsidRDefault="00FF62F6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>21</w:t>
            </w:r>
            <w:r w:rsidR="00445F50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de noviembre de</w:t>
            </w:r>
            <w:r w:rsidR="000A5B9A" w:rsidRPr="00694ABB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2023</w:t>
            </w:r>
          </w:p>
        </w:tc>
      </w:tr>
      <w:tr w:rsidR="000A5B9A" w:rsidRPr="00694ABB" w14:paraId="691F8974" w14:textId="77777777" w:rsidTr="0090121B">
        <w:trPr>
          <w:cantSplit/>
        </w:trPr>
        <w:tc>
          <w:tcPr>
            <w:tcW w:w="6911" w:type="dxa"/>
            <w:gridSpan w:val="2"/>
          </w:tcPr>
          <w:p w14:paraId="1EB4BB2E" w14:textId="77777777" w:rsidR="000A5B9A" w:rsidRPr="00694AB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167D89E3" w14:textId="77777777" w:rsidR="000A5B9A" w:rsidRPr="00694ABB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694ABB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694ABB" w14:paraId="7B89A6D5" w14:textId="77777777" w:rsidTr="006744FC">
        <w:trPr>
          <w:cantSplit/>
        </w:trPr>
        <w:tc>
          <w:tcPr>
            <w:tcW w:w="10031" w:type="dxa"/>
            <w:gridSpan w:val="4"/>
          </w:tcPr>
          <w:p w14:paraId="79E9059F" w14:textId="77777777" w:rsidR="000A5B9A" w:rsidRPr="00694ABB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694ABB" w14:paraId="1FDAC527" w14:textId="77777777" w:rsidTr="0050008E">
        <w:trPr>
          <w:cantSplit/>
        </w:trPr>
        <w:tc>
          <w:tcPr>
            <w:tcW w:w="10031" w:type="dxa"/>
            <w:gridSpan w:val="4"/>
          </w:tcPr>
          <w:p w14:paraId="6AD2462B" w14:textId="62F7D67B" w:rsidR="000A5B9A" w:rsidRPr="00694ABB" w:rsidRDefault="000A5B9A" w:rsidP="00814CA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694ABB">
              <w:rPr>
                <w:lang w:val="es-ES"/>
              </w:rPr>
              <w:t>Angola (República de)/Benin (República de)/Botswana (República de)/Comoras (Unión de las)/</w:t>
            </w:r>
            <w:r w:rsidR="00FF62F6">
              <w:rPr>
                <w:lang w:val="es-ES"/>
              </w:rPr>
              <w:t>Côte d'Ivoire (República de)/</w:t>
            </w:r>
            <w:r w:rsidRPr="00694ABB">
              <w:rPr>
                <w:lang w:val="es-ES"/>
              </w:rPr>
              <w:t>Eswatini (Reino de)/</w:t>
            </w:r>
            <w:r w:rsidR="00814CAA" w:rsidRPr="00694ABB" w:rsidDel="00814CAA">
              <w:rPr>
                <w:lang w:val="es-ES"/>
              </w:rPr>
              <w:t xml:space="preserve"> </w:t>
            </w:r>
            <w:r w:rsidRPr="00694ABB">
              <w:rPr>
                <w:lang w:val="es-ES"/>
              </w:rPr>
              <w:t>Lesotho (Reino de)/Malawi/Mozambique (República de)/Namibia (República de)/República Democrática del Congo/Sudán del Sur (República de)/Tanzanía (República Unida de)/Togolesa (República)</w:t>
            </w:r>
            <w:r w:rsidR="00F55F58">
              <w:rPr>
                <w:lang w:val="es-ES"/>
              </w:rPr>
              <w:t>/Zambia (República de)</w:t>
            </w:r>
            <w:r w:rsidRPr="00694ABB">
              <w:rPr>
                <w:lang w:val="es-ES"/>
              </w:rPr>
              <w:t>/Zimbabwe (República de)</w:t>
            </w:r>
          </w:p>
        </w:tc>
      </w:tr>
      <w:tr w:rsidR="000A5B9A" w:rsidRPr="00694ABB" w14:paraId="3371AF56" w14:textId="77777777" w:rsidTr="0050008E">
        <w:trPr>
          <w:cantSplit/>
        </w:trPr>
        <w:tc>
          <w:tcPr>
            <w:tcW w:w="10031" w:type="dxa"/>
            <w:gridSpan w:val="4"/>
          </w:tcPr>
          <w:p w14:paraId="26CA2171" w14:textId="4DE9B1D9" w:rsidR="000A5B9A" w:rsidRPr="00694ABB" w:rsidRDefault="00520232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694ABB">
              <w:rPr>
                <w:lang w:val="es-ES"/>
              </w:rPr>
              <w:t>propuestas para los trabajos de la conferencia</w:t>
            </w:r>
          </w:p>
        </w:tc>
      </w:tr>
      <w:tr w:rsidR="000A5B9A" w:rsidRPr="00694ABB" w14:paraId="2993BFCD" w14:textId="77777777" w:rsidTr="0050008E">
        <w:trPr>
          <w:cantSplit/>
        </w:trPr>
        <w:tc>
          <w:tcPr>
            <w:tcW w:w="10031" w:type="dxa"/>
            <w:gridSpan w:val="4"/>
          </w:tcPr>
          <w:p w14:paraId="2B60546E" w14:textId="77777777" w:rsidR="000A5B9A" w:rsidRPr="00694ABB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694ABB" w14:paraId="2A385FC6" w14:textId="77777777" w:rsidTr="0050008E">
        <w:trPr>
          <w:cantSplit/>
        </w:trPr>
        <w:tc>
          <w:tcPr>
            <w:tcW w:w="10031" w:type="dxa"/>
            <w:gridSpan w:val="4"/>
          </w:tcPr>
          <w:p w14:paraId="2431EC06" w14:textId="77777777" w:rsidR="000A5B9A" w:rsidRPr="00694ABB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694ABB">
              <w:rPr>
                <w:lang w:val="es-ES"/>
              </w:rPr>
              <w:t>Punto 10 del orden del día</w:t>
            </w:r>
          </w:p>
        </w:tc>
      </w:tr>
    </w:tbl>
    <w:bookmarkEnd w:id="5"/>
    <w:p w14:paraId="4FBEEE3E" w14:textId="77777777" w:rsidR="0090615C" w:rsidRPr="00694ABB" w:rsidRDefault="0090615C" w:rsidP="0088436A">
      <w:pPr>
        <w:pStyle w:val="Normalaftertitle"/>
        <w:rPr>
          <w:lang w:val="es-ES"/>
        </w:rPr>
      </w:pPr>
      <w:r w:rsidRPr="00694ABB">
        <w:rPr>
          <w:lang w:val="es-ES"/>
        </w:rPr>
        <w:t>10</w:t>
      </w:r>
      <w:r w:rsidRPr="00694ABB">
        <w:rPr>
          <w:lang w:val="es-ES"/>
        </w:rPr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694ABB">
        <w:rPr>
          <w:b/>
          <w:bCs/>
          <w:lang w:val="es-ES"/>
        </w:rPr>
        <w:t>804 (Rev.CMR-19)</w:t>
      </w:r>
      <w:r w:rsidRPr="00694ABB">
        <w:rPr>
          <w:lang w:val="es-ES"/>
        </w:rPr>
        <w:t>,</w:t>
      </w:r>
    </w:p>
    <w:p w14:paraId="06A55AEF" w14:textId="0E260FBD" w:rsidR="009378D6" w:rsidRPr="009378D6" w:rsidRDefault="009378D6" w:rsidP="0088436A">
      <w:pPr>
        <w:pStyle w:val="Headingb"/>
        <w:rPr>
          <w:lang w:val="es-ES"/>
        </w:rPr>
      </w:pPr>
      <w:r w:rsidRPr="009378D6">
        <w:rPr>
          <w:lang w:val="es-ES"/>
        </w:rPr>
        <w:t>Introduc</w:t>
      </w:r>
      <w:r w:rsidR="00D8511A" w:rsidRPr="00694ABB">
        <w:rPr>
          <w:lang w:val="es-ES"/>
        </w:rPr>
        <w:t>ció</w:t>
      </w:r>
      <w:r w:rsidRPr="009378D6">
        <w:rPr>
          <w:lang w:val="es-ES"/>
        </w:rPr>
        <w:t>n</w:t>
      </w:r>
    </w:p>
    <w:p w14:paraId="2A9DC0D5" w14:textId="5AE23023" w:rsidR="00D8511A" w:rsidRPr="00694ABB" w:rsidRDefault="00694ABB" w:rsidP="009378D6">
      <w:pPr>
        <w:rPr>
          <w:lang w:val="es-ES"/>
        </w:rPr>
      </w:pPr>
      <w:r w:rsidRPr="00694ABB">
        <w:rPr>
          <w:lang w:val="es-ES"/>
        </w:rPr>
        <w:t>Puede presentarse a la CMR-23 u</w:t>
      </w:r>
      <w:r w:rsidR="00D8511A" w:rsidRPr="00694ABB">
        <w:rPr>
          <w:lang w:val="es-ES"/>
        </w:rPr>
        <w:t xml:space="preserve">na propuesta para que </w:t>
      </w:r>
      <w:r w:rsidRPr="00694ABB">
        <w:rPr>
          <w:lang w:val="es-ES"/>
        </w:rPr>
        <w:t xml:space="preserve">se </w:t>
      </w:r>
      <w:r w:rsidR="00D8511A" w:rsidRPr="00694ABB">
        <w:rPr>
          <w:lang w:val="es-ES"/>
        </w:rPr>
        <w:t xml:space="preserve">considere un futuro punto del orden del día de la CMR-27 sobre la revisión de los límites de densidad de flujo de potencia equivalente (dfpe) del Artículo </w:t>
      </w:r>
      <w:r w:rsidR="00D8511A" w:rsidRPr="00694ABB">
        <w:rPr>
          <w:b/>
          <w:lang w:val="es-ES"/>
        </w:rPr>
        <w:t>22</w:t>
      </w:r>
      <w:r w:rsidR="00D8511A" w:rsidRPr="00694ABB">
        <w:rPr>
          <w:lang w:val="es-ES"/>
        </w:rPr>
        <w:t xml:space="preserve"> del Reglamento de Radiocomunicaciones (RR) de la UIT. En los preparativos regionales de la Unión Africana de Telecomunicaciones para la CMR-23, esta propuesta de punto del orden del día fue rechazada por un número significativo de países de África debido a las posibles repercusiones negativas sobre los sistemas de </w:t>
      </w:r>
      <w:r w:rsidR="006440F3" w:rsidRPr="00694ABB">
        <w:rPr>
          <w:lang w:val="es-ES"/>
        </w:rPr>
        <w:t xml:space="preserve">satélites de </w:t>
      </w:r>
      <w:r w:rsidR="00D8511A" w:rsidRPr="00694ABB">
        <w:rPr>
          <w:lang w:val="es-ES"/>
        </w:rPr>
        <w:t>órbita geoestacionar</w:t>
      </w:r>
      <w:r w:rsidR="006440F3">
        <w:rPr>
          <w:lang w:val="es-ES"/>
        </w:rPr>
        <w:t>ia</w:t>
      </w:r>
      <w:r w:rsidR="00D8511A" w:rsidRPr="00694ABB">
        <w:rPr>
          <w:lang w:val="es-ES"/>
        </w:rPr>
        <w:t xml:space="preserve"> (OSG) actuales y previstos.</w:t>
      </w:r>
    </w:p>
    <w:p w14:paraId="67AF8BFD" w14:textId="5338253C" w:rsidR="00D8511A" w:rsidRPr="00694ABB" w:rsidRDefault="00D8511A" w:rsidP="009378D6">
      <w:pPr>
        <w:rPr>
          <w:lang w:val="es-ES"/>
        </w:rPr>
      </w:pPr>
      <w:r w:rsidRPr="00694ABB">
        <w:rPr>
          <w:lang w:val="es-ES"/>
        </w:rPr>
        <w:t xml:space="preserve">El Artículo </w:t>
      </w:r>
      <w:r w:rsidRPr="00694ABB">
        <w:rPr>
          <w:b/>
          <w:lang w:val="es-ES"/>
        </w:rPr>
        <w:t>22</w:t>
      </w:r>
      <w:r w:rsidRPr="00694ABB">
        <w:rPr>
          <w:lang w:val="es-ES"/>
        </w:rPr>
        <w:t xml:space="preserve"> del RR es un marco internacional claro y establecido desde hace tiempo que define el nivel de interferencia que los satélites no OSG pueden generar en los satélites OSG, </w:t>
      </w:r>
      <w:r w:rsidR="006440F3">
        <w:rPr>
          <w:lang w:val="es-ES"/>
        </w:rPr>
        <w:t xml:space="preserve">y que protege </w:t>
      </w:r>
      <w:r w:rsidRPr="00694ABB">
        <w:rPr>
          <w:lang w:val="es-ES"/>
        </w:rPr>
        <w:t>a más de 600 satélites OSG</w:t>
      </w:r>
      <w:r w:rsidR="006440F3">
        <w:rPr>
          <w:lang w:val="es-ES"/>
        </w:rPr>
        <w:t>,</w:t>
      </w:r>
      <w:r w:rsidRPr="00694ABB">
        <w:rPr>
          <w:lang w:val="es-ES"/>
        </w:rPr>
        <w:t xml:space="preserve"> permitiendo que cada tecnología se desarrolle, innove y evolucione sin </w:t>
      </w:r>
      <w:r w:rsidR="006440F3">
        <w:rPr>
          <w:lang w:val="es-ES"/>
        </w:rPr>
        <w:t>introducir limitaciones</w:t>
      </w:r>
      <w:r w:rsidRPr="00694ABB">
        <w:rPr>
          <w:lang w:val="es-ES"/>
        </w:rPr>
        <w:t xml:space="preserve"> innecesaria</w:t>
      </w:r>
      <w:r w:rsidR="006440F3">
        <w:rPr>
          <w:lang w:val="es-ES"/>
        </w:rPr>
        <w:t>s</w:t>
      </w:r>
      <w:r w:rsidRPr="00694ABB">
        <w:rPr>
          <w:lang w:val="es-ES"/>
        </w:rPr>
        <w:t xml:space="preserve"> a las otras.</w:t>
      </w:r>
    </w:p>
    <w:p w14:paraId="4BA9DB2B" w14:textId="4BD96A94" w:rsidR="00D22155" w:rsidRPr="00694ABB" w:rsidRDefault="00D22155" w:rsidP="009378D6">
      <w:pPr>
        <w:rPr>
          <w:lang w:val="es-ES"/>
        </w:rPr>
      </w:pPr>
      <w:r w:rsidRPr="00694ABB">
        <w:rPr>
          <w:lang w:val="es-ES"/>
        </w:rPr>
        <w:t xml:space="preserve">Hasta la fecha, se han realizado importantes inversiones en redes y servicios de satélites OSG basados en las bandas Ka y Ku con arreglo al actual marco de dfpe especificado en el Artículo </w:t>
      </w:r>
      <w:r w:rsidRPr="00694ABB">
        <w:rPr>
          <w:b/>
          <w:lang w:val="es-ES"/>
        </w:rPr>
        <w:t>22</w:t>
      </w:r>
      <w:r w:rsidRPr="00694ABB">
        <w:rPr>
          <w:lang w:val="es-ES"/>
        </w:rPr>
        <w:t xml:space="preserve"> del RR. Además, se han lanzado recientemente nuevos e innovadores servicios y redes OSG en las bandas Ku y Ka, y se están desarrollando muchos más para los próximos años, todos ellos contando con los actuales límites de dfpe del Artículo </w:t>
      </w:r>
      <w:r w:rsidRPr="00694ABB">
        <w:rPr>
          <w:b/>
          <w:lang w:val="es-ES"/>
        </w:rPr>
        <w:t>22</w:t>
      </w:r>
      <w:r w:rsidRPr="00694ABB">
        <w:rPr>
          <w:lang w:val="es-ES"/>
        </w:rPr>
        <w:t xml:space="preserve"> del RR. </w:t>
      </w:r>
      <w:r w:rsidR="006440F3">
        <w:rPr>
          <w:lang w:val="es-ES"/>
        </w:rPr>
        <w:t>La continuidad</w:t>
      </w:r>
      <w:r w:rsidRPr="00694ABB">
        <w:rPr>
          <w:lang w:val="es-ES"/>
        </w:rPr>
        <w:t xml:space="preserve"> de la certidumbre que proporcionan los límites de dfpe de los sistemas no OSG existentes respecto de las operaciones de las redes OSG del SFS y SRS que utilizan las bandas de frecuencias Ku y Ka es de vital </w:t>
      </w:r>
      <w:r w:rsidRPr="00694ABB">
        <w:rPr>
          <w:lang w:val="es-ES"/>
        </w:rPr>
        <w:lastRenderedPageBreak/>
        <w:t xml:space="preserve">importancia para permitir una innovación continuada en </w:t>
      </w:r>
      <w:r w:rsidR="006440F3">
        <w:rPr>
          <w:lang w:val="es-ES"/>
        </w:rPr>
        <w:t>la órbita geoestacionaria</w:t>
      </w:r>
      <w:r w:rsidRPr="00694ABB">
        <w:rPr>
          <w:lang w:val="es-ES"/>
        </w:rPr>
        <w:t>, el lanzamiento de nuevos satélites y servicios OSG y la prestación de servicios OSG libres de interferencias</w:t>
      </w:r>
      <w:r w:rsidR="006440F3">
        <w:rPr>
          <w:lang w:val="es-ES"/>
        </w:rPr>
        <w:t xml:space="preserve"> y que sean</w:t>
      </w:r>
      <w:r w:rsidRPr="00694ABB">
        <w:rPr>
          <w:lang w:val="es-ES"/>
        </w:rPr>
        <w:t xml:space="preserve"> fiables en todo el mundo.</w:t>
      </w:r>
    </w:p>
    <w:p w14:paraId="29DC547E" w14:textId="19F3DC6D" w:rsidR="002C0137" w:rsidRPr="00694ABB" w:rsidRDefault="002C0137" w:rsidP="009378D6">
      <w:pPr>
        <w:rPr>
          <w:lang w:val="es-ES"/>
        </w:rPr>
      </w:pPr>
      <w:r w:rsidRPr="00694ABB">
        <w:rPr>
          <w:lang w:val="es-ES"/>
        </w:rPr>
        <w:t xml:space="preserve">El marco de dfpe del Artículo </w:t>
      </w:r>
      <w:r w:rsidRPr="00694ABB">
        <w:rPr>
          <w:b/>
          <w:lang w:val="es-ES"/>
        </w:rPr>
        <w:t>22</w:t>
      </w:r>
      <w:r w:rsidRPr="00694ABB">
        <w:rPr>
          <w:lang w:val="es-ES"/>
        </w:rPr>
        <w:t xml:space="preserve"> del RR no </w:t>
      </w:r>
      <w:r w:rsidR="00BC21BB">
        <w:rPr>
          <w:lang w:val="es-ES"/>
        </w:rPr>
        <w:t>«</w:t>
      </w:r>
      <w:r w:rsidRPr="00694ABB">
        <w:rPr>
          <w:lang w:val="es-ES"/>
        </w:rPr>
        <w:t>sobreprotege</w:t>
      </w:r>
      <w:r w:rsidR="00BC21BB">
        <w:rPr>
          <w:lang w:val="es-ES"/>
        </w:rPr>
        <w:t>»</w:t>
      </w:r>
      <w:r w:rsidRPr="00694ABB">
        <w:rPr>
          <w:lang w:val="es-ES"/>
        </w:rPr>
        <w:t xml:space="preserve"> las redes OSG de las bandas Ku y Ka frente a las interferencias de los sistemas no OSG. Los rebasamientos de los límites de dfpe existentes pueden degradar e interrumpir los servicios OSG y reducir la capacidad de las redes OSG. Incluso los rebasamientos de la dfpe de corta duración pueden interrumpir los servicios OSG (por ejemplo, degradar el servicio o interrumpir un enlace crítico de comunicaciones, una videollamada o un acontecimiento informativo o deportivo en directo, y aumentar el tiempo necesario para recuperarse de las interrupciones de este tipo). Los límites existentes de dfpe no OSG del Artículo </w:t>
      </w:r>
      <w:r w:rsidRPr="00694ABB">
        <w:rPr>
          <w:b/>
          <w:lang w:val="es-ES"/>
        </w:rPr>
        <w:t>22</w:t>
      </w:r>
      <w:r w:rsidRPr="00694ABB">
        <w:rPr>
          <w:lang w:val="es-ES"/>
        </w:rPr>
        <w:t xml:space="preserve"> del RR se establecieron a partir de unos estudios exhaustivos realizados durante aproximadamente una década y que se basaron en cientos de enlaces OSG de referencia, cuyas características siguen siendo </w:t>
      </w:r>
      <w:r w:rsidR="006440F3">
        <w:rPr>
          <w:lang w:val="es-ES"/>
        </w:rPr>
        <w:t>pertinentes</w:t>
      </w:r>
      <w:r w:rsidRPr="00694ABB">
        <w:rPr>
          <w:lang w:val="es-ES"/>
        </w:rPr>
        <w:t xml:space="preserve"> a día de hoy. Se utilizaron los requisitos adecuados de los umbrales de las interferencias de corta y larga duración de la Recomendación </w:t>
      </w:r>
      <w:hyperlink r:id="rId14" w:history="1">
        <w:r w:rsidRPr="00694ABB">
          <w:rPr>
            <w:rStyle w:val="Hyperlink"/>
            <w:lang w:val="es-ES"/>
          </w:rPr>
          <w:t>UIT-R S.1323</w:t>
        </w:r>
      </w:hyperlink>
      <w:r w:rsidRPr="00694ABB">
        <w:rPr>
          <w:lang w:val="es-ES"/>
        </w:rPr>
        <w:t xml:space="preserve">, que sigue siendo </w:t>
      </w:r>
      <w:r w:rsidR="006440F3">
        <w:rPr>
          <w:lang w:val="es-ES"/>
        </w:rPr>
        <w:t>relevante</w:t>
      </w:r>
      <w:r w:rsidRPr="00694ABB">
        <w:rPr>
          <w:lang w:val="es-ES"/>
        </w:rPr>
        <w:t xml:space="preserve"> y está en vigor.</w:t>
      </w:r>
    </w:p>
    <w:p w14:paraId="5DF68F58" w14:textId="1D47A553" w:rsidR="009378D6" w:rsidRPr="009378D6" w:rsidRDefault="00694ABB" w:rsidP="009378D6">
      <w:pPr>
        <w:rPr>
          <w:lang w:val="es-ES"/>
        </w:rPr>
      </w:pPr>
      <w:r w:rsidRPr="00694ABB">
        <w:rPr>
          <w:lang w:val="es-ES"/>
        </w:rPr>
        <w:t xml:space="preserve">Dado el aumento del número de sistemas no OSG, es esencial centrarse en la protección global combinada de las redes OSG definidas por la Resolución </w:t>
      </w:r>
      <w:r w:rsidRPr="00694ABB">
        <w:rPr>
          <w:b/>
          <w:lang w:val="es-ES"/>
        </w:rPr>
        <w:t>76 (Rev.CMR-15)</w:t>
      </w:r>
      <w:r w:rsidRPr="00694ABB">
        <w:rPr>
          <w:lang w:val="es-ES"/>
        </w:rPr>
        <w:t>. En el Tema J del punto 7 del orden del día de la CMR-23, se están considerando reuniones de consulta a las administraciones para calcular la dfpe combinada de múltiples sistemas no OSG. Una revisión de los límites de dfpe combinada causaría incertidumbre a las redes OSG y a los sistemas no OSG y retrasaría las reuniones</w:t>
      </w:r>
      <w:r w:rsidR="006440F3" w:rsidRPr="00694ABB">
        <w:rPr>
          <w:lang w:val="es-ES"/>
        </w:rPr>
        <w:t>, tan necesarias,</w:t>
      </w:r>
      <w:r w:rsidRPr="00694ABB">
        <w:rPr>
          <w:lang w:val="es-ES"/>
        </w:rPr>
        <w:t xml:space="preserve"> de consulta de las administraciones</w:t>
      </w:r>
      <w:r w:rsidR="006440F3">
        <w:rPr>
          <w:lang w:val="es-ES"/>
        </w:rPr>
        <w:t>,</w:t>
      </w:r>
      <w:r w:rsidRPr="00694ABB">
        <w:rPr>
          <w:lang w:val="es-ES"/>
        </w:rPr>
        <w:t xml:space="preserve"> exponiendo las redes OSG a un riesgo real de interferencias combinadas procedentes de los sistemas no OSG.</w:t>
      </w:r>
    </w:p>
    <w:p w14:paraId="56E6087F" w14:textId="233A4074" w:rsidR="009378D6" w:rsidRPr="009378D6" w:rsidRDefault="009378D6" w:rsidP="0088436A">
      <w:pPr>
        <w:pStyle w:val="Headingb"/>
        <w:rPr>
          <w:lang w:val="es-ES"/>
        </w:rPr>
      </w:pPr>
      <w:r w:rsidRPr="009378D6">
        <w:rPr>
          <w:lang w:val="es-ES"/>
        </w:rPr>
        <w:t>Prop</w:t>
      </w:r>
      <w:r w:rsidR="00694ABB" w:rsidRPr="00694ABB">
        <w:rPr>
          <w:lang w:val="es-ES"/>
        </w:rPr>
        <w:t>uesta</w:t>
      </w:r>
    </w:p>
    <w:p w14:paraId="51E0CEB2" w14:textId="3B5C143F" w:rsidR="009378D6" w:rsidRPr="009378D6" w:rsidRDefault="00694ABB" w:rsidP="009378D6">
      <w:pPr>
        <w:rPr>
          <w:lang w:val="es-ES"/>
        </w:rPr>
      </w:pPr>
      <w:r w:rsidRPr="00694ABB">
        <w:rPr>
          <w:lang w:val="es-ES"/>
        </w:rPr>
        <w:t xml:space="preserve">Los firmantes de esta contribución se oponen a un futuro punto del orden del día de la CMR-27 sobre la revisión de los límites de dfpe del Artículo </w:t>
      </w:r>
      <w:r w:rsidRPr="00694ABB">
        <w:rPr>
          <w:b/>
          <w:lang w:val="es-ES"/>
        </w:rPr>
        <w:t>22</w:t>
      </w:r>
      <w:r w:rsidRPr="00694ABB">
        <w:rPr>
          <w:lang w:val="es-ES"/>
        </w:rPr>
        <w:t xml:space="preserve"> del RR en las bandas Ku y Ka</w:t>
      </w:r>
      <w:r w:rsidR="009378D6" w:rsidRPr="009378D6">
        <w:rPr>
          <w:lang w:val="es-ES"/>
        </w:rPr>
        <w:t>.</w:t>
      </w:r>
    </w:p>
    <w:p w14:paraId="62E87341" w14:textId="700AB995" w:rsidR="008750A8" w:rsidRPr="00694ABB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694ABB">
        <w:rPr>
          <w:lang w:val="es-ES"/>
        </w:rPr>
        <w:br w:type="page"/>
      </w:r>
    </w:p>
    <w:p w14:paraId="0A9A67BF" w14:textId="340484DC" w:rsidR="004F5D05" w:rsidRPr="00694ABB" w:rsidRDefault="0090615C">
      <w:pPr>
        <w:pStyle w:val="Proposal"/>
        <w:rPr>
          <w:lang w:val="es-ES"/>
        </w:rPr>
      </w:pPr>
      <w:r w:rsidRPr="00694ABB">
        <w:rPr>
          <w:u w:val="single"/>
          <w:lang w:val="es-ES"/>
        </w:rPr>
        <w:lastRenderedPageBreak/>
        <w:t>NOC</w:t>
      </w:r>
      <w:r w:rsidRPr="00694ABB">
        <w:rPr>
          <w:lang w:val="es-ES"/>
        </w:rPr>
        <w:tab/>
        <w:t>AGL/BEN/BOT/COM/</w:t>
      </w:r>
      <w:r w:rsidR="00FF62F6">
        <w:rPr>
          <w:lang w:val="es-ES"/>
        </w:rPr>
        <w:t>CTI/</w:t>
      </w:r>
      <w:r w:rsidRPr="00694ABB">
        <w:rPr>
          <w:lang w:val="es-ES"/>
        </w:rPr>
        <w:t>SWZ/LSO/MWI/MOZ/NMB/COD/SSD/TZA/TGO/</w:t>
      </w:r>
      <w:r w:rsidR="0098233F">
        <w:rPr>
          <w:lang w:val="es-ES"/>
        </w:rPr>
        <w:t>ZMB/</w:t>
      </w:r>
      <w:r w:rsidRPr="00694ABB">
        <w:rPr>
          <w:lang w:val="es-ES"/>
        </w:rPr>
        <w:t>ZWE/113/1</w:t>
      </w:r>
    </w:p>
    <w:p w14:paraId="608AC9C6" w14:textId="77777777" w:rsidR="0090615C" w:rsidRPr="0088436A" w:rsidRDefault="0090615C" w:rsidP="0088436A">
      <w:pPr>
        <w:pStyle w:val="ArtNo"/>
      </w:pPr>
      <w:bookmarkStart w:id="6" w:name="_Toc48141342"/>
      <w:r w:rsidRPr="0088436A">
        <w:t xml:space="preserve">ARTÍCULO </w:t>
      </w:r>
      <w:r w:rsidRPr="0088436A">
        <w:rPr>
          <w:rStyle w:val="href"/>
        </w:rPr>
        <w:t>22</w:t>
      </w:r>
      <w:bookmarkEnd w:id="6"/>
    </w:p>
    <w:p w14:paraId="476BA465" w14:textId="77777777" w:rsidR="0090615C" w:rsidRPr="00694ABB" w:rsidRDefault="0090615C" w:rsidP="006537F1">
      <w:pPr>
        <w:pStyle w:val="Arttitle"/>
        <w:rPr>
          <w:position w:val="6"/>
          <w:sz w:val="18"/>
          <w:lang w:val="es-ES"/>
        </w:rPr>
      </w:pPr>
      <w:bookmarkStart w:id="7" w:name="_Toc48141343"/>
      <w:r w:rsidRPr="00694ABB">
        <w:rPr>
          <w:lang w:val="es-ES"/>
        </w:rPr>
        <w:t>Servicios espaciales</w:t>
      </w:r>
      <w:r w:rsidRPr="00694ABB">
        <w:rPr>
          <w:rStyle w:val="FootnoteReference"/>
          <w:b w:val="0"/>
          <w:lang w:val="es-ES"/>
        </w:rPr>
        <w:t>1</w:t>
      </w:r>
      <w:bookmarkEnd w:id="7"/>
    </w:p>
    <w:p w14:paraId="0E120DDB" w14:textId="7769C917" w:rsidR="00694ABB" w:rsidRPr="00694ABB" w:rsidRDefault="0090615C" w:rsidP="00694ABB">
      <w:pPr>
        <w:pStyle w:val="Reasons"/>
        <w:rPr>
          <w:bCs/>
          <w:lang w:val="es-ES"/>
        </w:rPr>
      </w:pPr>
      <w:r w:rsidRPr="00694ABB">
        <w:rPr>
          <w:b/>
          <w:lang w:val="es-ES"/>
        </w:rPr>
        <w:t>Motivos:</w:t>
      </w:r>
      <w:r w:rsidRPr="00694ABB">
        <w:rPr>
          <w:lang w:val="es-ES"/>
        </w:rPr>
        <w:tab/>
      </w:r>
      <w:r w:rsidR="00694ABB" w:rsidRPr="00694ABB">
        <w:rPr>
          <w:bCs/>
          <w:lang w:val="es-ES"/>
        </w:rPr>
        <w:t xml:space="preserve">La propuesta de revisar los límites de dfpe del Artículo </w:t>
      </w:r>
      <w:r w:rsidR="00694ABB" w:rsidRPr="008D1666">
        <w:rPr>
          <w:b/>
          <w:bCs/>
          <w:lang w:val="es-ES"/>
        </w:rPr>
        <w:t>22</w:t>
      </w:r>
      <w:r w:rsidR="00694ABB" w:rsidRPr="00694ABB">
        <w:rPr>
          <w:bCs/>
          <w:lang w:val="es-ES"/>
        </w:rPr>
        <w:t xml:space="preserve"> del RR introduce un</w:t>
      </w:r>
      <w:r w:rsidR="008D1666">
        <w:rPr>
          <w:bCs/>
          <w:lang w:val="es-ES"/>
        </w:rPr>
        <w:t>os</w:t>
      </w:r>
      <w:r w:rsidR="00694ABB" w:rsidRPr="00694ABB">
        <w:rPr>
          <w:bCs/>
          <w:lang w:val="es-ES"/>
        </w:rPr>
        <w:t xml:space="preserve"> riesgo</w:t>
      </w:r>
      <w:r w:rsidR="008D1666">
        <w:rPr>
          <w:bCs/>
          <w:lang w:val="es-ES"/>
        </w:rPr>
        <w:t>s</w:t>
      </w:r>
      <w:r w:rsidR="00694ABB" w:rsidRPr="00694ABB">
        <w:rPr>
          <w:bCs/>
          <w:lang w:val="es-ES"/>
        </w:rPr>
        <w:t xml:space="preserve"> y una incertidumbre </w:t>
      </w:r>
      <w:r w:rsidR="008D1666">
        <w:rPr>
          <w:bCs/>
          <w:lang w:val="es-ES"/>
        </w:rPr>
        <w:t>excesiv</w:t>
      </w:r>
      <w:r w:rsidR="00694ABB" w:rsidRPr="00694ABB">
        <w:rPr>
          <w:bCs/>
          <w:lang w:val="es-ES"/>
        </w:rPr>
        <w:t xml:space="preserve">os para las administraciones y los operadores que han desplegado </w:t>
      </w:r>
      <w:r w:rsidR="008D1666" w:rsidRPr="00694ABB">
        <w:rPr>
          <w:bCs/>
          <w:lang w:val="es-ES"/>
        </w:rPr>
        <w:t xml:space="preserve">servicios </w:t>
      </w:r>
      <w:r w:rsidR="00694ABB" w:rsidRPr="00694ABB">
        <w:rPr>
          <w:bCs/>
          <w:lang w:val="es-ES"/>
        </w:rPr>
        <w:t xml:space="preserve">y </w:t>
      </w:r>
      <w:r w:rsidR="008D1666" w:rsidRPr="00694ABB">
        <w:rPr>
          <w:bCs/>
          <w:lang w:val="es-ES"/>
        </w:rPr>
        <w:t xml:space="preserve">redes </w:t>
      </w:r>
      <w:r w:rsidR="00694ABB" w:rsidRPr="00694ABB">
        <w:rPr>
          <w:bCs/>
          <w:lang w:val="es-ES"/>
        </w:rPr>
        <w:t xml:space="preserve">de satélites OSG basándose en un marco de dfpe estable y predecible como es el Artículo </w:t>
      </w:r>
      <w:r w:rsidR="00694ABB" w:rsidRPr="008D1666">
        <w:rPr>
          <w:b/>
          <w:bCs/>
          <w:lang w:val="es-ES"/>
        </w:rPr>
        <w:t>22</w:t>
      </w:r>
      <w:r w:rsidR="00694ABB" w:rsidRPr="00694ABB">
        <w:rPr>
          <w:bCs/>
          <w:lang w:val="es-ES"/>
        </w:rPr>
        <w:t xml:space="preserve"> del RR. Además, la propuesta </w:t>
      </w:r>
      <w:r w:rsidR="008D1666">
        <w:rPr>
          <w:bCs/>
          <w:lang w:val="es-ES"/>
        </w:rPr>
        <w:t xml:space="preserve">de </w:t>
      </w:r>
      <w:r w:rsidR="008D1666" w:rsidRPr="00694ABB">
        <w:rPr>
          <w:bCs/>
          <w:lang w:val="es-ES"/>
        </w:rPr>
        <w:t xml:space="preserve">revisión </w:t>
      </w:r>
      <w:r w:rsidR="00694ABB" w:rsidRPr="00694ABB">
        <w:rPr>
          <w:bCs/>
          <w:lang w:val="es-ES"/>
        </w:rPr>
        <w:t xml:space="preserve">del Artículo </w:t>
      </w:r>
      <w:r w:rsidR="00694ABB" w:rsidRPr="008D1666">
        <w:rPr>
          <w:b/>
          <w:bCs/>
          <w:lang w:val="es-ES"/>
        </w:rPr>
        <w:t>22</w:t>
      </w:r>
      <w:r w:rsidR="00694ABB" w:rsidRPr="00694ABB">
        <w:rPr>
          <w:bCs/>
          <w:lang w:val="es-ES"/>
        </w:rPr>
        <w:t xml:space="preserve"> del RR retrasará significativamente la implementación de programas de satélites regionales </w:t>
      </w:r>
      <w:r w:rsidR="008D1666">
        <w:rPr>
          <w:bCs/>
          <w:lang w:val="es-ES"/>
        </w:rPr>
        <w:t>y</w:t>
      </w:r>
      <w:r w:rsidR="00694ABB" w:rsidRPr="00694ABB">
        <w:rPr>
          <w:bCs/>
          <w:lang w:val="es-ES"/>
        </w:rPr>
        <w:t xml:space="preserve"> nacionales, muchos de los cuales se encuentran en fases avanzadas de planificación y desarrollo.</w:t>
      </w:r>
    </w:p>
    <w:p w14:paraId="447C809D" w14:textId="160A90F8" w:rsidR="00D8511A" w:rsidRPr="00694ABB" w:rsidRDefault="00D8511A" w:rsidP="00252C8B">
      <w:pPr>
        <w:jc w:val="center"/>
        <w:rPr>
          <w:lang w:val="es-ES"/>
        </w:rPr>
      </w:pPr>
      <w:r w:rsidRPr="00694ABB">
        <w:rPr>
          <w:lang w:val="es-ES"/>
        </w:rPr>
        <w:t>_______________</w:t>
      </w:r>
    </w:p>
    <w:sectPr w:rsidR="00D8511A" w:rsidRPr="00694ABB"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5904" w14:textId="77777777" w:rsidR="00666B37" w:rsidRDefault="00666B37">
      <w:r>
        <w:separator/>
      </w:r>
    </w:p>
  </w:endnote>
  <w:endnote w:type="continuationSeparator" w:id="0">
    <w:p w14:paraId="6876007C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FC2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1C43F" w14:textId="4F17A41D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62F6">
      <w:rPr>
        <w:noProof/>
      </w:rPr>
      <w:t>20.11.23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8E1F" w14:textId="76284B18" w:rsidR="0077084A" w:rsidRPr="00A26F89" w:rsidRDefault="00A26F89" w:rsidP="00A26F8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P:\ESP\ITU-R\CONF-R\CMR23\100\113REV4S.docx</w:t>
    </w:r>
    <w:r>
      <w:fldChar w:fldCharType="end"/>
    </w:r>
    <w:r w:rsidRPr="0090615C">
      <w:rPr>
        <w:lang w:val="en-US"/>
      </w:rPr>
      <w:t xml:space="preserve"> (</w:t>
    </w:r>
    <w:r>
      <w:rPr>
        <w:lang w:val="en-US"/>
      </w:rPr>
      <w:t>531723)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A5B7" w14:textId="43CC1C35" w:rsidR="0077084A" w:rsidRPr="00F55F58" w:rsidRDefault="00F55F58" w:rsidP="00F55F58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26F89">
      <w:rPr>
        <w:lang w:val="en-US"/>
      </w:rPr>
      <w:t>P:\ESP\ITU-R\CONF-R\CMR23\100\113REV4S.docx</w:t>
    </w:r>
    <w:r>
      <w:fldChar w:fldCharType="end"/>
    </w:r>
    <w:r w:rsidRPr="0090615C">
      <w:rPr>
        <w:lang w:val="en-US"/>
      </w:rPr>
      <w:t xml:space="preserve"> (</w:t>
    </w:r>
    <w:r>
      <w:rPr>
        <w:lang w:val="en-US"/>
      </w:rPr>
      <w:t>531</w:t>
    </w:r>
    <w:r w:rsidR="00A26F89">
      <w:rPr>
        <w:lang w:val="en-US"/>
      </w:rPr>
      <w:t>723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D29C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FDF6F6D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8E0F" w14:textId="2C14D088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3F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11BF9E" w14:textId="3A018015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113</w:t>
    </w:r>
    <w:r w:rsidR="00F55F58">
      <w:t>(Rev.</w:t>
    </w:r>
    <w:r w:rsidR="00FF62F6">
      <w:t>4</w:t>
    </w:r>
    <w:r w:rsidR="00F55F58">
      <w:t>)</w:t>
    </w:r>
    <w:r w:rsidR="00702F3D">
      <w:t>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52401400">
    <w:abstractNumId w:val="8"/>
  </w:num>
  <w:num w:numId="2" w16cid:durableId="190795774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08299595">
    <w:abstractNumId w:val="9"/>
  </w:num>
  <w:num w:numId="4" w16cid:durableId="1086149977">
    <w:abstractNumId w:val="7"/>
  </w:num>
  <w:num w:numId="5" w16cid:durableId="479855671">
    <w:abstractNumId w:val="6"/>
  </w:num>
  <w:num w:numId="6" w16cid:durableId="874468070">
    <w:abstractNumId w:val="5"/>
  </w:num>
  <w:num w:numId="7" w16cid:durableId="1688368295">
    <w:abstractNumId w:val="4"/>
  </w:num>
  <w:num w:numId="8" w16cid:durableId="903487395">
    <w:abstractNumId w:val="3"/>
  </w:num>
  <w:num w:numId="9" w16cid:durableId="517625602">
    <w:abstractNumId w:val="2"/>
  </w:num>
  <w:num w:numId="10" w16cid:durableId="2030177533">
    <w:abstractNumId w:val="1"/>
  </w:num>
  <w:num w:numId="11" w16cid:durableId="99576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45FF"/>
    <w:rsid w:val="0002785D"/>
    <w:rsid w:val="0004416F"/>
    <w:rsid w:val="00067A81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1728"/>
    <w:rsid w:val="001C41FA"/>
    <w:rsid w:val="001E2B52"/>
    <w:rsid w:val="001E3F27"/>
    <w:rsid w:val="001E7D42"/>
    <w:rsid w:val="0023659C"/>
    <w:rsid w:val="00236D2A"/>
    <w:rsid w:val="0024569E"/>
    <w:rsid w:val="00252C8B"/>
    <w:rsid w:val="00255F12"/>
    <w:rsid w:val="00262C09"/>
    <w:rsid w:val="0028073D"/>
    <w:rsid w:val="002A791F"/>
    <w:rsid w:val="002C0137"/>
    <w:rsid w:val="002C1A52"/>
    <w:rsid w:val="002C1B26"/>
    <w:rsid w:val="002C5D6C"/>
    <w:rsid w:val="002E701F"/>
    <w:rsid w:val="00312446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45F50"/>
    <w:rsid w:val="0045384C"/>
    <w:rsid w:val="00454553"/>
    <w:rsid w:val="00472A86"/>
    <w:rsid w:val="004B124A"/>
    <w:rsid w:val="004B3095"/>
    <w:rsid w:val="004D2749"/>
    <w:rsid w:val="004D2C7C"/>
    <w:rsid w:val="004F5D05"/>
    <w:rsid w:val="005133B5"/>
    <w:rsid w:val="00520232"/>
    <w:rsid w:val="00524392"/>
    <w:rsid w:val="00532097"/>
    <w:rsid w:val="00577658"/>
    <w:rsid w:val="0058350F"/>
    <w:rsid w:val="00583C7E"/>
    <w:rsid w:val="0059098E"/>
    <w:rsid w:val="005A3FDE"/>
    <w:rsid w:val="005D46FB"/>
    <w:rsid w:val="005F2605"/>
    <w:rsid w:val="005F3B0E"/>
    <w:rsid w:val="005F3DB8"/>
    <w:rsid w:val="005F559C"/>
    <w:rsid w:val="00602857"/>
    <w:rsid w:val="006124AD"/>
    <w:rsid w:val="00624009"/>
    <w:rsid w:val="006440F3"/>
    <w:rsid w:val="00662BA0"/>
    <w:rsid w:val="00666B37"/>
    <w:rsid w:val="0067344B"/>
    <w:rsid w:val="00684A94"/>
    <w:rsid w:val="00692AAE"/>
    <w:rsid w:val="00694ABB"/>
    <w:rsid w:val="006B69BC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14CAA"/>
    <w:rsid w:val="008504C2"/>
    <w:rsid w:val="00866AE6"/>
    <w:rsid w:val="008750A8"/>
    <w:rsid w:val="0088436A"/>
    <w:rsid w:val="008D1666"/>
    <w:rsid w:val="008D3316"/>
    <w:rsid w:val="008E5AF2"/>
    <w:rsid w:val="0090121B"/>
    <w:rsid w:val="0090615C"/>
    <w:rsid w:val="009144C9"/>
    <w:rsid w:val="009378D6"/>
    <w:rsid w:val="0094091F"/>
    <w:rsid w:val="00962171"/>
    <w:rsid w:val="00973754"/>
    <w:rsid w:val="0098233F"/>
    <w:rsid w:val="009A1CF4"/>
    <w:rsid w:val="009C0BED"/>
    <w:rsid w:val="009E11EC"/>
    <w:rsid w:val="00A021CC"/>
    <w:rsid w:val="00A118DB"/>
    <w:rsid w:val="00A26F89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C21BB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022C"/>
    <w:rsid w:val="00CE60D2"/>
    <w:rsid w:val="00CE7431"/>
    <w:rsid w:val="00D00CA8"/>
    <w:rsid w:val="00D0288A"/>
    <w:rsid w:val="00D22155"/>
    <w:rsid w:val="00D72A5D"/>
    <w:rsid w:val="00D8511A"/>
    <w:rsid w:val="00DA71A3"/>
    <w:rsid w:val="00DC1922"/>
    <w:rsid w:val="00DC629B"/>
    <w:rsid w:val="00DE1C31"/>
    <w:rsid w:val="00E05BFF"/>
    <w:rsid w:val="00E229A7"/>
    <w:rsid w:val="00E262F1"/>
    <w:rsid w:val="00E3176A"/>
    <w:rsid w:val="00E36CE4"/>
    <w:rsid w:val="00E54754"/>
    <w:rsid w:val="00E56BD3"/>
    <w:rsid w:val="00E71D14"/>
    <w:rsid w:val="00EA6D8C"/>
    <w:rsid w:val="00EA77F0"/>
    <w:rsid w:val="00F32316"/>
    <w:rsid w:val="00F55F58"/>
    <w:rsid w:val="00F66597"/>
    <w:rsid w:val="00F675D0"/>
    <w:rsid w:val="00F8150C"/>
    <w:rsid w:val="00FB1EE9"/>
    <w:rsid w:val="00FD03C4"/>
    <w:rsid w:val="00FE4574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438C637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C2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rec/R-REC-S.1323-2-200209-I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R23-WRC23-C-0113!!MSW-S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699FD211-DA7F-48F3-B44E-C91B6893B3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7BB8AD-6C39-43BC-AB6D-5436DC521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9A715-E972-4D8D-9BA7-01CE81FA6B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67DBF2-686C-4D5D-A122-0E0C734611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DDA6C1-63AB-4125-B844-3818460F13EA}">
  <ds:schemaRefs>
    <ds:schemaRef ds:uri="996b2e75-67fd-4955-a3b0-5ab9934cb50b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a1a8c5-2265-4ebc-b7a0-2071e2c5c9b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856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R23-WRC23-C-0113!!MSW-S</vt:lpstr>
    </vt:vector>
  </TitlesOfParts>
  <Manager>Secretaría General - Pool</Manager>
  <Company>Unión Internacional de Telecomunicaciones (UIT)</Company>
  <LinksUpToDate>false</LinksUpToDate>
  <CharactersWithSpaces>5477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R23-WRC23-C-0113!!MSW-S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3</cp:revision>
  <cp:lastPrinted>2003-02-19T20:20:00Z</cp:lastPrinted>
  <dcterms:created xsi:type="dcterms:W3CDTF">2023-11-21T10:05:00Z</dcterms:created>
  <dcterms:modified xsi:type="dcterms:W3CDTF">2023-11-21T10:06:00Z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