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74036" w14:paraId="69460FAE" w14:textId="77777777" w:rsidTr="00C1305F">
        <w:trPr>
          <w:cantSplit/>
        </w:trPr>
        <w:tc>
          <w:tcPr>
            <w:tcW w:w="1418" w:type="dxa"/>
            <w:vAlign w:val="center"/>
          </w:tcPr>
          <w:p w14:paraId="63821926" w14:textId="77777777" w:rsidR="00C1305F" w:rsidRPr="00F74036" w:rsidRDefault="00C1305F" w:rsidP="00F74036">
            <w:pPr>
              <w:spacing w:before="0"/>
              <w:rPr>
                <w:rFonts w:ascii="Verdana" w:hAnsi="Verdana"/>
                <w:b/>
                <w:bCs/>
                <w:sz w:val="20"/>
              </w:rPr>
            </w:pPr>
            <w:r w:rsidRPr="00F74036">
              <w:rPr>
                <w:noProof/>
              </w:rPr>
              <w:drawing>
                <wp:inline distT="0" distB="0" distL="0" distR="0" wp14:anchorId="65CCFCB5" wp14:editId="04078E9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10BAB70" w14:textId="64EA6F02" w:rsidR="00C1305F" w:rsidRPr="00F74036" w:rsidRDefault="00C1305F" w:rsidP="00F74036">
            <w:pPr>
              <w:spacing w:before="400" w:after="48"/>
              <w:rPr>
                <w:rFonts w:ascii="Verdana" w:hAnsi="Verdana"/>
                <w:b/>
                <w:bCs/>
                <w:sz w:val="20"/>
              </w:rPr>
            </w:pPr>
            <w:r w:rsidRPr="00F74036">
              <w:rPr>
                <w:rFonts w:ascii="Verdana" w:hAnsi="Verdana"/>
                <w:b/>
                <w:bCs/>
                <w:sz w:val="20"/>
              </w:rPr>
              <w:t>Conférence mondiale des radiocommunications (CMR-23)</w:t>
            </w:r>
            <w:r w:rsidRPr="00F74036">
              <w:rPr>
                <w:rFonts w:ascii="Verdana" w:hAnsi="Verdana"/>
                <w:b/>
                <w:bCs/>
                <w:sz w:val="20"/>
              </w:rPr>
              <w:br/>
            </w:r>
            <w:r w:rsidRPr="00F74036">
              <w:rPr>
                <w:rFonts w:ascii="Verdana" w:hAnsi="Verdana"/>
                <w:b/>
                <w:bCs/>
                <w:sz w:val="18"/>
                <w:szCs w:val="18"/>
              </w:rPr>
              <w:t xml:space="preserve">Dubaï, 20 novembre </w:t>
            </w:r>
            <w:r w:rsidR="0012442B" w:rsidRPr="00F74036">
              <w:rPr>
                <w:rFonts w:ascii="Verdana" w:hAnsi="Verdana"/>
                <w:b/>
                <w:bCs/>
                <w:sz w:val="18"/>
                <w:szCs w:val="18"/>
              </w:rPr>
              <w:t>–</w:t>
            </w:r>
            <w:r w:rsidRPr="00F74036">
              <w:rPr>
                <w:rFonts w:ascii="Verdana" w:hAnsi="Verdana"/>
                <w:b/>
                <w:bCs/>
                <w:sz w:val="18"/>
                <w:szCs w:val="18"/>
              </w:rPr>
              <w:t xml:space="preserve"> 15 décembre 2023</w:t>
            </w:r>
          </w:p>
        </w:tc>
        <w:tc>
          <w:tcPr>
            <w:tcW w:w="1809" w:type="dxa"/>
            <w:vAlign w:val="center"/>
          </w:tcPr>
          <w:p w14:paraId="07BC98FE" w14:textId="77777777" w:rsidR="00C1305F" w:rsidRPr="00F74036" w:rsidRDefault="00C1305F" w:rsidP="00F74036">
            <w:pPr>
              <w:spacing w:before="0"/>
            </w:pPr>
            <w:bookmarkStart w:id="0" w:name="ditulogo"/>
            <w:bookmarkEnd w:id="0"/>
            <w:r w:rsidRPr="00F74036">
              <w:rPr>
                <w:noProof/>
              </w:rPr>
              <w:drawing>
                <wp:inline distT="0" distB="0" distL="0" distR="0" wp14:anchorId="30F5DA5F" wp14:editId="62C74C1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74036" w14:paraId="7DC47C48" w14:textId="77777777" w:rsidTr="0050008E">
        <w:trPr>
          <w:cantSplit/>
        </w:trPr>
        <w:tc>
          <w:tcPr>
            <w:tcW w:w="6911" w:type="dxa"/>
            <w:gridSpan w:val="2"/>
            <w:tcBorders>
              <w:bottom w:val="single" w:sz="12" w:space="0" w:color="auto"/>
            </w:tcBorders>
          </w:tcPr>
          <w:p w14:paraId="3FD46406" w14:textId="77777777" w:rsidR="00BB1D82" w:rsidRPr="00F74036" w:rsidRDefault="00BB1D82" w:rsidP="00F74036">
            <w:pPr>
              <w:spacing w:before="0" w:after="48"/>
              <w:rPr>
                <w:b/>
                <w:smallCaps/>
                <w:szCs w:val="24"/>
              </w:rPr>
            </w:pPr>
            <w:bookmarkStart w:id="1" w:name="dhead"/>
          </w:p>
        </w:tc>
        <w:tc>
          <w:tcPr>
            <w:tcW w:w="3120" w:type="dxa"/>
            <w:gridSpan w:val="2"/>
            <w:tcBorders>
              <w:bottom w:val="single" w:sz="12" w:space="0" w:color="auto"/>
            </w:tcBorders>
          </w:tcPr>
          <w:p w14:paraId="520DFD8A" w14:textId="77777777" w:rsidR="00BB1D82" w:rsidRPr="00F74036" w:rsidRDefault="00BB1D82" w:rsidP="00F74036">
            <w:pPr>
              <w:spacing w:before="0"/>
              <w:rPr>
                <w:rFonts w:ascii="Verdana" w:hAnsi="Verdana"/>
                <w:szCs w:val="24"/>
              </w:rPr>
            </w:pPr>
          </w:p>
        </w:tc>
      </w:tr>
      <w:tr w:rsidR="00BB1D82" w:rsidRPr="00F74036" w14:paraId="7E872706" w14:textId="77777777" w:rsidTr="00BB1D82">
        <w:trPr>
          <w:cantSplit/>
        </w:trPr>
        <w:tc>
          <w:tcPr>
            <w:tcW w:w="6911" w:type="dxa"/>
            <w:gridSpan w:val="2"/>
            <w:tcBorders>
              <w:top w:val="single" w:sz="12" w:space="0" w:color="auto"/>
            </w:tcBorders>
          </w:tcPr>
          <w:p w14:paraId="75E0DE99" w14:textId="77777777" w:rsidR="00BB1D82" w:rsidRPr="00F74036" w:rsidRDefault="00BB1D82" w:rsidP="00F74036">
            <w:pPr>
              <w:spacing w:before="0" w:after="48"/>
              <w:rPr>
                <w:rFonts w:ascii="Verdana" w:hAnsi="Verdana"/>
                <w:b/>
                <w:smallCaps/>
                <w:sz w:val="20"/>
              </w:rPr>
            </w:pPr>
          </w:p>
        </w:tc>
        <w:tc>
          <w:tcPr>
            <w:tcW w:w="3120" w:type="dxa"/>
            <w:gridSpan w:val="2"/>
            <w:tcBorders>
              <w:top w:val="single" w:sz="12" w:space="0" w:color="auto"/>
            </w:tcBorders>
          </w:tcPr>
          <w:p w14:paraId="4EC88AF1" w14:textId="77777777" w:rsidR="00BB1D82" w:rsidRPr="00F74036" w:rsidRDefault="00BB1D82" w:rsidP="00F74036">
            <w:pPr>
              <w:spacing w:before="0"/>
              <w:rPr>
                <w:rFonts w:ascii="Verdana" w:hAnsi="Verdana"/>
                <w:sz w:val="20"/>
              </w:rPr>
            </w:pPr>
          </w:p>
        </w:tc>
      </w:tr>
      <w:tr w:rsidR="00BB1D82" w:rsidRPr="00F74036" w14:paraId="5053DF75" w14:textId="77777777" w:rsidTr="00BB1D82">
        <w:trPr>
          <w:cantSplit/>
        </w:trPr>
        <w:tc>
          <w:tcPr>
            <w:tcW w:w="6911" w:type="dxa"/>
            <w:gridSpan w:val="2"/>
          </w:tcPr>
          <w:p w14:paraId="21F10B77" w14:textId="77777777" w:rsidR="00BB1D82" w:rsidRPr="00F74036" w:rsidRDefault="006D4724" w:rsidP="00F74036">
            <w:pPr>
              <w:spacing w:before="0"/>
              <w:rPr>
                <w:rFonts w:ascii="Verdana" w:hAnsi="Verdana"/>
                <w:b/>
                <w:sz w:val="20"/>
              </w:rPr>
            </w:pPr>
            <w:r w:rsidRPr="00F74036">
              <w:rPr>
                <w:rFonts w:ascii="Verdana" w:hAnsi="Verdana"/>
                <w:b/>
                <w:sz w:val="20"/>
              </w:rPr>
              <w:t>SÉANCE PLÉNIÈRE</w:t>
            </w:r>
          </w:p>
        </w:tc>
        <w:tc>
          <w:tcPr>
            <w:tcW w:w="3120" w:type="dxa"/>
            <w:gridSpan w:val="2"/>
          </w:tcPr>
          <w:p w14:paraId="3751987E" w14:textId="77777777" w:rsidR="00BB1D82" w:rsidRPr="00F74036" w:rsidRDefault="006D4724" w:rsidP="00F74036">
            <w:pPr>
              <w:spacing w:before="0"/>
              <w:rPr>
                <w:rFonts w:ascii="Verdana" w:hAnsi="Verdana"/>
                <w:sz w:val="20"/>
              </w:rPr>
            </w:pPr>
            <w:r w:rsidRPr="00F74036">
              <w:rPr>
                <w:rFonts w:ascii="Verdana" w:hAnsi="Verdana"/>
                <w:b/>
                <w:sz w:val="20"/>
              </w:rPr>
              <w:t>Addendum 25 au</w:t>
            </w:r>
            <w:r w:rsidRPr="00F74036">
              <w:rPr>
                <w:rFonts w:ascii="Verdana" w:hAnsi="Verdana"/>
                <w:b/>
                <w:sz w:val="20"/>
              </w:rPr>
              <w:br/>
              <w:t>Document 117</w:t>
            </w:r>
            <w:r w:rsidR="00BB1D82" w:rsidRPr="00F74036">
              <w:rPr>
                <w:rFonts w:ascii="Verdana" w:hAnsi="Verdana"/>
                <w:b/>
                <w:sz w:val="20"/>
              </w:rPr>
              <w:t>-</w:t>
            </w:r>
            <w:r w:rsidRPr="00F74036">
              <w:rPr>
                <w:rFonts w:ascii="Verdana" w:hAnsi="Verdana"/>
                <w:b/>
                <w:sz w:val="20"/>
              </w:rPr>
              <w:t>F</w:t>
            </w:r>
          </w:p>
        </w:tc>
      </w:tr>
      <w:bookmarkEnd w:id="1"/>
      <w:tr w:rsidR="00690C7B" w:rsidRPr="00F74036" w14:paraId="2D5A5F20" w14:textId="77777777" w:rsidTr="00BB1D82">
        <w:trPr>
          <w:cantSplit/>
        </w:trPr>
        <w:tc>
          <w:tcPr>
            <w:tcW w:w="6911" w:type="dxa"/>
            <w:gridSpan w:val="2"/>
          </w:tcPr>
          <w:p w14:paraId="3CB0627F" w14:textId="77777777" w:rsidR="00690C7B" w:rsidRPr="00F74036" w:rsidRDefault="00690C7B" w:rsidP="00F74036">
            <w:pPr>
              <w:spacing w:before="0"/>
              <w:rPr>
                <w:rFonts w:ascii="Verdana" w:hAnsi="Verdana"/>
                <w:b/>
                <w:sz w:val="20"/>
              </w:rPr>
            </w:pPr>
          </w:p>
        </w:tc>
        <w:tc>
          <w:tcPr>
            <w:tcW w:w="3120" w:type="dxa"/>
            <w:gridSpan w:val="2"/>
          </w:tcPr>
          <w:p w14:paraId="55BF778E" w14:textId="77777777" w:rsidR="00690C7B" w:rsidRPr="00F74036" w:rsidRDefault="00690C7B" w:rsidP="00F74036">
            <w:pPr>
              <w:spacing w:before="0"/>
              <w:rPr>
                <w:rFonts w:ascii="Verdana" w:hAnsi="Verdana"/>
                <w:b/>
                <w:sz w:val="20"/>
              </w:rPr>
            </w:pPr>
            <w:r w:rsidRPr="00F74036">
              <w:rPr>
                <w:rFonts w:ascii="Verdana" w:hAnsi="Verdana"/>
                <w:b/>
                <w:sz w:val="20"/>
              </w:rPr>
              <w:t>29 octobre 2023</w:t>
            </w:r>
          </w:p>
        </w:tc>
      </w:tr>
      <w:tr w:rsidR="00690C7B" w:rsidRPr="00F74036" w14:paraId="11B8791B" w14:textId="77777777" w:rsidTr="00BB1D82">
        <w:trPr>
          <w:cantSplit/>
        </w:trPr>
        <w:tc>
          <w:tcPr>
            <w:tcW w:w="6911" w:type="dxa"/>
            <w:gridSpan w:val="2"/>
          </w:tcPr>
          <w:p w14:paraId="7F000E9C" w14:textId="77777777" w:rsidR="00690C7B" w:rsidRPr="00F74036" w:rsidRDefault="00690C7B" w:rsidP="00F74036">
            <w:pPr>
              <w:spacing w:before="0" w:after="48"/>
              <w:rPr>
                <w:rFonts w:ascii="Verdana" w:hAnsi="Verdana"/>
                <w:b/>
                <w:smallCaps/>
                <w:sz w:val="20"/>
              </w:rPr>
            </w:pPr>
          </w:p>
        </w:tc>
        <w:tc>
          <w:tcPr>
            <w:tcW w:w="3120" w:type="dxa"/>
            <w:gridSpan w:val="2"/>
          </w:tcPr>
          <w:p w14:paraId="403D7B85" w14:textId="77777777" w:rsidR="00690C7B" w:rsidRPr="00F74036" w:rsidRDefault="00690C7B" w:rsidP="00F74036">
            <w:pPr>
              <w:spacing w:before="0"/>
              <w:rPr>
                <w:rFonts w:ascii="Verdana" w:hAnsi="Verdana"/>
                <w:b/>
                <w:sz w:val="20"/>
              </w:rPr>
            </w:pPr>
            <w:r w:rsidRPr="00F74036">
              <w:rPr>
                <w:rFonts w:ascii="Verdana" w:hAnsi="Verdana"/>
                <w:b/>
                <w:sz w:val="20"/>
              </w:rPr>
              <w:t>Original: anglais</w:t>
            </w:r>
          </w:p>
        </w:tc>
      </w:tr>
      <w:tr w:rsidR="00690C7B" w:rsidRPr="00F74036" w14:paraId="51A16470" w14:textId="77777777" w:rsidTr="00C11970">
        <w:trPr>
          <w:cantSplit/>
        </w:trPr>
        <w:tc>
          <w:tcPr>
            <w:tcW w:w="10031" w:type="dxa"/>
            <w:gridSpan w:val="4"/>
          </w:tcPr>
          <w:p w14:paraId="6D0AC7D7" w14:textId="77777777" w:rsidR="00690C7B" w:rsidRPr="00F74036" w:rsidRDefault="00690C7B" w:rsidP="00F74036">
            <w:pPr>
              <w:spacing w:before="0"/>
              <w:rPr>
                <w:rFonts w:ascii="Verdana" w:hAnsi="Verdana"/>
                <w:b/>
                <w:sz w:val="20"/>
              </w:rPr>
            </w:pPr>
          </w:p>
        </w:tc>
      </w:tr>
      <w:tr w:rsidR="00690C7B" w:rsidRPr="00F74036" w14:paraId="35376DD2" w14:textId="77777777" w:rsidTr="0050008E">
        <w:trPr>
          <w:cantSplit/>
        </w:trPr>
        <w:tc>
          <w:tcPr>
            <w:tcW w:w="10031" w:type="dxa"/>
            <w:gridSpan w:val="4"/>
          </w:tcPr>
          <w:p w14:paraId="3796F4BB" w14:textId="77777777" w:rsidR="00690C7B" w:rsidRPr="00F74036" w:rsidRDefault="00690C7B" w:rsidP="00F74036">
            <w:pPr>
              <w:pStyle w:val="Source"/>
            </w:pPr>
            <w:bookmarkStart w:id="2" w:name="dsource" w:colFirst="0" w:colLast="0"/>
            <w:r w:rsidRPr="00F74036">
              <w:t>Indonésie (République d')</w:t>
            </w:r>
          </w:p>
        </w:tc>
      </w:tr>
      <w:tr w:rsidR="00690C7B" w:rsidRPr="00F74036" w14:paraId="12D6FF60" w14:textId="77777777" w:rsidTr="0050008E">
        <w:trPr>
          <w:cantSplit/>
        </w:trPr>
        <w:tc>
          <w:tcPr>
            <w:tcW w:w="10031" w:type="dxa"/>
            <w:gridSpan w:val="4"/>
          </w:tcPr>
          <w:p w14:paraId="2A7CDA7F" w14:textId="7F6FED53" w:rsidR="00690C7B" w:rsidRPr="00F74036" w:rsidRDefault="0012442B" w:rsidP="00F74036">
            <w:pPr>
              <w:pStyle w:val="Title1"/>
            </w:pPr>
            <w:bookmarkStart w:id="3" w:name="dtitle1" w:colFirst="0" w:colLast="0"/>
            <w:bookmarkEnd w:id="2"/>
            <w:r w:rsidRPr="00F74036">
              <w:t>Propositions pour les travaux de la Conférence</w:t>
            </w:r>
          </w:p>
        </w:tc>
      </w:tr>
      <w:tr w:rsidR="00690C7B" w:rsidRPr="00F74036" w14:paraId="3E550E3B" w14:textId="77777777" w:rsidTr="0050008E">
        <w:trPr>
          <w:cantSplit/>
        </w:trPr>
        <w:tc>
          <w:tcPr>
            <w:tcW w:w="10031" w:type="dxa"/>
            <w:gridSpan w:val="4"/>
          </w:tcPr>
          <w:p w14:paraId="5D0FB30E" w14:textId="77777777" w:rsidR="00690C7B" w:rsidRPr="00F74036" w:rsidRDefault="00690C7B" w:rsidP="00F74036">
            <w:pPr>
              <w:pStyle w:val="Title2"/>
            </w:pPr>
            <w:bookmarkStart w:id="4" w:name="dtitle2" w:colFirst="0" w:colLast="0"/>
            <w:bookmarkEnd w:id="3"/>
          </w:p>
        </w:tc>
      </w:tr>
      <w:tr w:rsidR="00690C7B" w:rsidRPr="00F74036" w14:paraId="586DD953" w14:textId="77777777" w:rsidTr="0050008E">
        <w:trPr>
          <w:cantSplit/>
        </w:trPr>
        <w:tc>
          <w:tcPr>
            <w:tcW w:w="10031" w:type="dxa"/>
            <w:gridSpan w:val="4"/>
          </w:tcPr>
          <w:p w14:paraId="600FC7B8" w14:textId="77777777" w:rsidR="00690C7B" w:rsidRPr="00F74036" w:rsidRDefault="00690C7B" w:rsidP="00F74036">
            <w:pPr>
              <w:pStyle w:val="Agendaitem"/>
              <w:rPr>
                <w:lang w:val="fr-FR"/>
              </w:rPr>
            </w:pPr>
            <w:bookmarkStart w:id="5" w:name="dtitle3" w:colFirst="0" w:colLast="0"/>
            <w:bookmarkEnd w:id="4"/>
            <w:r w:rsidRPr="00F74036">
              <w:rPr>
                <w:lang w:val="fr-FR"/>
              </w:rPr>
              <w:t>Point 9.2 de l'ordre du jour</w:t>
            </w:r>
          </w:p>
        </w:tc>
      </w:tr>
    </w:tbl>
    <w:bookmarkEnd w:id="5"/>
    <w:p w14:paraId="09372C2F" w14:textId="2326AF45" w:rsidR="0012442B" w:rsidRPr="00F74036" w:rsidRDefault="0012442B" w:rsidP="00F74036">
      <w:r w:rsidRPr="00F74036">
        <w:t>9</w:t>
      </w:r>
      <w:r w:rsidRPr="00F74036">
        <w:tab/>
        <w:t>examiner et approuver le rapport du Directeur du Bureau des radiocommunications, conformément à l'article</w:t>
      </w:r>
      <w:r w:rsidR="001D4E66" w:rsidRPr="00F74036">
        <w:t xml:space="preserve"> </w:t>
      </w:r>
      <w:r w:rsidRPr="00F74036">
        <w:t>7 de la Convention de l'UIT:</w:t>
      </w:r>
    </w:p>
    <w:p w14:paraId="29E83510" w14:textId="1E1E9FF1" w:rsidR="003A583E" w:rsidRPr="00F74036" w:rsidRDefault="0012442B" w:rsidP="00F74036">
      <w:r w:rsidRPr="00F74036">
        <w:t>9.2</w:t>
      </w:r>
      <w:r w:rsidRPr="00F74036">
        <w:tab/>
        <w:t>sur les difficultés rencontrées ou les incohérences constatées dans l'application du Règlement des radiocommunications</w:t>
      </w:r>
      <w:r w:rsidRPr="00F74036">
        <w:rPr>
          <w:rStyle w:val="FootnoteReference"/>
        </w:rPr>
        <w:footnoteReference w:customMarkFollows="1" w:id="1"/>
        <w:t>1</w:t>
      </w:r>
      <w:r w:rsidRPr="00F74036">
        <w:t>; et</w:t>
      </w:r>
    </w:p>
    <w:p w14:paraId="4C486A3F" w14:textId="77777777" w:rsidR="0015203F" w:rsidRPr="00F74036" w:rsidRDefault="0015203F" w:rsidP="00F74036">
      <w:pPr>
        <w:tabs>
          <w:tab w:val="clear" w:pos="1134"/>
          <w:tab w:val="clear" w:pos="1871"/>
          <w:tab w:val="clear" w:pos="2268"/>
        </w:tabs>
        <w:overflowPunct/>
        <w:autoSpaceDE/>
        <w:autoSpaceDN/>
        <w:adjustRightInd/>
        <w:spacing w:before="0"/>
        <w:textAlignment w:val="auto"/>
      </w:pPr>
      <w:r w:rsidRPr="00F74036">
        <w:br w:type="page"/>
      </w:r>
    </w:p>
    <w:p w14:paraId="1120DF03" w14:textId="77777777" w:rsidR="004A662A" w:rsidRPr="00F74036" w:rsidRDefault="0012442B" w:rsidP="00F74036">
      <w:pPr>
        <w:pStyle w:val="Proposal"/>
      </w:pPr>
      <w:r w:rsidRPr="00F74036">
        <w:lastRenderedPageBreak/>
        <w:tab/>
        <w:t>INS/117A25/1</w:t>
      </w:r>
    </w:p>
    <w:p w14:paraId="5A4544B3" w14:textId="5E6F8F51" w:rsidR="00BD23B1" w:rsidRPr="00F74036" w:rsidRDefault="00490CD4" w:rsidP="00F74036">
      <w:pPr>
        <w:pStyle w:val="Annextitle"/>
      </w:pPr>
      <w:r w:rsidRPr="00F74036">
        <w:t>Points de vue</w:t>
      </w:r>
      <w:r w:rsidR="00BD23B1" w:rsidRPr="00F74036">
        <w:t xml:space="preserve"> de l</w:t>
      </w:r>
      <w:r w:rsidR="00141D15" w:rsidRPr="00F74036">
        <w:t>'</w:t>
      </w:r>
      <w:r w:rsidR="00BD23B1" w:rsidRPr="00F74036">
        <w:t>Indonésie quant à l</w:t>
      </w:r>
      <w:r w:rsidR="00141D15" w:rsidRPr="00F74036">
        <w:t>'</w:t>
      </w:r>
      <w:r w:rsidR="00BD23B1" w:rsidRPr="00F74036">
        <w:t>importance de maintenir les dispositions réglementaires concernant les portions des bandes de</w:t>
      </w:r>
      <w:r w:rsidR="00050FCF" w:rsidRPr="00F74036">
        <w:t xml:space="preserve"> </w:t>
      </w:r>
      <w:r w:rsidR="00BD23B1" w:rsidRPr="00F74036">
        <w:t>fréquences</w:t>
      </w:r>
      <w:r w:rsidR="00050FCF" w:rsidRPr="00F74036">
        <w:br/>
      </w:r>
      <w:r w:rsidR="00BD23B1" w:rsidRPr="00F74036">
        <w:t>des 14/11 GHz et 30/20 GHz dans lesquelles les</w:t>
      </w:r>
      <w:r w:rsidR="00050FCF" w:rsidRPr="00F74036">
        <w:t xml:space="preserve"> </w:t>
      </w:r>
      <w:r w:rsidR="00BD23B1" w:rsidRPr="00F74036">
        <w:t>limites</w:t>
      </w:r>
      <w:r w:rsidR="00050FCF" w:rsidRPr="00F74036">
        <w:br/>
      </w:r>
      <w:r w:rsidR="00BD23B1" w:rsidRPr="00F74036">
        <w:t>d'epfd de l</w:t>
      </w:r>
      <w:r w:rsidR="00141D15" w:rsidRPr="00F74036">
        <w:t>'</w:t>
      </w:r>
      <w:r w:rsidR="00BD23B1" w:rsidRPr="00F74036">
        <w:t>Article 22 du Règlement des</w:t>
      </w:r>
      <w:r w:rsidR="00141D15" w:rsidRPr="00F74036">
        <w:br/>
      </w:r>
      <w:r w:rsidR="00BD23B1" w:rsidRPr="00F74036">
        <w:t>radiocommunications s</w:t>
      </w:r>
      <w:r w:rsidR="00141D15" w:rsidRPr="00F74036">
        <w:t>'</w:t>
      </w:r>
      <w:r w:rsidR="00BD23B1" w:rsidRPr="00F74036">
        <w:t>appliquent</w:t>
      </w:r>
    </w:p>
    <w:p w14:paraId="04A3735E" w14:textId="6887162F" w:rsidR="00BD23B1" w:rsidRPr="00F74036" w:rsidRDefault="00BD23B1" w:rsidP="00F74036">
      <w:pPr>
        <w:pStyle w:val="Headingb"/>
      </w:pPr>
      <w:r w:rsidRPr="00F74036">
        <w:t>Introduction</w:t>
      </w:r>
    </w:p>
    <w:p w14:paraId="0D8D96FF" w14:textId="3108F624" w:rsidR="00BD23B1" w:rsidRPr="00F74036" w:rsidRDefault="00BD23B1" w:rsidP="00F74036">
      <w:r w:rsidRPr="00F74036">
        <w:t>L</w:t>
      </w:r>
      <w:r w:rsidR="00141D15" w:rsidRPr="00F74036">
        <w:t>'</w:t>
      </w:r>
      <w:r w:rsidRPr="00F74036">
        <w:t xml:space="preserve">Indonésie </w:t>
      </w:r>
      <w:r w:rsidR="00D53DBD" w:rsidRPr="00F74036">
        <w:t>se félicite du</w:t>
      </w:r>
      <w:r w:rsidRPr="00F74036">
        <w:t xml:space="preserve"> </w:t>
      </w:r>
      <w:r w:rsidR="00D53DBD" w:rsidRPr="00F74036">
        <w:t>R</w:t>
      </w:r>
      <w:r w:rsidRPr="00F74036">
        <w:t>apport du Directeur du BR à la CMR-23 (</w:t>
      </w:r>
      <w:hyperlink r:id="rId13" w:history="1">
        <w:r w:rsidRPr="00F74036">
          <w:rPr>
            <w:rStyle w:val="Hyperlink"/>
            <w:color w:val="0000FF"/>
          </w:rPr>
          <w:t>Adden</w:t>
        </w:r>
        <w:r w:rsidRPr="00F74036">
          <w:rPr>
            <w:rStyle w:val="Hyperlink"/>
            <w:color w:val="0000FF"/>
          </w:rPr>
          <w:t>d</w:t>
        </w:r>
        <w:r w:rsidRPr="00F74036">
          <w:rPr>
            <w:rStyle w:val="Hyperlink"/>
            <w:color w:val="0000FF"/>
          </w:rPr>
          <w:t>um 1 au Document 4</w:t>
        </w:r>
      </w:hyperlink>
      <w:r w:rsidRPr="00F74036">
        <w:t xml:space="preserve">) ainsi que </w:t>
      </w:r>
      <w:r w:rsidR="00D53DBD" w:rsidRPr="00F74036">
        <w:t>du</w:t>
      </w:r>
      <w:r w:rsidRPr="00F74036">
        <w:t xml:space="preserve"> Rapport du Président de la Commission d</w:t>
      </w:r>
      <w:r w:rsidR="00141D15" w:rsidRPr="00F74036">
        <w:t>'</w:t>
      </w:r>
      <w:r w:rsidRPr="00F74036">
        <w:t>études (CE) 4 à l</w:t>
      </w:r>
      <w:r w:rsidR="00141D15" w:rsidRPr="00F74036">
        <w:t>'</w:t>
      </w:r>
      <w:r w:rsidRPr="00F74036">
        <w:t>AR-23 (</w:t>
      </w:r>
      <w:hyperlink r:id="rId14" w:history="1">
        <w:r w:rsidRPr="00F74036">
          <w:rPr>
            <w:rStyle w:val="Hyperlink"/>
          </w:rPr>
          <w:t>Document</w:t>
        </w:r>
        <w:r w:rsidR="001D4E66" w:rsidRPr="00F74036">
          <w:rPr>
            <w:rStyle w:val="Hyperlink"/>
            <w:color w:val="0000FF"/>
          </w:rPr>
          <w:t> </w:t>
        </w:r>
        <w:r w:rsidRPr="00F74036">
          <w:rPr>
            <w:rStyle w:val="Hyperlink"/>
            <w:color w:val="0000FF"/>
          </w:rPr>
          <w:t>4</w:t>
        </w:r>
        <w:r w:rsidRPr="00F74036">
          <w:rPr>
            <w:rStyle w:val="Hyperlink"/>
            <w:color w:val="0000FF"/>
          </w:rPr>
          <w:t>/</w:t>
        </w:r>
        <w:r w:rsidRPr="00F74036">
          <w:rPr>
            <w:rStyle w:val="Hyperlink"/>
            <w:color w:val="0000FF"/>
          </w:rPr>
          <w:t>1001</w:t>
        </w:r>
      </w:hyperlink>
      <w:r w:rsidRPr="00F74036">
        <w:t xml:space="preserve">). Le Rapport du Président de la CE 4 </w:t>
      </w:r>
      <w:r w:rsidR="00D53DBD" w:rsidRPr="00F74036">
        <w:t>indique</w:t>
      </w:r>
      <w:r w:rsidRPr="00F74036">
        <w:t xml:space="preserve"> que des progrès positifs ont été accomplis </w:t>
      </w:r>
      <w:r w:rsidR="00ED3EC7" w:rsidRPr="00F74036">
        <w:t xml:space="preserve">en ce qui concerne </w:t>
      </w:r>
      <w:r w:rsidRPr="00F74036">
        <w:t>la nécessité</w:t>
      </w:r>
      <w:r w:rsidR="00ED3EC7" w:rsidRPr="00F74036">
        <w:t>,</w:t>
      </w:r>
      <w:r w:rsidRPr="00F74036">
        <w:t xml:space="preserve"> pour les systèmes à satellites non géostationnaires (non OSG)</w:t>
      </w:r>
      <w:r w:rsidR="00ED3EC7" w:rsidRPr="00F74036">
        <w:t>,</w:t>
      </w:r>
      <w:r w:rsidRPr="00F74036">
        <w:t xml:space="preserve"> de se conformer aux normes convenues qui protègent les systèmes </w:t>
      </w:r>
      <w:r w:rsidR="006037B9" w:rsidRPr="00F74036">
        <w:t xml:space="preserve">du service </w:t>
      </w:r>
      <w:r w:rsidR="00D53DBD" w:rsidRPr="00F74036">
        <w:t>fixe par satellite</w:t>
      </w:r>
      <w:r w:rsidRPr="00F74036">
        <w:t xml:space="preserve"> </w:t>
      </w:r>
      <w:r w:rsidR="00D53DBD" w:rsidRPr="00F74036">
        <w:t>au moyen des</w:t>
      </w:r>
      <w:r w:rsidRPr="00F74036">
        <w:t xml:space="preserve"> limites de brouillage </w:t>
      </w:r>
      <w:r w:rsidR="00490CD4" w:rsidRPr="00F74036">
        <w:t>établies</w:t>
      </w:r>
      <w:r w:rsidRPr="00F74036">
        <w:t xml:space="preserve"> dans l</w:t>
      </w:r>
      <w:r w:rsidR="00141D15" w:rsidRPr="00F74036">
        <w:t>'</w:t>
      </w:r>
      <w:r w:rsidRPr="00F74036">
        <w:t xml:space="preserve">Article </w:t>
      </w:r>
      <w:r w:rsidR="00D53DBD" w:rsidRPr="00F74036">
        <w:rPr>
          <w:b/>
        </w:rPr>
        <w:t xml:space="preserve">22 </w:t>
      </w:r>
      <w:r w:rsidRPr="00F74036">
        <w:t xml:space="preserve">du RR. En outre, </w:t>
      </w:r>
      <w:r w:rsidR="00D53DBD" w:rsidRPr="00F74036">
        <w:t xml:space="preserve">il fait aussi état de </w:t>
      </w:r>
      <w:r w:rsidRPr="00F74036">
        <w:t>l</w:t>
      </w:r>
      <w:r w:rsidR="00D53DBD" w:rsidRPr="00F74036">
        <w:t>'avancement des</w:t>
      </w:r>
      <w:r w:rsidRPr="00F74036">
        <w:t xml:space="preserve"> travaux relatifs à la révision </w:t>
      </w:r>
      <w:r w:rsidR="00D53DBD" w:rsidRPr="00F74036">
        <w:t>des</w:t>
      </w:r>
      <w:r w:rsidRPr="00F74036">
        <w:t xml:space="preserve"> Recommandation</w:t>
      </w:r>
      <w:r w:rsidR="00D53DBD" w:rsidRPr="00F74036">
        <w:t>s</w:t>
      </w:r>
      <w:r w:rsidRPr="00F74036">
        <w:t xml:space="preserve"> UIT-R S.1503-4 (</w:t>
      </w:r>
      <w:r w:rsidR="001D4E66" w:rsidRPr="00F74036">
        <w:t>«</w:t>
      </w:r>
      <w:r w:rsidR="00D53DBD" w:rsidRPr="00F74036">
        <w:t xml:space="preserve">Description fonctionnelle à utiliser pour le développement d'outils logiciels destinés à déterminer la conformité des réseaux </w:t>
      </w:r>
      <w:r w:rsidR="00ED3EC7" w:rsidRPr="00F74036">
        <w:t xml:space="preserve">à satellite non géostationnaire </w:t>
      </w:r>
      <w:r w:rsidR="00D53DBD" w:rsidRPr="00F74036">
        <w:t xml:space="preserve">ou des systèmes à satellites non géostationnaires du service fixe par satellite aux limites spécifiées dans l'Article </w:t>
      </w:r>
      <w:r w:rsidR="00D53DBD" w:rsidRPr="00F74036">
        <w:rPr>
          <w:b/>
          <w:bCs/>
        </w:rPr>
        <w:t>22</w:t>
      </w:r>
      <w:r w:rsidR="00D53DBD" w:rsidRPr="00F74036">
        <w:t xml:space="preserve"> du Règlement des radiocommunications</w:t>
      </w:r>
      <w:r w:rsidR="001D4E66" w:rsidRPr="00F74036">
        <w:t>»</w:t>
      </w:r>
      <w:r w:rsidRPr="00F74036">
        <w:t>) et UIT</w:t>
      </w:r>
      <w:r w:rsidR="00141D15" w:rsidRPr="00F74036">
        <w:noBreakHyphen/>
      </w:r>
      <w:r w:rsidRPr="00F74036">
        <w:t>R</w:t>
      </w:r>
      <w:r w:rsidR="00141D15" w:rsidRPr="00F74036">
        <w:t> </w:t>
      </w:r>
      <w:r w:rsidRPr="00F74036">
        <w:t>S.1714-1 (</w:t>
      </w:r>
      <w:r w:rsidR="00AF0B14" w:rsidRPr="00F74036">
        <w:t>«</w:t>
      </w:r>
      <w:r w:rsidR="00D53DBD" w:rsidRPr="00F74036">
        <w:t>Méthode statique permettant de calculer la puissance surfacique équivalente</w:t>
      </w:r>
      <w:r w:rsidR="00ED3EC7" w:rsidRPr="00F74036">
        <w:t xml:space="preserve"> sur la liaison descendante (epfd</w:t>
      </w:r>
      <w:r w:rsidR="00D53DBD" w:rsidRPr="00F74036">
        <w:t>↓</w:t>
      </w:r>
      <w:r w:rsidR="00ED3EC7" w:rsidRPr="00F74036">
        <w:t>)</w:t>
      </w:r>
      <w:r w:rsidR="00D53DBD" w:rsidRPr="00F74036">
        <w:t xml:space="preserve"> pour faciliter la coordination de très grandes antennes conformément aux numéros </w:t>
      </w:r>
      <w:r w:rsidR="00D53DBD" w:rsidRPr="00F74036">
        <w:rPr>
          <w:b/>
          <w:bCs/>
        </w:rPr>
        <w:t>9.7A</w:t>
      </w:r>
      <w:r w:rsidR="00D53DBD" w:rsidRPr="00F74036">
        <w:t xml:space="preserve"> et </w:t>
      </w:r>
      <w:r w:rsidR="00D53DBD" w:rsidRPr="00F74036">
        <w:rPr>
          <w:b/>
          <w:bCs/>
        </w:rPr>
        <w:t>9.7B</w:t>
      </w:r>
      <w:r w:rsidR="00D53DBD" w:rsidRPr="00F74036">
        <w:t xml:space="preserve"> du Règlement des radiocommunications</w:t>
      </w:r>
      <w:r w:rsidR="00AF0B14" w:rsidRPr="00F74036">
        <w:t>»</w:t>
      </w:r>
      <w:r w:rsidRPr="00F74036">
        <w:t>).</w:t>
      </w:r>
    </w:p>
    <w:p w14:paraId="0BE670CF" w14:textId="3817DD68" w:rsidR="00BD23B1" w:rsidRPr="00F74036" w:rsidRDefault="00D53DBD" w:rsidP="00F74036">
      <w:r w:rsidRPr="00F74036">
        <w:t xml:space="preserve">Le </w:t>
      </w:r>
      <w:r w:rsidR="00BD23B1" w:rsidRPr="00F74036">
        <w:t xml:space="preserve">Rapport du Directeur du BR à la CMR-23 sur les travaux </w:t>
      </w:r>
      <w:r w:rsidR="003756D8" w:rsidRPr="00F74036">
        <w:t>relatifs à la</w:t>
      </w:r>
      <w:r w:rsidR="00BD23B1" w:rsidRPr="00F74036">
        <w:t xml:space="preserve"> révision de ces deux</w:t>
      </w:r>
      <w:r w:rsidR="00050FCF" w:rsidRPr="00F74036">
        <w:t> r</w:t>
      </w:r>
      <w:r w:rsidR="00BD23B1" w:rsidRPr="00F74036">
        <w:t>ecomm</w:t>
      </w:r>
      <w:r w:rsidR="003756D8" w:rsidRPr="00F74036">
        <w:t>a</w:t>
      </w:r>
      <w:r w:rsidR="00BD23B1" w:rsidRPr="00F74036">
        <w:t xml:space="preserve">ndations est très important </w:t>
      </w:r>
      <w:r w:rsidR="00ED3EC7" w:rsidRPr="00F74036">
        <w:t>compte tenu</w:t>
      </w:r>
      <w:r w:rsidR="003756D8" w:rsidRPr="00F74036">
        <w:t xml:space="preserve"> des points suivants</w:t>
      </w:r>
      <w:r w:rsidR="00BD23B1" w:rsidRPr="00F74036">
        <w:t>:</w:t>
      </w:r>
    </w:p>
    <w:p w14:paraId="22826335" w14:textId="19EC52F4" w:rsidR="00BD23B1" w:rsidRPr="00F74036" w:rsidRDefault="00BD23B1" w:rsidP="00F74036">
      <w:pPr>
        <w:pStyle w:val="enumlev1"/>
      </w:pPr>
      <w:r w:rsidRPr="00F74036">
        <w:t>a)</w:t>
      </w:r>
      <w:r w:rsidRPr="00F74036">
        <w:tab/>
      </w:r>
      <w:r w:rsidR="003756D8" w:rsidRPr="00F74036">
        <w:t>il</w:t>
      </w:r>
      <w:r w:rsidRPr="00F74036">
        <w:t xml:space="preserve"> a été noté qu</w:t>
      </w:r>
      <w:r w:rsidR="00141D15" w:rsidRPr="00F74036">
        <w:t>'</w:t>
      </w:r>
      <w:r w:rsidRPr="00F74036">
        <w:t>il était nécessaire d</w:t>
      </w:r>
      <w:r w:rsidR="00141D15" w:rsidRPr="00F74036">
        <w:t>'</w:t>
      </w:r>
      <w:r w:rsidRPr="00F74036">
        <w:t>améliorer les méthodes (et non les Articles d</w:t>
      </w:r>
      <w:r w:rsidR="003756D8" w:rsidRPr="00F74036">
        <w:t xml:space="preserve">u </w:t>
      </w:r>
      <w:r w:rsidRPr="00F74036">
        <w:t xml:space="preserve">Règlement des radiocommunications (RR) </w:t>
      </w:r>
      <w:r w:rsidR="003756D8" w:rsidRPr="00F74036">
        <w:t xml:space="preserve">utilisés </w:t>
      </w:r>
      <w:r w:rsidRPr="00F74036">
        <w:t xml:space="preserve">comme base </w:t>
      </w:r>
      <w:r w:rsidR="00ED3EC7" w:rsidRPr="00F74036">
        <w:t>pour instaurer un climat de certitude quant au</w:t>
      </w:r>
      <w:r w:rsidRPr="00F74036">
        <w:t xml:space="preserve"> partage et </w:t>
      </w:r>
      <w:r w:rsidR="00ED3EC7" w:rsidRPr="00F74036">
        <w:t xml:space="preserve">à </w:t>
      </w:r>
      <w:r w:rsidRPr="00F74036">
        <w:t>la coordination à l</w:t>
      </w:r>
      <w:r w:rsidR="00141D15" w:rsidRPr="00F74036">
        <w:t>'</w:t>
      </w:r>
      <w:r w:rsidRPr="00F74036">
        <w:t xml:space="preserve">échelle mondiale) </w:t>
      </w:r>
      <w:r w:rsidR="00490CD4" w:rsidRPr="00F74036">
        <w:t>permettant d'</w:t>
      </w:r>
      <w:r w:rsidRPr="00F74036">
        <w:t>évaluer la conformité des systèmes non OSG avec les limites d</w:t>
      </w:r>
      <w:r w:rsidR="00141D15" w:rsidRPr="00F74036">
        <w:t>'</w:t>
      </w:r>
      <w:r w:rsidRPr="00F74036">
        <w:t>epfd</w:t>
      </w:r>
      <w:r w:rsidR="003756D8" w:rsidRPr="00F74036">
        <w:t>;</w:t>
      </w:r>
    </w:p>
    <w:p w14:paraId="7F24AFF5" w14:textId="62BEF8BF" w:rsidR="00BD23B1" w:rsidRPr="00F74036" w:rsidRDefault="00BD23B1" w:rsidP="00F74036">
      <w:pPr>
        <w:pStyle w:val="enumlev1"/>
      </w:pPr>
      <w:r w:rsidRPr="00F74036">
        <w:t>b)</w:t>
      </w:r>
      <w:r w:rsidRPr="00F74036">
        <w:tab/>
        <w:t>la nécessité d</w:t>
      </w:r>
      <w:r w:rsidR="00141D15" w:rsidRPr="00F74036">
        <w:t>'</w:t>
      </w:r>
      <w:r w:rsidRPr="00F74036">
        <w:t>améliorer lesdites méthodes d</w:t>
      </w:r>
      <w:r w:rsidR="00141D15" w:rsidRPr="00F74036">
        <w:t>'</w:t>
      </w:r>
      <w:r w:rsidRPr="00F74036">
        <w:t>évaluation découle du déploiement</w:t>
      </w:r>
      <w:r w:rsidR="00490CD4" w:rsidRPr="00F74036">
        <w:t xml:space="preserve"> actuel</w:t>
      </w:r>
      <w:r w:rsidRPr="00F74036">
        <w:t xml:space="preserve"> sans précédent</w:t>
      </w:r>
      <w:r w:rsidR="00490CD4" w:rsidRPr="00F74036">
        <w:t xml:space="preserve"> et </w:t>
      </w:r>
      <w:r w:rsidR="002B4CD4" w:rsidRPr="00F74036">
        <w:t>sans contrainte</w:t>
      </w:r>
      <w:r w:rsidRPr="00F74036">
        <w:t xml:space="preserve"> de très grands systèmes non OSG</w:t>
      </w:r>
      <w:r w:rsidR="00F30F70" w:rsidRPr="00F74036">
        <w:t xml:space="preserve">, à savoir les </w:t>
      </w:r>
      <w:r w:rsidRPr="00F74036">
        <w:t>mégaconstellations en orbite terrestre basse (LEO)</w:t>
      </w:r>
      <w:r w:rsidR="003756D8" w:rsidRPr="00F74036">
        <w:t>; et</w:t>
      </w:r>
    </w:p>
    <w:p w14:paraId="3D7F43B0" w14:textId="641EA91B" w:rsidR="00BD23B1" w:rsidRPr="00F74036" w:rsidRDefault="00BD23B1" w:rsidP="00F74036">
      <w:pPr>
        <w:pStyle w:val="enumlev1"/>
      </w:pPr>
      <w:r w:rsidRPr="00F74036">
        <w:t>c)</w:t>
      </w:r>
      <w:r w:rsidRPr="00F74036">
        <w:tab/>
      </w:r>
      <w:r w:rsidR="003756D8" w:rsidRPr="00F74036">
        <w:t xml:space="preserve">le déploiement sans précédent </w:t>
      </w:r>
      <w:r w:rsidR="002B4CD4" w:rsidRPr="00F74036">
        <w:t>et sans contrainte</w:t>
      </w:r>
      <w:r w:rsidR="00F30F70" w:rsidRPr="00F74036">
        <w:t xml:space="preserve"> </w:t>
      </w:r>
      <w:r w:rsidR="003756D8" w:rsidRPr="00F74036">
        <w:t xml:space="preserve">de très grands systèmes non OSG consomme rapidement les ressources spectrales </w:t>
      </w:r>
      <w:r w:rsidR="008230CA" w:rsidRPr="00F74036">
        <w:t>limitées</w:t>
      </w:r>
      <w:r w:rsidR="002B4CD4" w:rsidRPr="00F74036">
        <w:t xml:space="preserve"> </w:t>
      </w:r>
      <w:r w:rsidR="00ED3EC7" w:rsidRPr="00F74036">
        <w:t xml:space="preserve">qui sont </w:t>
      </w:r>
      <w:r w:rsidR="002B4CD4" w:rsidRPr="00F74036">
        <w:t>utilisées en partage</w:t>
      </w:r>
      <w:r w:rsidR="003756D8" w:rsidRPr="00F74036">
        <w:t xml:space="preserve">, ce qui </w:t>
      </w:r>
      <w:r w:rsidR="00F30F70" w:rsidRPr="00F74036">
        <w:t>entraîne</w:t>
      </w:r>
      <w:r w:rsidR="003756D8" w:rsidRPr="00F74036">
        <w:t xml:space="preserve"> une </w:t>
      </w:r>
      <w:r w:rsidR="00F30F70" w:rsidRPr="00F74036">
        <w:t xml:space="preserve">dégradation </w:t>
      </w:r>
      <w:r w:rsidR="003756D8" w:rsidRPr="00F74036">
        <w:t>de l</w:t>
      </w:r>
      <w:r w:rsidR="00141D15" w:rsidRPr="00F74036">
        <w:t>'</w:t>
      </w:r>
      <w:r w:rsidR="003756D8" w:rsidRPr="00F74036">
        <w:t>environnement de brouillage acceptable d</w:t>
      </w:r>
      <w:r w:rsidR="00141D15" w:rsidRPr="00F74036">
        <w:t>'</w:t>
      </w:r>
      <w:r w:rsidR="003756D8" w:rsidRPr="00F74036">
        <w:t xml:space="preserve">autres systèmes </w:t>
      </w:r>
      <w:r w:rsidR="00F30F70" w:rsidRPr="00F74036">
        <w:t>essentiels</w:t>
      </w:r>
      <w:r w:rsidR="003756D8" w:rsidRPr="00F74036">
        <w:t xml:space="preserve"> partageant </w:t>
      </w:r>
      <w:r w:rsidR="00F30F70" w:rsidRPr="00F74036">
        <w:t>ces ressources</w:t>
      </w:r>
      <w:r w:rsidR="003756D8" w:rsidRPr="00F74036">
        <w:t>, notamment le service fixe par satellite (SFS) et le service de radiodiffusion par satellite (SRS)</w:t>
      </w:r>
      <w:r w:rsidR="002B4CD4" w:rsidRPr="00F74036">
        <w:t xml:space="preserve"> OSG.</w:t>
      </w:r>
    </w:p>
    <w:p w14:paraId="5022B0F1" w14:textId="1CA071EF" w:rsidR="00F30F70" w:rsidRPr="00F74036" w:rsidRDefault="002B4CD4" w:rsidP="00F74036">
      <w:r w:rsidRPr="00F74036">
        <w:t>Outre</w:t>
      </w:r>
      <w:r w:rsidR="00F30F70" w:rsidRPr="00F74036">
        <w:t xml:space="preserve"> les progrès</w:t>
      </w:r>
      <w:r w:rsidRPr="00F74036">
        <w:t xml:space="preserve"> en cours concernant la</w:t>
      </w:r>
      <w:r w:rsidR="00F30F70" w:rsidRPr="00F74036">
        <w:t xml:space="preserve"> révision des </w:t>
      </w:r>
      <w:r w:rsidR="00050FCF" w:rsidRPr="00F74036">
        <w:t>r</w:t>
      </w:r>
      <w:r w:rsidR="00F30F70" w:rsidRPr="00F74036">
        <w:t>ecommandations pertinentes de l</w:t>
      </w:r>
      <w:r w:rsidR="00141D15" w:rsidRPr="00F74036">
        <w:t>'</w:t>
      </w:r>
      <w:r w:rsidR="00F30F70" w:rsidRPr="00F74036">
        <w:t xml:space="preserve">UIT-R, les travaux </w:t>
      </w:r>
      <w:r w:rsidRPr="00F74036">
        <w:t>portant sur</w:t>
      </w:r>
      <w:r w:rsidR="00F30F70" w:rsidRPr="00F74036">
        <w:t xml:space="preserve"> la Recommandation UIT-R S.1503-4 se poursuivent, selon qu'il convient, dans le cadre du Groupe de travail (GT) 4A de l</w:t>
      </w:r>
      <w:r w:rsidR="00141D15" w:rsidRPr="00F74036">
        <w:t>'</w:t>
      </w:r>
      <w:r w:rsidR="00F30F70" w:rsidRPr="00F74036">
        <w:t xml:space="preserve">UIT-R. Cela souligne aussi la nécessité de mettre en œuvre de manière appropriée la Résolution </w:t>
      </w:r>
      <w:r w:rsidR="00F30F70" w:rsidRPr="00F74036">
        <w:rPr>
          <w:b/>
          <w:bCs/>
        </w:rPr>
        <w:t>85 (CMR-03)</w:t>
      </w:r>
      <w:r w:rsidR="009D6139" w:rsidRPr="00F74036">
        <w:t>,</w:t>
      </w:r>
      <w:r w:rsidR="00F30F70" w:rsidRPr="00F74036">
        <w:t xml:space="preserve"> </w:t>
      </w:r>
      <w:r w:rsidR="00E677E7" w:rsidRPr="00F74036">
        <w:t>dans laquelle il est demandé au</w:t>
      </w:r>
      <w:r w:rsidR="00F30F70" w:rsidRPr="00F74036">
        <w:t xml:space="preserve"> BR de revoir les conclusions qu</w:t>
      </w:r>
      <w:r w:rsidR="00141D15" w:rsidRPr="00F74036">
        <w:t>'</w:t>
      </w:r>
      <w:r w:rsidR="00F30F70" w:rsidRPr="00F74036">
        <w:t xml:space="preserve">il a formulées conformément aux numéros </w:t>
      </w:r>
      <w:r w:rsidR="00F30F70" w:rsidRPr="00F74036">
        <w:rPr>
          <w:b/>
          <w:bCs/>
        </w:rPr>
        <w:t>9.35</w:t>
      </w:r>
      <w:r w:rsidR="00F30F70" w:rsidRPr="00F74036">
        <w:t xml:space="preserve"> et </w:t>
      </w:r>
      <w:r w:rsidR="00F30F70" w:rsidRPr="00F74036">
        <w:rPr>
          <w:b/>
          <w:bCs/>
        </w:rPr>
        <w:t>11.31</w:t>
      </w:r>
      <w:r w:rsidR="00F30F70" w:rsidRPr="00F74036">
        <w:t xml:space="preserve"> du RR. Cette disposition s</w:t>
      </w:r>
      <w:r w:rsidR="00141D15" w:rsidRPr="00F74036">
        <w:t>'</w:t>
      </w:r>
      <w:r w:rsidR="00F30F70" w:rsidRPr="00F74036">
        <w:t xml:space="preserve">applique aux assignations de fréquence de systèmes à satellites du SFS </w:t>
      </w:r>
      <w:r w:rsidR="009D6139" w:rsidRPr="00F74036">
        <w:t>non OSG et vise à vérifier que ces systèmes respectent</w:t>
      </w:r>
      <w:r w:rsidR="00F30F70" w:rsidRPr="00F74036">
        <w:t xml:space="preserve"> les limites d</w:t>
      </w:r>
      <w:r w:rsidR="00141D15" w:rsidRPr="00F74036">
        <w:t>'</w:t>
      </w:r>
      <w:r w:rsidR="00F30F70" w:rsidRPr="00F74036">
        <w:t xml:space="preserve">epfd pour une seule source de brouillage figurant dans les Tableaux </w:t>
      </w:r>
      <w:r w:rsidR="00F30F70" w:rsidRPr="00F74036">
        <w:rPr>
          <w:b/>
          <w:bCs/>
        </w:rPr>
        <w:t>22-1A</w:t>
      </w:r>
      <w:r w:rsidR="00F30F70" w:rsidRPr="00F74036">
        <w:t xml:space="preserve">, </w:t>
      </w:r>
      <w:r w:rsidR="00F30F70" w:rsidRPr="00F74036">
        <w:rPr>
          <w:b/>
          <w:bCs/>
        </w:rPr>
        <w:t>22-1B</w:t>
      </w:r>
      <w:r w:rsidR="00F30F70" w:rsidRPr="00F74036">
        <w:t xml:space="preserve">, </w:t>
      </w:r>
      <w:r w:rsidR="00F30F70" w:rsidRPr="00F74036">
        <w:rPr>
          <w:b/>
          <w:bCs/>
        </w:rPr>
        <w:t>22-1C</w:t>
      </w:r>
      <w:r w:rsidR="00F30F70" w:rsidRPr="00F74036">
        <w:t xml:space="preserve">, </w:t>
      </w:r>
      <w:r w:rsidR="00F30F70" w:rsidRPr="00F74036">
        <w:rPr>
          <w:b/>
          <w:bCs/>
        </w:rPr>
        <w:t>22-1D</w:t>
      </w:r>
      <w:r w:rsidR="00F30F70" w:rsidRPr="00F74036">
        <w:t xml:space="preserve">, </w:t>
      </w:r>
      <w:r w:rsidR="00F30F70" w:rsidRPr="00F74036">
        <w:rPr>
          <w:b/>
          <w:bCs/>
        </w:rPr>
        <w:t>22-1E</w:t>
      </w:r>
      <w:r w:rsidR="00F30F70" w:rsidRPr="00F74036">
        <w:t xml:space="preserve">, </w:t>
      </w:r>
      <w:r w:rsidR="00F30F70" w:rsidRPr="00F74036">
        <w:rPr>
          <w:b/>
          <w:bCs/>
        </w:rPr>
        <w:t>22-2</w:t>
      </w:r>
      <w:r w:rsidR="00F30F70" w:rsidRPr="00F74036">
        <w:t xml:space="preserve"> et </w:t>
      </w:r>
      <w:r w:rsidR="00F30F70" w:rsidRPr="00F74036">
        <w:rPr>
          <w:b/>
          <w:bCs/>
        </w:rPr>
        <w:t>22-3</w:t>
      </w:r>
      <w:r w:rsidR="00F30F70" w:rsidRPr="00F74036">
        <w:t xml:space="preserve"> de l</w:t>
      </w:r>
      <w:r w:rsidR="00141D15" w:rsidRPr="00F74036">
        <w:t>'</w:t>
      </w:r>
      <w:r w:rsidR="00F30F70" w:rsidRPr="00F74036">
        <w:t xml:space="preserve">Article </w:t>
      </w:r>
      <w:r w:rsidR="00F30F70" w:rsidRPr="00F74036">
        <w:rPr>
          <w:b/>
          <w:bCs/>
        </w:rPr>
        <w:t>22</w:t>
      </w:r>
      <w:r w:rsidR="00F30F70" w:rsidRPr="00F74036">
        <w:t xml:space="preserve"> du RR. La Résolution </w:t>
      </w:r>
      <w:r w:rsidR="00F30F70" w:rsidRPr="00F74036">
        <w:rPr>
          <w:b/>
          <w:bCs/>
        </w:rPr>
        <w:t>85 (CMR-03)</w:t>
      </w:r>
      <w:r w:rsidR="00F30F70" w:rsidRPr="00F74036">
        <w:t xml:space="preserve"> a été élaborée avant qu</w:t>
      </w:r>
      <w:r w:rsidR="00141D15" w:rsidRPr="00F74036">
        <w:t>'</w:t>
      </w:r>
      <w:r w:rsidR="00F30F70" w:rsidRPr="00F74036">
        <w:t>un logiciel d</w:t>
      </w:r>
      <w:r w:rsidR="00141D15" w:rsidRPr="00F74036">
        <w:t>'</w:t>
      </w:r>
      <w:r w:rsidR="00F30F70" w:rsidRPr="00F74036">
        <w:t xml:space="preserve">évaluation ne soit disponible, ce qui </w:t>
      </w:r>
      <w:r w:rsidR="005A1D5D" w:rsidRPr="00F74036">
        <w:t>crée</w:t>
      </w:r>
      <w:r w:rsidR="00F30F70" w:rsidRPr="00F74036">
        <w:t xml:space="preserve"> à présent un risque </w:t>
      </w:r>
      <w:r w:rsidR="009D6139" w:rsidRPr="00F74036">
        <w:t>de</w:t>
      </w:r>
      <w:r w:rsidR="00F30F70" w:rsidRPr="00F74036">
        <w:t xml:space="preserve"> </w:t>
      </w:r>
      <w:r w:rsidR="009D6139" w:rsidRPr="00F74036">
        <w:t xml:space="preserve">voir </w:t>
      </w:r>
      <w:r w:rsidR="005A1D5D" w:rsidRPr="00F74036">
        <w:t xml:space="preserve">cette </w:t>
      </w:r>
      <w:r w:rsidR="00050FCF" w:rsidRPr="00F74036">
        <w:t>r</w:t>
      </w:r>
      <w:r w:rsidR="005A1D5D" w:rsidRPr="00F74036">
        <w:t>ésolution</w:t>
      </w:r>
      <w:r w:rsidR="009D6139" w:rsidRPr="00F74036">
        <w:t xml:space="preserve"> appliquée de manière incorrecte</w:t>
      </w:r>
      <w:r w:rsidR="005A1D5D" w:rsidRPr="00F74036">
        <w:t>.</w:t>
      </w:r>
      <w:r w:rsidR="00F30F70" w:rsidRPr="00F74036">
        <w:t xml:space="preserve"> </w:t>
      </w:r>
      <w:r w:rsidR="00AF0B14" w:rsidRPr="00F74036">
        <w:t>Étant</w:t>
      </w:r>
      <w:r w:rsidR="00F30F70" w:rsidRPr="00F74036">
        <w:t xml:space="preserve"> donné qu</w:t>
      </w:r>
      <w:r w:rsidR="00141D15" w:rsidRPr="00F74036">
        <w:t>'</w:t>
      </w:r>
      <w:r w:rsidR="00F30F70" w:rsidRPr="00F74036">
        <w:t xml:space="preserve">il existe </w:t>
      </w:r>
      <w:r w:rsidR="009D6139" w:rsidRPr="00F74036">
        <w:t>maintenant</w:t>
      </w:r>
      <w:r w:rsidR="00F30F70" w:rsidRPr="00F74036">
        <w:t xml:space="preserve"> un logiciel permettant d</w:t>
      </w:r>
      <w:r w:rsidR="00141D15" w:rsidRPr="00F74036">
        <w:t>'</w:t>
      </w:r>
      <w:r w:rsidR="00F30F70" w:rsidRPr="00F74036">
        <w:t>évaluer les limites d</w:t>
      </w:r>
      <w:r w:rsidR="00141D15" w:rsidRPr="00F74036">
        <w:t>'</w:t>
      </w:r>
      <w:r w:rsidR="00F30F70" w:rsidRPr="00F74036">
        <w:t xml:space="preserve">epfd, il conviendrait de </w:t>
      </w:r>
      <w:r w:rsidR="00F30F70" w:rsidRPr="00F74036">
        <w:lastRenderedPageBreak/>
        <w:t xml:space="preserve">supprimer ou de modifier la Résolution </w:t>
      </w:r>
      <w:r w:rsidR="00F30F70" w:rsidRPr="00F74036">
        <w:rPr>
          <w:b/>
          <w:bCs/>
        </w:rPr>
        <w:t>85 (CMR-03)</w:t>
      </w:r>
      <w:r w:rsidR="00F30F70" w:rsidRPr="00F74036">
        <w:t xml:space="preserve"> afin </w:t>
      </w:r>
      <w:r w:rsidR="009D6139" w:rsidRPr="00F74036">
        <w:t>qu'elle ne soit utilisée</w:t>
      </w:r>
      <w:r w:rsidR="00F30F70" w:rsidRPr="00F74036">
        <w:t xml:space="preserve"> que dans les cas où une nouvelle version de la Recommandation UIT-R S.1503-4 a été adoptée mais n</w:t>
      </w:r>
      <w:r w:rsidR="00141D15" w:rsidRPr="00F74036">
        <w:t>'</w:t>
      </w:r>
      <w:r w:rsidR="00F30F70" w:rsidRPr="00F74036">
        <w:t>a pas encore été intégrée dans le logiciel de l</w:t>
      </w:r>
      <w:r w:rsidR="00141D15" w:rsidRPr="00F74036">
        <w:t>'</w:t>
      </w:r>
      <w:r w:rsidR="00F30F70" w:rsidRPr="00F74036">
        <w:t>UIT.</w:t>
      </w:r>
    </w:p>
    <w:p w14:paraId="31A886A3" w14:textId="31171E56" w:rsidR="0012442B" w:rsidRPr="00F74036" w:rsidRDefault="002128FD" w:rsidP="00F74036">
      <w:r w:rsidRPr="00F74036">
        <w:t>En outre, l</w:t>
      </w:r>
      <w:r w:rsidR="00141D15" w:rsidRPr="00F74036">
        <w:t>'</w:t>
      </w:r>
      <w:r w:rsidRPr="00F74036">
        <w:t xml:space="preserve">Article </w:t>
      </w:r>
      <w:r w:rsidRPr="00F74036">
        <w:rPr>
          <w:b/>
          <w:bCs/>
        </w:rPr>
        <w:t>22</w:t>
      </w:r>
      <w:r w:rsidRPr="00F74036">
        <w:t xml:space="preserve"> du RR </w:t>
      </w:r>
      <w:r w:rsidR="009D6139" w:rsidRPr="00F74036">
        <w:t>établit les limites d</w:t>
      </w:r>
      <w:r w:rsidR="00141D15" w:rsidRPr="00F74036">
        <w:t>'</w:t>
      </w:r>
      <w:r w:rsidR="009D6139" w:rsidRPr="00F74036">
        <w:t xml:space="preserve">epfd pour une seule source de brouillage </w:t>
      </w:r>
      <w:r w:rsidRPr="00F74036">
        <w:t xml:space="preserve">et la Résolution </w:t>
      </w:r>
      <w:r w:rsidRPr="00F74036">
        <w:rPr>
          <w:b/>
          <w:bCs/>
        </w:rPr>
        <w:t>76 (Rév.CMR-15)</w:t>
      </w:r>
      <w:r w:rsidRPr="00F74036">
        <w:t xml:space="preserve"> </w:t>
      </w:r>
      <w:r w:rsidR="009D6139" w:rsidRPr="00F74036">
        <w:t>définit</w:t>
      </w:r>
      <w:r w:rsidRPr="00F74036">
        <w:t xml:space="preserve"> les limites d</w:t>
      </w:r>
      <w:r w:rsidR="00141D15" w:rsidRPr="00F74036">
        <w:t>'</w:t>
      </w:r>
      <w:r w:rsidRPr="00F74036">
        <w:t>epfd cumulative obligatoires. Tous ces différents processus sont liés à la révision continue de la Recommandation UIT-R S.1503-4.</w:t>
      </w:r>
    </w:p>
    <w:p w14:paraId="0276B61A" w14:textId="5B082A75" w:rsidR="002128FD" w:rsidRPr="00F74036" w:rsidRDefault="002128FD" w:rsidP="00F74036">
      <w:r w:rsidRPr="00F74036">
        <w:t xml:space="preserve">La nécessité pour le BR de revoir les conclusions qu'il a formulées conformément aux numéros </w:t>
      </w:r>
      <w:r w:rsidRPr="00F74036">
        <w:rPr>
          <w:b/>
          <w:bCs/>
        </w:rPr>
        <w:t>9.35</w:t>
      </w:r>
      <w:r w:rsidRPr="00F74036">
        <w:t xml:space="preserve"> et </w:t>
      </w:r>
      <w:r w:rsidRPr="00F74036">
        <w:rPr>
          <w:b/>
          <w:bCs/>
        </w:rPr>
        <w:t>11.31</w:t>
      </w:r>
      <w:r w:rsidRPr="00F74036">
        <w:t xml:space="preserve"> du RR et </w:t>
      </w:r>
      <w:r w:rsidR="004A764D" w:rsidRPr="00F74036">
        <w:t>les enjeux relatifs à la</w:t>
      </w:r>
      <w:r w:rsidRPr="00F74036">
        <w:t xml:space="preserve"> mise en œuvre de la Résolution </w:t>
      </w:r>
      <w:r w:rsidRPr="00F74036">
        <w:rPr>
          <w:b/>
          <w:bCs/>
        </w:rPr>
        <w:t>76 (Rév.CMR-15)</w:t>
      </w:r>
      <w:r w:rsidRPr="00F74036">
        <w:t xml:space="preserve"> résultant du fait que plusieurs notifications sont soumises pour les mêmes </w:t>
      </w:r>
      <w:r w:rsidR="006037B9" w:rsidRPr="00F74036">
        <w:t>systèmes</w:t>
      </w:r>
      <w:r w:rsidRPr="00F74036">
        <w:t xml:space="preserve"> non OSG par différentes administrations méritent d</w:t>
      </w:r>
      <w:r w:rsidR="00141D15" w:rsidRPr="00F74036">
        <w:t>'</w:t>
      </w:r>
      <w:r w:rsidRPr="00F74036">
        <w:t xml:space="preserve">être examinés en détail car </w:t>
      </w:r>
      <w:r w:rsidR="004A764D" w:rsidRPr="00F74036">
        <w:t>ils</w:t>
      </w:r>
      <w:r w:rsidRPr="00F74036">
        <w:t xml:space="preserve"> ont des incidences sur l</w:t>
      </w:r>
      <w:r w:rsidR="00141D15" w:rsidRPr="00F74036">
        <w:t>'</w:t>
      </w:r>
      <w:r w:rsidRPr="00F74036">
        <w:t xml:space="preserve">évaluation des brouillages causés </w:t>
      </w:r>
      <w:r w:rsidR="004A764D" w:rsidRPr="00F74036">
        <w:t xml:space="preserve">par les </w:t>
      </w:r>
      <w:r w:rsidRPr="00F74036">
        <w:t>systèmes non OSG.</w:t>
      </w:r>
    </w:p>
    <w:p w14:paraId="163480D6" w14:textId="4920DCAC" w:rsidR="002128FD" w:rsidRPr="00F74036" w:rsidRDefault="002128FD" w:rsidP="00F74036">
      <w:r w:rsidRPr="00F74036">
        <w:t xml:space="preserve">Par conséquent, nous estimons que </w:t>
      </w:r>
      <w:r w:rsidR="00E677E7" w:rsidRPr="00F74036">
        <w:t>si l</w:t>
      </w:r>
      <w:r w:rsidR="00141D15" w:rsidRPr="00F74036">
        <w:t>'</w:t>
      </w:r>
      <w:r w:rsidR="00E677E7" w:rsidRPr="00F74036">
        <w:t>on veut</w:t>
      </w:r>
      <w:r w:rsidRPr="00F74036">
        <w:t xml:space="preserve"> répondre efficacement aux besoins actuels </w:t>
      </w:r>
      <w:r w:rsidR="00B23AFA" w:rsidRPr="00F74036">
        <w:t>en termes d</w:t>
      </w:r>
      <w:r w:rsidR="00141D15" w:rsidRPr="00F74036">
        <w:t>'</w:t>
      </w:r>
      <w:r w:rsidRPr="00F74036">
        <w:t xml:space="preserve">évaluation des brouillages causés par les </w:t>
      </w:r>
      <w:r w:rsidR="004A764D" w:rsidRPr="00F74036">
        <w:t>systèmes</w:t>
      </w:r>
      <w:r w:rsidRPr="00F74036">
        <w:t xml:space="preserve"> non OSG, les </w:t>
      </w:r>
      <w:r w:rsidR="004A764D" w:rsidRPr="00F74036">
        <w:t>enjeux</w:t>
      </w:r>
      <w:r w:rsidRPr="00F74036">
        <w:t xml:space="preserve"> susmentionnés ne peuvent </w:t>
      </w:r>
      <w:r w:rsidR="00B23AFA" w:rsidRPr="00F74036">
        <w:t xml:space="preserve">pas </w:t>
      </w:r>
      <w:r w:rsidRPr="00F74036">
        <w:t xml:space="preserve">être ignorés. </w:t>
      </w:r>
      <w:r w:rsidR="00E677E7" w:rsidRPr="00F74036">
        <w:t>En tout état de cause</w:t>
      </w:r>
      <w:r w:rsidRPr="00F74036">
        <w:t xml:space="preserve">, le dénominateur commun stable qui permet de comprendre ces </w:t>
      </w:r>
      <w:r w:rsidR="004A764D" w:rsidRPr="00F74036">
        <w:t>enjeux</w:t>
      </w:r>
      <w:r w:rsidRPr="00F74036">
        <w:t xml:space="preserve"> (c</w:t>
      </w:r>
      <w:r w:rsidR="00141D15" w:rsidRPr="00F74036">
        <w:t>'</w:t>
      </w:r>
      <w:r w:rsidRPr="00F74036">
        <w:t>est-à-dire l</w:t>
      </w:r>
      <w:r w:rsidR="00141D15" w:rsidRPr="00F74036">
        <w:t>'</w:t>
      </w:r>
      <w:r w:rsidRPr="00F74036">
        <w:t xml:space="preserve">Article </w:t>
      </w:r>
      <w:r w:rsidRPr="00F74036">
        <w:rPr>
          <w:b/>
          <w:bCs/>
        </w:rPr>
        <w:t>22</w:t>
      </w:r>
      <w:r w:rsidRPr="00F74036">
        <w:t xml:space="preserve"> du RR) ne </w:t>
      </w:r>
      <w:r w:rsidR="004A764D" w:rsidRPr="00F74036">
        <w:t>peut</w:t>
      </w:r>
      <w:r w:rsidRPr="00F74036">
        <w:t xml:space="preserve"> pas être modifié, car un certain nombre de questions importantes </w:t>
      </w:r>
      <w:r w:rsidR="00B23AFA" w:rsidRPr="00F74036">
        <w:t>ont été soulevées</w:t>
      </w:r>
      <w:r w:rsidRPr="00F74036">
        <w:t xml:space="preserve"> et doivent être résolues:</w:t>
      </w:r>
    </w:p>
    <w:p w14:paraId="2DF0ABBB" w14:textId="43C37B42" w:rsidR="00B23AFA" w:rsidRPr="00F74036" w:rsidRDefault="00B23AFA" w:rsidP="00F74036">
      <w:pPr>
        <w:pStyle w:val="enumlev1"/>
      </w:pPr>
      <w:r w:rsidRPr="00F74036">
        <w:t>a)</w:t>
      </w:r>
      <w:r w:rsidRPr="00F74036">
        <w:tab/>
      </w:r>
      <w:r w:rsidR="00CF0DED" w:rsidRPr="00F74036">
        <w:t xml:space="preserve">les pratiques consistant à subdiviser les </w:t>
      </w:r>
      <w:r w:rsidR="00AD43C7" w:rsidRPr="00F74036">
        <w:t xml:space="preserve">fiches de </w:t>
      </w:r>
      <w:r w:rsidR="00CF0DED" w:rsidRPr="00F74036">
        <w:t xml:space="preserve">notification </w:t>
      </w:r>
      <w:r w:rsidR="00AD43C7" w:rsidRPr="00F74036">
        <w:t xml:space="preserve">de </w:t>
      </w:r>
      <w:r w:rsidR="00CF0DED" w:rsidRPr="00F74036">
        <w:t>satellites non OSG;</w:t>
      </w:r>
    </w:p>
    <w:p w14:paraId="73AA90E0" w14:textId="1928B5D5" w:rsidR="00CF0DED" w:rsidRPr="00F74036" w:rsidRDefault="00CF0DED" w:rsidP="00F74036">
      <w:pPr>
        <w:pStyle w:val="enumlev1"/>
      </w:pPr>
      <w:r w:rsidRPr="00F74036">
        <w:t>b)</w:t>
      </w:r>
      <w:r w:rsidRPr="00F74036">
        <w:tab/>
        <w:t>l'amélioration de la méthode d'évaluation définie dans la Recommandation UIT</w:t>
      </w:r>
      <w:r w:rsidR="00141D15" w:rsidRPr="00F74036">
        <w:noBreakHyphen/>
      </w:r>
      <w:r w:rsidRPr="00F74036">
        <w:t>R</w:t>
      </w:r>
      <w:r w:rsidR="00141D15" w:rsidRPr="00F74036">
        <w:t> </w:t>
      </w:r>
      <w:r w:rsidRPr="00F74036">
        <w:t>S.1503-4 par le GT 4A;</w:t>
      </w:r>
    </w:p>
    <w:p w14:paraId="6A8E8709" w14:textId="6D37CCBC" w:rsidR="00312F2C" w:rsidRPr="00F74036" w:rsidRDefault="00312F2C" w:rsidP="00F74036">
      <w:pPr>
        <w:pStyle w:val="enumlev1"/>
      </w:pPr>
      <w:r w:rsidRPr="00F74036">
        <w:t>c)</w:t>
      </w:r>
      <w:r w:rsidRPr="00F74036">
        <w:tab/>
        <w:t xml:space="preserve">l'amélioration de la mise en œuvre de la Résolution </w:t>
      </w:r>
      <w:r w:rsidRPr="00F74036">
        <w:rPr>
          <w:b/>
          <w:bCs/>
        </w:rPr>
        <w:t>76 (Rév.CMR-15)</w:t>
      </w:r>
      <w:r w:rsidRPr="00F74036">
        <w:t>;</w:t>
      </w:r>
    </w:p>
    <w:p w14:paraId="5AC12266" w14:textId="28BD2C56" w:rsidR="00312F2C" w:rsidRPr="00F74036" w:rsidRDefault="00312F2C" w:rsidP="00F74036">
      <w:pPr>
        <w:pStyle w:val="enumlev1"/>
      </w:pPr>
      <w:r w:rsidRPr="00F74036">
        <w:t>d)</w:t>
      </w:r>
      <w:r w:rsidRPr="00F74036">
        <w:tab/>
        <w:t xml:space="preserve">la suppression ou la modification de la Résolution </w:t>
      </w:r>
      <w:r w:rsidRPr="00F74036">
        <w:rPr>
          <w:b/>
          <w:bCs/>
        </w:rPr>
        <w:t>85 (CMR-03)</w:t>
      </w:r>
      <w:r w:rsidRPr="00F74036">
        <w:t xml:space="preserve"> de sorte qu'elle soit appliquée correctement;</w:t>
      </w:r>
    </w:p>
    <w:p w14:paraId="3A342916" w14:textId="6867C7D0" w:rsidR="00312F2C" w:rsidRPr="00F74036" w:rsidRDefault="00312F2C" w:rsidP="00F74036">
      <w:pPr>
        <w:pStyle w:val="enumlev1"/>
      </w:pPr>
      <w:r w:rsidRPr="00F74036">
        <w:t>e)</w:t>
      </w:r>
      <w:r w:rsidRPr="00F74036">
        <w:tab/>
        <w:t>le résultat du point 7 de l'ordre du jour de la CMR-23, Question J.</w:t>
      </w:r>
    </w:p>
    <w:p w14:paraId="214052A3" w14:textId="71E54A29" w:rsidR="00312F2C" w:rsidRPr="00F74036" w:rsidRDefault="00312F2C" w:rsidP="00F74036">
      <w:r w:rsidRPr="00F74036">
        <w:t>Compte tenu de ce qui précède, l</w:t>
      </w:r>
      <w:r w:rsidR="00141D15" w:rsidRPr="00F74036">
        <w:t>'</w:t>
      </w:r>
      <w:r w:rsidRPr="00F74036">
        <w:t xml:space="preserve">Indonésie souhaiterait </w:t>
      </w:r>
      <w:r w:rsidR="00F97897" w:rsidRPr="00F74036">
        <w:t>souligner</w:t>
      </w:r>
      <w:r w:rsidRPr="00F74036">
        <w:t xml:space="preserve"> qu</w:t>
      </w:r>
      <w:r w:rsidR="00141D15" w:rsidRPr="00F74036">
        <w:t>'</w:t>
      </w:r>
      <w:r w:rsidRPr="00F74036">
        <w:t xml:space="preserve">à la cinquième réunion du Groupe </w:t>
      </w:r>
      <w:r w:rsidR="009433BA" w:rsidRPr="00F74036">
        <w:t xml:space="preserve">de l'APT </w:t>
      </w:r>
      <w:r w:rsidR="00F97897" w:rsidRPr="00F74036">
        <w:t>chargé de préparer la CMR-23</w:t>
      </w:r>
      <w:r w:rsidRPr="00F74036">
        <w:t xml:space="preserve"> (APG23-5)</w:t>
      </w:r>
      <w:r w:rsidR="009433BA" w:rsidRPr="00F74036">
        <w:t xml:space="preserve">, qui s'est tenue </w:t>
      </w:r>
      <w:r w:rsidRPr="00F74036">
        <w:t>à Busan (République de Corée) du 20 au 25 février 2023</w:t>
      </w:r>
      <w:r w:rsidR="009433BA" w:rsidRPr="00F74036">
        <w:t>, ainsi qu'à</w:t>
      </w:r>
      <w:r w:rsidRPr="00F74036">
        <w:t xml:space="preserve"> la </w:t>
      </w:r>
      <w:r w:rsidR="009433BA" w:rsidRPr="00F74036">
        <w:t>sixième</w:t>
      </w:r>
      <w:r w:rsidRPr="00F74036">
        <w:t xml:space="preserve"> réunion du Groupe </w:t>
      </w:r>
      <w:r w:rsidR="009433BA" w:rsidRPr="00F74036">
        <w:t>(</w:t>
      </w:r>
      <w:r w:rsidRPr="00F74036">
        <w:t>APG23-6</w:t>
      </w:r>
      <w:r w:rsidR="009433BA" w:rsidRPr="00F74036">
        <w:t>), qui s'est</w:t>
      </w:r>
      <w:r w:rsidRPr="00F74036">
        <w:t xml:space="preserve"> tenue à Brisbane (Australie) du 14 au 19 août 2023, des contributions</w:t>
      </w:r>
      <w:r w:rsidR="00AD43C7" w:rsidRPr="00F74036">
        <w:t xml:space="preserve"> concernant le point 10 de l'ordre du jour de la CMR-23</w:t>
      </w:r>
      <w:r w:rsidRPr="00F74036">
        <w:t xml:space="preserve"> (APG23-5/INP-</w:t>
      </w:r>
      <w:hyperlink r:id="rId15" w:history="1">
        <w:r w:rsidRPr="00F74036">
          <w:rPr>
            <w:rStyle w:val="Hyperlink"/>
          </w:rPr>
          <w:t>8</w:t>
        </w:r>
        <w:r w:rsidRPr="00F74036">
          <w:rPr>
            <w:rStyle w:val="Hyperlink"/>
          </w:rPr>
          <w:t>5</w:t>
        </w:r>
      </w:hyperlink>
      <w:r w:rsidRPr="00F74036">
        <w:t>, APG23-6/1NP-</w:t>
      </w:r>
      <w:hyperlink r:id="rId16" w:history="1">
        <w:r w:rsidRPr="00F74036">
          <w:rPr>
            <w:rStyle w:val="Hyperlink"/>
          </w:rPr>
          <w:t>1</w:t>
        </w:r>
        <w:r w:rsidRPr="00F74036">
          <w:rPr>
            <w:rStyle w:val="Hyperlink"/>
          </w:rPr>
          <w:t>2</w:t>
        </w:r>
      </w:hyperlink>
      <w:r w:rsidRPr="00F74036">
        <w:t xml:space="preserve">, </w:t>
      </w:r>
      <w:hyperlink r:id="rId17" w:history="1">
        <w:r w:rsidRPr="00F74036">
          <w:rPr>
            <w:rStyle w:val="Hyperlink"/>
          </w:rPr>
          <w:t>1</w:t>
        </w:r>
        <w:r w:rsidRPr="00F74036">
          <w:rPr>
            <w:rStyle w:val="Hyperlink"/>
          </w:rPr>
          <w:t>2</w:t>
        </w:r>
        <w:r w:rsidRPr="00F74036">
          <w:rPr>
            <w:rStyle w:val="Hyperlink"/>
          </w:rPr>
          <w:t>5</w:t>
        </w:r>
      </w:hyperlink>
      <w:r w:rsidRPr="00F74036">
        <w:t>) ont été reçues de quatre (4) pays membres de l</w:t>
      </w:r>
      <w:r w:rsidR="00141D15" w:rsidRPr="00F74036">
        <w:t>'</w:t>
      </w:r>
      <w:r w:rsidRPr="00F74036">
        <w:t>APT. La proposition consistait à revoir les limites d</w:t>
      </w:r>
      <w:r w:rsidR="00141D15" w:rsidRPr="00F74036">
        <w:t>'</w:t>
      </w:r>
      <w:r w:rsidRPr="00F74036">
        <w:t xml:space="preserve">epfd </w:t>
      </w:r>
      <w:r w:rsidR="00AD43C7" w:rsidRPr="00F74036">
        <w:t>de</w:t>
      </w:r>
      <w:r w:rsidRPr="00F74036">
        <w:t xml:space="preserve"> l</w:t>
      </w:r>
      <w:r w:rsidR="00141D15" w:rsidRPr="00F74036">
        <w:t>'</w:t>
      </w:r>
      <w:r w:rsidRPr="00F74036">
        <w:t xml:space="preserve">Article </w:t>
      </w:r>
      <w:r w:rsidRPr="00F74036">
        <w:rPr>
          <w:b/>
          <w:bCs/>
        </w:rPr>
        <w:t>22</w:t>
      </w:r>
      <w:r w:rsidRPr="00F74036">
        <w:t xml:space="preserve"> du RR. Malgré les discussions</w:t>
      </w:r>
      <w:r w:rsidR="002237AE" w:rsidRPr="00F74036">
        <w:t xml:space="preserve"> approfondies</w:t>
      </w:r>
      <w:r w:rsidRPr="00F74036">
        <w:t xml:space="preserve"> tenues par les Groupes APG23-5 et APG23-6, la proposition n</w:t>
      </w:r>
      <w:r w:rsidR="00141D15" w:rsidRPr="00F74036">
        <w:t>'</w:t>
      </w:r>
      <w:r w:rsidRPr="00F74036">
        <w:t>a pas reçu l</w:t>
      </w:r>
      <w:r w:rsidR="00141D15" w:rsidRPr="00F74036">
        <w:t>'</w:t>
      </w:r>
      <w:r w:rsidRPr="00F74036">
        <w:t>appui consensuel des membres de l</w:t>
      </w:r>
      <w:r w:rsidR="00141D15" w:rsidRPr="00F74036">
        <w:t>'</w:t>
      </w:r>
      <w:r w:rsidRPr="00F74036">
        <w:t>APT. Cela s</w:t>
      </w:r>
      <w:r w:rsidR="00141D15" w:rsidRPr="00F74036">
        <w:t>'</w:t>
      </w:r>
      <w:r w:rsidRPr="00F74036">
        <w:t xml:space="preserve">explique par les vives préoccupations exprimées par de nombreux </w:t>
      </w:r>
      <w:r w:rsidR="008B75ED" w:rsidRPr="00F74036">
        <w:t>m</w:t>
      </w:r>
      <w:r w:rsidRPr="00F74036">
        <w:t>embres de l</w:t>
      </w:r>
      <w:r w:rsidR="00141D15" w:rsidRPr="00F74036">
        <w:t>'</w:t>
      </w:r>
      <w:r w:rsidRPr="00F74036">
        <w:t>APT au sujet de cette proposition. En conséquence, aucun accord n</w:t>
      </w:r>
      <w:r w:rsidR="00141D15" w:rsidRPr="00F74036">
        <w:t>'</w:t>
      </w:r>
      <w:r w:rsidRPr="00F74036">
        <w:t>a été trouvé concernant une proposition commune de l</w:t>
      </w:r>
      <w:r w:rsidR="00141D15" w:rsidRPr="00F74036">
        <w:t>'</w:t>
      </w:r>
      <w:r w:rsidRPr="00F74036">
        <w:t>APT sur la question.</w:t>
      </w:r>
    </w:p>
    <w:p w14:paraId="06B879CC" w14:textId="5839FEB7" w:rsidR="00EF5624" w:rsidRPr="00F74036" w:rsidRDefault="00EF5624" w:rsidP="00F74036">
      <w:r w:rsidRPr="00F74036">
        <w:t xml:space="preserve">La dernière réunion du GT 4A (26 juin – 7 juillet 2023) a également reçu une contribution analogue (Document </w:t>
      </w:r>
      <w:hyperlink r:id="rId18" w:history="1">
        <w:r w:rsidRPr="00F74036">
          <w:rPr>
            <w:rStyle w:val="Hyperlink"/>
          </w:rPr>
          <w:t>4A</w:t>
        </w:r>
        <w:r w:rsidRPr="00F74036">
          <w:rPr>
            <w:rStyle w:val="Hyperlink"/>
          </w:rPr>
          <w:t>/</w:t>
        </w:r>
        <w:r w:rsidRPr="00F74036">
          <w:rPr>
            <w:rStyle w:val="Hyperlink"/>
          </w:rPr>
          <w:t>971</w:t>
        </w:r>
      </w:hyperlink>
      <w:r w:rsidRPr="00F74036">
        <w:t>) de la part de l</w:t>
      </w:r>
      <w:r w:rsidR="00141D15" w:rsidRPr="00F74036">
        <w:t>'</w:t>
      </w:r>
      <w:r w:rsidRPr="00F74036">
        <w:t>un des membres de l</w:t>
      </w:r>
      <w:r w:rsidR="00141D15" w:rsidRPr="00F74036">
        <w:t>'</w:t>
      </w:r>
      <w:r w:rsidRPr="00F74036">
        <w:t xml:space="preserve">APT </w:t>
      </w:r>
      <w:r w:rsidR="00503152" w:rsidRPr="00F74036">
        <w:t xml:space="preserve">susmentionnés, </w:t>
      </w:r>
      <w:r w:rsidRPr="00F74036">
        <w:t>mais cela n'a pas donné lieu à l'élaboration d'un document final, compte tenu des préoccupations soulevées au sein du</w:t>
      </w:r>
      <w:r w:rsidR="00141D15" w:rsidRPr="00F74036">
        <w:t> </w:t>
      </w:r>
      <w:r w:rsidRPr="00F74036">
        <w:t>GT 4A.</w:t>
      </w:r>
    </w:p>
    <w:p w14:paraId="1DB6893F" w14:textId="3FA1C7F2" w:rsidR="00EF5624" w:rsidRPr="00F74036" w:rsidRDefault="00EF5624" w:rsidP="00F74036">
      <w:pPr>
        <w:pStyle w:val="Headingb"/>
      </w:pPr>
      <w:r w:rsidRPr="00F74036">
        <w:t>Considérations générales</w:t>
      </w:r>
    </w:p>
    <w:p w14:paraId="16BB9FC4" w14:textId="751DF15E" w:rsidR="00EF5624" w:rsidRPr="00F74036" w:rsidRDefault="00EF5624" w:rsidP="00F74036">
      <w:r w:rsidRPr="00F74036">
        <w:t>L</w:t>
      </w:r>
      <w:r w:rsidR="00141D15" w:rsidRPr="00F74036">
        <w:t>'</w:t>
      </w:r>
      <w:r w:rsidRPr="00F74036">
        <w:t xml:space="preserve">Indonésie </w:t>
      </w:r>
      <w:r w:rsidR="0057134E" w:rsidRPr="00F74036">
        <w:t>fait partie des</w:t>
      </w:r>
      <w:r w:rsidRPr="00F74036">
        <w:t xml:space="preserve"> administrations de l</w:t>
      </w:r>
      <w:r w:rsidR="00141D15" w:rsidRPr="00F74036">
        <w:t>'</w:t>
      </w:r>
      <w:r w:rsidRPr="00F74036">
        <w:t xml:space="preserve">APT qui </w:t>
      </w:r>
      <w:r w:rsidR="002237AE" w:rsidRPr="00F74036">
        <w:t xml:space="preserve">entretiennent de vives préoccupations quant à </w:t>
      </w:r>
      <w:r w:rsidRPr="00F74036">
        <w:t>toute proposition visant à modifier l</w:t>
      </w:r>
      <w:r w:rsidR="00141D15" w:rsidRPr="00F74036">
        <w:t>'</w:t>
      </w:r>
      <w:r w:rsidRPr="00F74036">
        <w:t xml:space="preserve">Article </w:t>
      </w:r>
      <w:r w:rsidRPr="00F74036">
        <w:rPr>
          <w:b/>
          <w:bCs/>
        </w:rPr>
        <w:t>22</w:t>
      </w:r>
      <w:r w:rsidRPr="00F74036">
        <w:t xml:space="preserve"> du RR </w:t>
      </w:r>
      <w:r w:rsidR="0057134E" w:rsidRPr="00F74036">
        <w:t>de façon à autoriser</w:t>
      </w:r>
      <w:r w:rsidRPr="00F74036">
        <w:t xml:space="preserve"> </w:t>
      </w:r>
      <w:r w:rsidR="0057134E" w:rsidRPr="00F74036">
        <w:t>les systèmes non</w:t>
      </w:r>
      <w:r w:rsidR="00141D15" w:rsidRPr="00F74036">
        <w:t xml:space="preserve"> </w:t>
      </w:r>
      <w:r w:rsidR="0057134E" w:rsidRPr="00F74036">
        <w:t xml:space="preserve">OSG à causer </w:t>
      </w:r>
      <w:r w:rsidRPr="00F74036">
        <w:t xml:space="preserve">des niveaux de brouillage plus élevés </w:t>
      </w:r>
      <w:r w:rsidR="0057134E" w:rsidRPr="00F74036">
        <w:t>aux</w:t>
      </w:r>
      <w:r w:rsidRPr="00F74036">
        <w:t xml:space="preserve"> </w:t>
      </w:r>
      <w:r w:rsidR="006037B9" w:rsidRPr="00F74036">
        <w:t>réseaux</w:t>
      </w:r>
      <w:r w:rsidRPr="00F74036">
        <w:t xml:space="preserve"> OSG. Les critères de protection contre les brouillages (limites d</w:t>
      </w:r>
      <w:r w:rsidR="00141D15" w:rsidRPr="00F74036">
        <w:t>'</w:t>
      </w:r>
      <w:r w:rsidRPr="00F74036">
        <w:t xml:space="preserve">epfd) </w:t>
      </w:r>
      <w:r w:rsidR="0057134E" w:rsidRPr="00F74036">
        <w:t>établis</w:t>
      </w:r>
      <w:r w:rsidRPr="00F74036">
        <w:t xml:space="preserve"> dans l</w:t>
      </w:r>
      <w:r w:rsidR="00141D15" w:rsidRPr="00F74036">
        <w:t>'</w:t>
      </w:r>
      <w:r w:rsidRPr="00F74036">
        <w:t xml:space="preserve">Article </w:t>
      </w:r>
      <w:r w:rsidRPr="00F74036">
        <w:rPr>
          <w:b/>
          <w:bCs/>
        </w:rPr>
        <w:t>22</w:t>
      </w:r>
      <w:r w:rsidRPr="00F74036">
        <w:t xml:space="preserve"> du RR </w:t>
      </w:r>
      <w:r w:rsidR="0057134E" w:rsidRPr="00F74036">
        <w:t>constituent</w:t>
      </w:r>
      <w:r w:rsidRPr="00F74036">
        <w:t xml:space="preserve"> une exigence que les systèmes non OSG doivent respecter pour protéger les </w:t>
      </w:r>
      <w:r w:rsidR="006037B9" w:rsidRPr="00F74036">
        <w:t>réseaux</w:t>
      </w:r>
      <w:r w:rsidRPr="00F74036">
        <w:t xml:space="preserve"> OSG, approuvée par consensus et à la suite d</w:t>
      </w:r>
      <w:r w:rsidR="00141D15" w:rsidRPr="00F74036">
        <w:t>'</w:t>
      </w:r>
      <w:r w:rsidRPr="00F74036">
        <w:t xml:space="preserve">études approfondies par les </w:t>
      </w:r>
      <w:r w:rsidR="0057134E" w:rsidRPr="00F74036">
        <w:t>États</w:t>
      </w:r>
      <w:r w:rsidRPr="00F74036">
        <w:t xml:space="preserve"> Membres de l</w:t>
      </w:r>
      <w:r w:rsidR="00141D15" w:rsidRPr="00F74036">
        <w:t>'</w:t>
      </w:r>
      <w:r w:rsidRPr="00F74036">
        <w:t xml:space="preserve">UIT (CMR-2000). Le déploiement actuel de certaines mégaconstellations LEO </w:t>
      </w:r>
      <w:r w:rsidR="0057134E" w:rsidRPr="00F74036">
        <w:t>de grande ampleur</w:t>
      </w:r>
      <w:r w:rsidRPr="00F74036">
        <w:t xml:space="preserve"> qui, </w:t>
      </w:r>
      <w:r w:rsidR="0096686A" w:rsidRPr="00F74036">
        <w:t>par</w:t>
      </w:r>
      <w:r w:rsidRPr="00F74036">
        <w:t xml:space="preserve"> leur conception, sont appelées à consommer l</w:t>
      </w:r>
      <w:r w:rsidR="00141D15" w:rsidRPr="00F74036">
        <w:t>'</w:t>
      </w:r>
      <w:r w:rsidRPr="00F74036">
        <w:t xml:space="preserve">essentiel des ressources orbitales et spectrales partagées </w:t>
      </w:r>
      <w:r w:rsidR="0057134E" w:rsidRPr="00F74036">
        <w:t>des orbites</w:t>
      </w:r>
      <w:r w:rsidRPr="00F74036">
        <w:t xml:space="preserve"> LEO, n</w:t>
      </w:r>
      <w:r w:rsidR="00141D15" w:rsidRPr="00F74036">
        <w:t>'</w:t>
      </w:r>
      <w:r w:rsidRPr="00F74036">
        <w:t xml:space="preserve">améliore </w:t>
      </w:r>
      <w:r w:rsidRPr="00F74036">
        <w:lastRenderedPageBreak/>
        <w:t>pas l</w:t>
      </w:r>
      <w:r w:rsidR="00141D15" w:rsidRPr="00F74036">
        <w:t>'</w:t>
      </w:r>
      <w:r w:rsidRPr="00F74036">
        <w:t xml:space="preserve">environnement de brouillage </w:t>
      </w:r>
      <w:r w:rsidR="0057134E" w:rsidRPr="00F74036">
        <w:t xml:space="preserve">dû aux systèmes non OSG </w:t>
      </w:r>
      <w:r w:rsidRPr="00F74036">
        <w:t xml:space="preserve">auquel les </w:t>
      </w:r>
      <w:r w:rsidR="006037B9" w:rsidRPr="00F74036">
        <w:t>réseaux</w:t>
      </w:r>
      <w:r w:rsidRPr="00F74036">
        <w:t xml:space="preserve"> OSG doivent faire face. Au contraire, les progrès de la technologie des récepteurs </w:t>
      </w:r>
      <w:r w:rsidR="00074379" w:rsidRPr="00F74036">
        <w:t>des</w:t>
      </w:r>
      <w:r w:rsidRPr="00F74036">
        <w:t xml:space="preserve"> </w:t>
      </w:r>
      <w:r w:rsidR="006037B9" w:rsidRPr="00F74036">
        <w:t>réseaux</w:t>
      </w:r>
      <w:r w:rsidRPr="00F74036">
        <w:t xml:space="preserve"> OSG</w:t>
      </w:r>
      <w:r w:rsidR="00074379" w:rsidRPr="00F74036">
        <w:t>,</w:t>
      </w:r>
      <w:r w:rsidRPr="00F74036">
        <w:t xml:space="preserve"> combinés avec </w:t>
      </w:r>
      <w:r w:rsidR="00074379" w:rsidRPr="00F74036">
        <w:t>l'apparition</w:t>
      </w:r>
      <w:r w:rsidRPr="00F74036">
        <w:t xml:space="preserve"> de mégaconstellations LEO gourmandes en </w:t>
      </w:r>
      <w:r w:rsidR="00992A7B" w:rsidRPr="00F74036">
        <w:t>fréquences radioélectriques</w:t>
      </w:r>
      <w:r w:rsidRPr="00F74036">
        <w:t xml:space="preserve"> </w:t>
      </w:r>
      <w:r w:rsidR="00992A7B" w:rsidRPr="00F74036">
        <w:t>montrent</w:t>
      </w:r>
      <w:r w:rsidRPr="00F74036">
        <w:t xml:space="preserve"> que les limites d</w:t>
      </w:r>
      <w:r w:rsidR="00141D15" w:rsidRPr="00F74036">
        <w:t>'</w:t>
      </w:r>
      <w:r w:rsidRPr="00F74036">
        <w:t xml:space="preserve">epfd existantes sont le seul mécanisme efficace </w:t>
      </w:r>
      <w:r w:rsidR="00992A7B" w:rsidRPr="00F74036">
        <w:t>permettant d'</w:t>
      </w:r>
      <w:r w:rsidRPr="00F74036">
        <w:t xml:space="preserve">assurer la protection des </w:t>
      </w:r>
      <w:r w:rsidR="006037B9" w:rsidRPr="00F74036">
        <w:t>réseaux</w:t>
      </w:r>
      <w:r w:rsidRPr="00F74036">
        <w:t xml:space="preserve"> OSG </w:t>
      </w:r>
      <w:r w:rsidR="00992A7B" w:rsidRPr="00F74036">
        <w:t>essentiels</w:t>
      </w:r>
      <w:r w:rsidRPr="00F74036">
        <w:t xml:space="preserve"> contre les brouillages.</w:t>
      </w:r>
    </w:p>
    <w:p w14:paraId="79D4C3BE" w14:textId="0D55C14F" w:rsidR="00992A7B" w:rsidRPr="00F74036" w:rsidRDefault="00992A7B" w:rsidP="00F74036">
      <w:r w:rsidRPr="00F74036">
        <w:t xml:space="preserve">En outre, les mégaconstellations LEO soulèvent </w:t>
      </w:r>
      <w:r w:rsidR="00074379" w:rsidRPr="00F74036">
        <w:t>plusieurs</w:t>
      </w:r>
      <w:r w:rsidRPr="00F74036">
        <w:t xml:space="preserve"> autres questions, </w:t>
      </w:r>
      <w:r w:rsidR="00074379" w:rsidRPr="00F74036">
        <w:t>notamment en ce qui concerne</w:t>
      </w:r>
      <w:r w:rsidRPr="00F74036">
        <w:t xml:space="preserve"> leurs externalités éventuelles, </w:t>
      </w:r>
      <w:r w:rsidR="00074379" w:rsidRPr="00F74036">
        <w:t>qu'il convient de résoudre</w:t>
      </w:r>
      <w:r w:rsidRPr="00F74036">
        <w:t xml:space="preserve"> d</w:t>
      </w:r>
      <w:r w:rsidR="00141D15" w:rsidRPr="00F74036">
        <w:t>'</w:t>
      </w:r>
      <w:r w:rsidRPr="00F74036">
        <w:t>urgence</w:t>
      </w:r>
      <w:r w:rsidR="00074379" w:rsidRPr="00F74036">
        <w:t xml:space="preserve">, plutôt que </w:t>
      </w:r>
      <w:r w:rsidRPr="00F74036">
        <w:t>d</w:t>
      </w:r>
      <w:r w:rsidR="00074379" w:rsidRPr="00F74036">
        <w:t>'</w:t>
      </w:r>
      <w:r w:rsidRPr="00F74036">
        <w:t>encourager l</w:t>
      </w:r>
      <w:r w:rsidR="00141D15" w:rsidRPr="00F74036">
        <w:t>'</w:t>
      </w:r>
      <w:r w:rsidRPr="00F74036">
        <w:t>instabilité réglementaire et l</w:t>
      </w:r>
      <w:r w:rsidR="00141D15" w:rsidRPr="00F74036">
        <w:t>'</w:t>
      </w:r>
      <w:r w:rsidRPr="00F74036">
        <w:t xml:space="preserve">incertitude de la planification, en proposant d'assouplir dans le Règlement des radiocommunications des dispositions bien établies sur la gestion des brouillages. Cette considération est particulièrement importante au vu du fait que le déploiement </w:t>
      </w:r>
      <w:r w:rsidR="00074379" w:rsidRPr="00F74036">
        <w:t>sans contrainte</w:t>
      </w:r>
      <w:r w:rsidRPr="00F74036">
        <w:t xml:space="preserve"> de très grands systèmes non OSG (à savoir, les mégaconstellations LEO) entraîne une dégradation de l</w:t>
      </w:r>
      <w:r w:rsidR="00141D15" w:rsidRPr="00F74036">
        <w:t>'</w:t>
      </w:r>
      <w:r w:rsidRPr="00F74036">
        <w:t xml:space="preserve">environnement de brouillage acceptable dans les ressources spectrales </w:t>
      </w:r>
      <w:r w:rsidR="00AA4533" w:rsidRPr="00F74036">
        <w:t>limitées utilisées en partage</w:t>
      </w:r>
      <w:r w:rsidRPr="00F74036">
        <w:t xml:space="preserve">, </w:t>
      </w:r>
      <w:r w:rsidR="00AA4533" w:rsidRPr="00F74036">
        <w:t xml:space="preserve">d'une part </w:t>
      </w:r>
      <w:r w:rsidRPr="00F74036">
        <w:t>car elles sont limitées</w:t>
      </w:r>
      <w:r w:rsidR="008230CA" w:rsidRPr="00F74036">
        <w:t xml:space="preserve"> et, d'autre part, parce q</w:t>
      </w:r>
      <w:r w:rsidRPr="00F74036">
        <w:t xml:space="preserve">ue </w:t>
      </w:r>
      <w:r w:rsidR="008230CA" w:rsidRPr="00F74036">
        <w:t>certains</w:t>
      </w:r>
      <w:r w:rsidRPr="00F74036">
        <w:t xml:space="preserve"> systèmes</w:t>
      </w:r>
      <w:r w:rsidR="008B75ED" w:rsidRPr="00F74036">
        <w:t> </w:t>
      </w:r>
      <w:r w:rsidRPr="00F74036">
        <w:t xml:space="preserve">LEO sont configurés </w:t>
      </w:r>
      <w:r w:rsidR="008230CA" w:rsidRPr="00F74036">
        <w:t>de façon à</w:t>
      </w:r>
      <w:r w:rsidRPr="00F74036">
        <w:t xml:space="preserve"> </w:t>
      </w:r>
      <w:r w:rsidR="00AA4533" w:rsidRPr="00F74036">
        <w:t>utiliser</w:t>
      </w:r>
      <w:r w:rsidRPr="00F74036">
        <w:t xml:space="preserve"> rapidement toutes les marges d</w:t>
      </w:r>
      <w:r w:rsidR="00141D15" w:rsidRPr="00F74036">
        <w:t>'</w:t>
      </w:r>
      <w:r w:rsidRPr="00F74036">
        <w:t xml:space="preserve">epfd disponibles </w:t>
      </w:r>
      <w:r w:rsidR="00AA4533" w:rsidRPr="00F74036">
        <w:t>qui permettent</w:t>
      </w:r>
      <w:r w:rsidR="008230CA" w:rsidRPr="00F74036">
        <w:t xml:space="preserve"> de</w:t>
      </w:r>
      <w:r w:rsidRPr="00F74036">
        <w:t xml:space="preserve"> protéger les </w:t>
      </w:r>
      <w:r w:rsidR="006037B9" w:rsidRPr="00F74036">
        <w:t>réseaux</w:t>
      </w:r>
      <w:r w:rsidRPr="00F74036">
        <w:t xml:space="preserve"> OSG.</w:t>
      </w:r>
    </w:p>
    <w:p w14:paraId="142AEF80" w14:textId="5D935A4A" w:rsidR="00933B27" w:rsidRPr="00F74036" w:rsidRDefault="004D72BE" w:rsidP="00F74036">
      <w:r w:rsidRPr="00F74036">
        <w:t>L</w:t>
      </w:r>
      <w:r w:rsidR="00933B27" w:rsidRPr="00F74036">
        <w:t xml:space="preserve">a pratique qui consiste à </w:t>
      </w:r>
      <w:r w:rsidRPr="00F74036">
        <w:t>scinder</w:t>
      </w:r>
      <w:r w:rsidR="00933B27" w:rsidRPr="00F74036">
        <w:t xml:space="preserve"> un système à satellites non géostationnaires en plusieurs systèmes notifiés</w:t>
      </w:r>
      <w:r w:rsidRPr="00F74036">
        <w:t xml:space="preserve"> est une question qui doit être examinée</w:t>
      </w:r>
      <w:r w:rsidR="00933B27" w:rsidRPr="00F74036">
        <w:t xml:space="preserve">. </w:t>
      </w:r>
      <w:r w:rsidRPr="00F74036">
        <w:t xml:space="preserve">Le fait de </w:t>
      </w:r>
      <w:r w:rsidR="00140B36" w:rsidRPr="00F74036">
        <w:t>subdiviser</w:t>
      </w:r>
      <w:r w:rsidRPr="00F74036">
        <w:t xml:space="preserve"> </w:t>
      </w:r>
      <w:r w:rsidR="00933B27" w:rsidRPr="00F74036">
        <w:t xml:space="preserve">des fiches de notification de </w:t>
      </w:r>
      <w:r w:rsidRPr="00F74036">
        <w:t xml:space="preserve">systèmes </w:t>
      </w:r>
      <w:r w:rsidR="00933B27" w:rsidRPr="00F74036">
        <w:t>non OSG en plusieurs fiches de notification nuit à l</w:t>
      </w:r>
      <w:r w:rsidR="00141D15" w:rsidRPr="00F74036">
        <w:t>'</w:t>
      </w:r>
      <w:r w:rsidR="00933B27" w:rsidRPr="00F74036">
        <w:t>efficacité de l</w:t>
      </w:r>
      <w:r w:rsidR="00141D15" w:rsidRPr="00F74036">
        <w:t>'</w:t>
      </w:r>
      <w:r w:rsidR="00933B27" w:rsidRPr="00F74036">
        <w:t>évaluation des limites d</w:t>
      </w:r>
      <w:r w:rsidR="00141D15" w:rsidRPr="00F74036">
        <w:t>'</w:t>
      </w:r>
      <w:r w:rsidR="00933B27" w:rsidRPr="00F74036">
        <w:t>epfd pour une seule source de brouillage (</w:t>
      </w:r>
      <w:r w:rsidR="00140B36" w:rsidRPr="00F74036">
        <w:t>établies</w:t>
      </w:r>
      <w:r w:rsidR="00933B27" w:rsidRPr="00F74036">
        <w:t xml:space="preserve"> dans l</w:t>
      </w:r>
      <w:r w:rsidR="00141D15" w:rsidRPr="00F74036">
        <w:t>'</w:t>
      </w:r>
      <w:r w:rsidR="00933B27" w:rsidRPr="00F74036">
        <w:t xml:space="preserve">Article </w:t>
      </w:r>
      <w:r w:rsidR="00933B27" w:rsidRPr="00F74036">
        <w:rPr>
          <w:b/>
          <w:bCs/>
        </w:rPr>
        <w:t>22</w:t>
      </w:r>
      <w:r w:rsidR="00933B27" w:rsidRPr="00F74036">
        <w:t xml:space="preserve"> du RR). Cela a également une incidence sur la mise en </w:t>
      </w:r>
      <w:r w:rsidR="00140B36" w:rsidRPr="00F74036">
        <w:t>œuvre</w:t>
      </w:r>
      <w:r w:rsidR="00933B27" w:rsidRPr="00F74036">
        <w:t xml:space="preserve"> de la Résolution </w:t>
      </w:r>
      <w:r w:rsidR="00933B27" w:rsidRPr="00F74036">
        <w:rPr>
          <w:b/>
          <w:bCs/>
        </w:rPr>
        <w:t>76 (Rév.CMR-15)</w:t>
      </w:r>
      <w:r w:rsidR="00933B27" w:rsidRPr="00F74036">
        <w:t xml:space="preserve">. Le problème de la subdivision des fiches de notification de </w:t>
      </w:r>
      <w:r w:rsidR="00140B36" w:rsidRPr="00F74036">
        <w:t>systèmes</w:t>
      </w:r>
      <w:r w:rsidR="00933B27" w:rsidRPr="00F74036">
        <w:t xml:space="preserve"> non OSG a été soulevé par le Directeur du BR dans son avant-projet de Rapport à la CMR-23, soumis à la RPC23-2 (§ 3.1.4 de la Partie 1 du Document</w:t>
      </w:r>
      <w:r w:rsidR="008B75ED" w:rsidRPr="00F74036">
        <w:t> </w:t>
      </w:r>
      <w:hyperlink r:id="rId19" w:history="1">
        <w:r w:rsidR="00933B27" w:rsidRPr="00F74036">
          <w:rPr>
            <w:rStyle w:val="Hyperlink"/>
          </w:rPr>
          <w:t>CPM23-</w:t>
        </w:r>
        <w:r w:rsidR="00933B27" w:rsidRPr="00F74036">
          <w:rPr>
            <w:rStyle w:val="Hyperlink"/>
          </w:rPr>
          <w:t>2</w:t>
        </w:r>
        <w:r w:rsidR="00933B27" w:rsidRPr="00F74036">
          <w:rPr>
            <w:rStyle w:val="Hyperlink"/>
          </w:rPr>
          <w:t>/236</w:t>
        </w:r>
      </w:hyperlink>
      <w:r w:rsidR="00933B27" w:rsidRPr="00F74036">
        <w:t xml:space="preserve">). La subdivision des </w:t>
      </w:r>
      <w:r w:rsidR="00140B36" w:rsidRPr="00F74036">
        <w:t>fiches de notification</w:t>
      </w:r>
      <w:r w:rsidR="00933B27" w:rsidRPr="00F74036">
        <w:t xml:space="preserve"> de</w:t>
      </w:r>
      <w:r w:rsidR="00140B36" w:rsidRPr="00F74036">
        <w:t>s systèmes</w:t>
      </w:r>
      <w:r w:rsidR="00933B27" w:rsidRPr="00F74036">
        <w:t xml:space="preserve"> non OSG </w:t>
      </w:r>
      <w:r w:rsidR="00140B36" w:rsidRPr="00F74036">
        <w:t>conduit</w:t>
      </w:r>
      <w:r w:rsidR="00933B27" w:rsidRPr="00F74036">
        <w:t xml:space="preserve"> à une application erronée des limites d</w:t>
      </w:r>
      <w:r w:rsidR="00141D15" w:rsidRPr="00F74036">
        <w:t>'</w:t>
      </w:r>
      <w:r w:rsidR="00933B27" w:rsidRPr="00F74036">
        <w:t xml:space="preserve">epfd pour une seule source de brouillage </w:t>
      </w:r>
      <w:r w:rsidR="00140B36" w:rsidRPr="00F74036">
        <w:t>en vue</w:t>
      </w:r>
      <w:r w:rsidR="00933B27" w:rsidRPr="00F74036">
        <w:t xml:space="preserve"> d</w:t>
      </w:r>
      <w:r w:rsidR="00141D15" w:rsidRPr="00F74036">
        <w:t>'</w:t>
      </w:r>
      <w:r w:rsidR="00933B27" w:rsidRPr="00F74036">
        <w:t>abaisser les niveaux d</w:t>
      </w:r>
      <w:r w:rsidR="00141D15" w:rsidRPr="00F74036">
        <w:t>'</w:t>
      </w:r>
      <w:r w:rsidR="00933B27" w:rsidRPr="00F74036">
        <w:t>epfd et, par conséquent, d</w:t>
      </w:r>
      <w:r w:rsidR="00141D15" w:rsidRPr="00F74036">
        <w:t>'</w:t>
      </w:r>
      <w:r w:rsidR="00933B27" w:rsidRPr="00F74036">
        <w:t>obtenir une conclusion favorable à la suite de l</w:t>
      </w:r>
      <w:r w:rsidR="00141D15" w:rsidRPr="00F74036">
        <w:t>'</w:t>
      </w:r>
      <w:r w:rsidR="00933B27" w:rsidRPr="00F74036">
        <w:t xml:space="preserve">examen réglementaire effectué par le Bureau des radiocommunications au titre du numéro </w:t>
      </w:r>
      <w:r w:rsidR="00933B27" w:rsidRPr="00F74036">
        <w:rPr>
          <w:b/>
          <w:bCs/>
        </w:rPr>
        <w:t>11.31</w:t>
      </w:r>
      <w:r w:rsidR="00933B27" w:rsidRPr="00F74036">
        <w:t xml:space="preserve"> du RR.</w:t>
      </w:r>
    </w:p>
    <w:p w14:paraId="61530EEB" w14:textId="7CCE612E" w:rsidR="00140B36" w:rsidRPr="00F74036" w:rsidRDefault="00140B36" w:rsidP="00F74036">
      <w:r w:rsidRPr="00F74036">
        <w:t>La subdivision des</w:t>
      </w:r>
      <w:r w:rsidR="00275439" w:rsidRPr="00F74036">
        <w:t xml:space="preserve"> fiches de</w:t>
      </w:r>
      <w:r w:rsidRPr="00F74036">
        <w:t xml:space="preserve"> notification de systèmes non OSG pour créer artificiellement l</w:t>
      </w:r>
      <w:r w:rsidR="00141D15" w:rsidRPr="00F74036">
        <w:t>'</w:t>
      </w:r>
      <w:r w:rsidRPr="00F74036">
        <w:t>idée que les systèmes non OSG produisent des niveaux d</w:t>
      </w:r>
      <w:r w:rsidR="00141D15" w:rsidRPr="00F74036">
        <w:t>'</w:t>
      </w:r>
      <w:r w:rsidRPr="00F74036">
        <w:t xml:space="preserve">epfd inférieurs </w:t>
      </w:r>
      <w:r w:rsidR="00275439" w:rsidRPr="00F74036">
        <w:t>montre</w:t>
      </w:r>
      <w:r w:rsidRPr="00F74036">
        <w:t xml:space="preserve"> clairement que l</w:t>
      </w:r>
      <w:r w:rsidR="00141D15" w:rsidRPr="00F74036">
        <w:t>'</w:t>
      </w:r>
      <w:r w:rsidRPr="00F74036">
        <w:t xml:space="preserve">environnement de brouillage dans lequel les </w:t>
      </w:r>
      <w:r w:rsidR="006037B9" w:rsidRPr="00F74036">
        <w:t xml:space="preserve">réseaux </w:t>
      </w:r>
      <w:r w:rsidRPr="00F74036">
        <w:t>OSG sont contraints de fonctionner</w:t>
      </w:r>
      <w:r w:rsidR="00275439" w:rsidRPr="00F74036">
        <w:t xml:space="preserve"> est loin de s'améliorer,</w:t>
      </w:r>
      <w:r w:rsidRPr="00F74036">
        <w:t xml:space="preserve"> bien au contraire. Par conséquent, proposer </w:t>
      </w:r>
      <w:r w:rsidR="00275439" w:rsidRPr="00F74036">
        <w:t>l'assouplissement des</w:t>
      </w:r>
      <w:r w:rsidRPr="00F74036">
        <w:t xml:space="preserve"> limites d</w:t>
      </w:r>
      <w:r w:rsidR="00141D15" w:rsidRPr="00F74036">
        <w:t>'</w:t>
      </w:r>
      <w:r w:rsidRPr="00F74036">
        <w:t>epfd de l</w:t>
      </w:r>
      <w:r w:rsidR="00141D15" w:rsidRPr="00F74036">
        <w:t>'</w:t>
      </w:r>
      <w:r w:rsidRPr="00F74036">
        <w:t xml:space="preserve">Article </w:t>
      </w:r>
      <w:r w:rsidRPr="00F74036">
        <w:rPr>
          <w:b/>
          <w:bCs/>
        </w:rPr>
        <w:t>22</w:t>
      </w:r>
      <w:r w:rsidRPr="00F74036">
        <w:t xml:space="preserve"> du RR pour que les systèmes non OSG bénéficient de marges </w:t>
      </w:r>
      <w:r w:rsidR="00275439" w:rsidRPr="00F74036">
        <w:t xml:space="preserve">encore plus importantes pour la </w:t>
      </w:r>
      <w:r w:rsidRPr="00F74036">
        <w:t>production de brouillage ne constituera pas une intervention réglementaire appropriée.</w:t>
      </w:r>
    </w:p>
    <w:p w14:paraId="62748496" w14:textId="0B78FF15" w:rsidR="00275439" w:rsidRPr="00F74036" w:rsidRDefault="00275439" w:rsidP="00F74036">
      <w:r w:rsidRPr="00F74036">
        <w:t>En outre, étant donné que les limites d</w:t>
      </w:r>
      <w:r w:rsidR="00141D15" w:rsidRPr="00F74036">
        <w:t>'</w:t>
      </w:r>
      <w:r w:rsidRPr="00F74036">
        <w:t xml:space="preserve">epfd cumulative obligatoires sont énoncées dans la Résolution </w:t>
      </w:r>
      <w:r w:rsidRPr="00F74036">
        <w:rPr>
          <w:b/>
          <w:bCs/>
        </w:rPr>
        <w:t>76 (Rév.CMR-15)</w:t>
      </w:r>
      <w:r w:rsidRPr="00F74036">
        <w:t xml:space="preserve">, le problème réside dans le fait que les méthodes et procédures décrites dans la Résolution </w:t>
      </w:r>
      <w:r w:rsidRPr="00F74036">
        <w:rPr>
          <w:b/>
          <w:bCs/>
        </w:rPr>
        <w:t>76 (Rév.CMR-15)</w:t>
      </w:r>
      <w:r w:rsidRPr="00F74036">
        <w:t>, permettant de déterminer efficacement si ces limites d</w:t>
      </w:r>
      <w:r w:rsidR="00141D15" w:rsidRPr="00F74036">
        <w:t>'</w:t>
      </w:r>
      <w:r w:rsidRPr="00F74036">
        <w:t>epfd cumulative sont dépassées</w:t>
      </w:r>
      <w:r w:rsidR="0056579B" w:rsidRPr="00F74036">
        <w:t>,</w:t>
      </w:r>
      <w:r w:rsidRPr="00F74036">
        <w:t xml:space="preserve"> ne sont pas claires. En conséquence, il n</w:t>
      </w:r>
      <w:r w:rsidR="00141D15" w:rsidRPr="00F74036">
        <w:t>'</w:t>
      </w:r>
      <w:r w:rsidRPr="00F74036">
        <w:t xml:space="preserve">est pas possible de valider la conformité avec la Résolution </w:t>
      </w:r>
      <w:r w:rsidRPr="00F74036">
        <w:rPr>
          <w:b/>
          <w:bCs/>
        </w:rPr>
        <w:t xml:space="preserve">76 (Rév.CMR-15) </w:t>
      </w:r>
      <w:r w:rsidR="0056579B" w:rsidRPr="00F74036">
        <w:t>dans ces circonstances</w:t>
      </w:r>
      <w:r w:rsidRPr="00F74036">
        <w:t>, même si plusieurs mégaconstellations LEO sont déjà déployées sans aucune contrainte.</w:t>
      </w:r>
    </w:p>
    <w:p w14:paraId="182038FF" w14:textId="25AABE2D" w:rsidR="0056579B" w:rsidRPr="00F74036" w:rsidRDefault="0056579B" w:rsidP="00F74036">
      <w:r w:rsidRPr="00F74036">
        <w:t>Compte tenu de ces questions, la République d</w:t>
      </w:r>
      <w:r w:rsidR="00141D15" w:rsidRPr="00F74036">
        <w:t>'</w:t>
      </w:r>
      <w:r w:rsidRPr="00F74036">
        <w:t xml:space="preserve">Indonésie soumet le présent document afin de faire part de </w:t>
      </w:r>
      <w:r w:rsidR="0096686A" w:rsidRPr="00F74036">
        <w:t xml:space="preserve">ses </w:t>
      </w:r>
      <w:r w:rsidR="00FD2EAD" w:rsidRPr="00F74036">
        <w:t>vues</w:t>
      </w:r>
      <w:r w:rsidRPr="00F74036">
        <w:t xml:space="preserve"> et de ses préoccupations. Étant donné que les incidences du déploiement de très grands systèmes non OSG n</w:t>
      </w:r>
      <w:r w:rsidR="00141D15" w:rsidRPr="00F74036">
        <w:t>'</w:t>
      </w:r>
      <w:r w:rsidRPr="00F74036">
        <w:t>ont pas encore été pleinement comprises et prises en compte, comme expliqué ci-dessus, l</w:t>
      </w:r>
      <w:r w:rsidR="00141D15" w:rsidRPr="00F74036">
        <w:t>'</w:t>
      </w:r>
      <w:r w:rsidRPr="00F74036">
        <w:t>Indonésie n</w:t>
      </w:r>
      <w:r w:rsidR="00141D15" w:rsidRPr="00F74036">
        <w:t>'</w:t>
      </w:r>
      <w:r w:rsidRPr="00F74036">
        <w:t>est pas en mesure d</w:t>
      </w:r>
      <w:r w:rsidR="00141D15" w:rsidRPr="00F74036">
        <w:t>'</w:t>
      </w:r>
      <w:r w:rsidRPr="00F74036">
        <w:t xml:space="preserve">appuyer une modification des critères de protection des </w:t>
      </w:r>
      <w:r w:rsidR="00AA323F" w:rsidRPr="00F74036">
        <w:t>systèmes</w:t>
      </w:r>
      <w:r w:rsidRPr="00F74036">
        <w:t xml:space="preserve"> OSG contre les brouillages (limites d</w:t>
      </w:r>
      <w:r w:rsidR="00141D15" w:rsidRPr="00F74036">
        <w:t>'</w:t>
      </w:r>
      <w:r w:rsidRPr="00F74036">
        <w:t>epfd) établis et convenus qui figurent dans l</w:t>
      </w:r>
      <w:r w:rsidR="00141D15" w:rsidRPr="00F74036">
        <w:t>'</w:t>
      </w:r>
      <w:r w:rsidRPr="00F74036">
        <w:t xml:space="preserve">Article </w:t>
      </w:r>
      <w:r w:rsidRPr="00F74036">
        <w:rPr>
          <w:b/>
          <w:bCs/>
        </w:rPr>
        <w:t>22</w:t>
      </w:r>
      <w:r w:rsidRPr="00F74036">
        <w:t xml:space="preserve"> du RR. </w:t>
      </w:r>
      <w:r w:rsidR="00AA323F" w:rsidRPr="00F74036">
        <w:t>Les propositions visant à</w:t>
      </w:r>
      <w:r w:rsidRPr="00F74036">
        <w:t xml:space="preserve"> modifier les limites d</w:t>
      </w:r>
      <w:r w:rsidR="00141D15" w:rsidRPr="00F74036">
        <w:t>'</w:t>
      </w:r>
      <w:r w:rsidRPr="00F74036">
        <w:t>epfd actuelles de l</w:t>
      </w:r>
      <w:r w:rsidR="00141D15" w:rsidRPr="00F74036">
        <w:t>'</w:t>
      </w:r>
      <w:r w:rsidRPr="00F74036">
        <w:t>Article</w:t>
      </w:r>
      <w:r w:rsidR="006504F8" w:rsidRPr="00F74036">
        <w:t> </w:t>
      </w:r>
      <w:r w:rsidRPr="00F74036">
        <w:rPr>
          <w:b/>
          <w:bCs/>
        </w:rPr>
        <w:t>22</w:t>
      </w:r>
      <w:r w:rsidRPr="00F74036">
        <w:t xml:space="preserve"> du RR </w:t>
      </w:r>
      <w:r w:rsidR="001B6790" w:rsidRPr="00F74036">
        <w:t>constituent</w:t>
      </w:r>
      <w:r w:rsidR="00AA323F" w:rsidRPr="00F74036">
        <w:t xml:space="preserve"> une </w:t>
      </w:r>
      <w:r w:rsidRPr="00F74036">
        <w:t>entreprise déraisonnable</w:t>
      </w:r>
      <w:r w:rsidR="00AA323F" w:rsidRPr="00F74036">
        <w:t>,</w:t>
      </w:r>
      <w:r w:rsidRPr="00F74036">
        <w:t xml:space="preserve"> </w:t>
      </w:r>
      <w:r w:rsidR="00AA323F" w:rsidRPr="00F74036">
        <w:t xml:space="preserve">quel que soit le point de </w:t>
      </w:r>
      <w:r w:rsidRPr="00F74036">
        <w:t>l</w:t>
      </w:r>
      <w:r w:rsidR="00141D15" w:rsidRPr="00F74036">
        <w:t>'</w:t>
      </w:r>
      <w:r w:rsidRPr="00F74036">
        <w:t xml:space="preserve">ordre du jour des futures CMR </w:t>
      </w:r>
      <w:r w:rsidR="00AA323F" w:rsidRPr="00F74036">
        <w:t xml:space="preserve">au titre duquel elles sont formulées, </w:t>
      </w:r>
      <w:r w:rsidRPr="00F74036">
        <w:t xml:space="preserve">car il est peu probable que le déploiement </w:t>
      </w:r>
      <w:r w:rsidR="00F77CD5" w:rsidRPr="00F74036">
        <w:t xml:space="preserve">actuel </w:t>
      </w:r>
      <w:r w:rsidRPr="00F74036">
        <w:t>sans contrainte de mégaconstellations LEO améliore les conditions de brouillage dans les bandes de fréquences qu</w:t>
      </w:r>
      <w:r w:rsidR="00141D15" w:rsidRPr="00F74036">
        <w:t>'</w:t>
      </w:r>
      <w:r w:rsidRPr="00F74036">
        <w:t xml:space="preserve">elles utilisent en partage avec les </w:t>
      </w:r>
      <w:r w:rsidR="006037B9" w:rsidRPr="00F74036">
        <w:t>réseaux</w:t>
      </w:r>
      <w:r w:rsidRPr="00F74036">
        <w:t xml:space="preserve"> OSG.</w:t>
      </w:r>
    </w:p>
    <w:p w14:paraId="01AC0D92" w14:textId="0E0C9802" w:rsidR="00AA323F" w:rsidRPr="00F74036" w:rsidRDefault="00AA323F" w:rsidP="00F74036">
      <w:r w:rsidRPr="00F74036">
        <w:lastRenderedPageBreak/>
        <w:t>Les limites d</w:t>
      </w:r>
      <w:r w:rsidR="00141D15" w:rsidRPr="00F74036">
        <w:t>'</w:t>
      </w:r>
      <w:r w:rsidRPr="00F74036">
        <w:t xml:space="preserve">epfd cumulative indiquées dans la Résolution </w:t>
      </w:r>
      <w:r w:rsidRPr="00F74036">
        <w:rPr>
          <w:b/>
          <w:bCs/>
        </w:rPr>
        <w:t>76 (Rév.CMR-15)</w:t>
      </w:r>
      <w:r w:rsidRPr="00F74036">
        <w:t xml:space="preserve"> et les limites d</w:t>
      </w:r>
      <w:r w:rsidR="00141D15" w:rsidRPr="00F74036">
        <w:t>'</w:t>
      </w:r>
      <w:r w:rsidRPr="00F74036">
        <w:t>epfd pour une seule source de brouillage figurant dans l</w:t>
      </w:r>
      <w:r w:rsidR="00141D15" w:rsidRPr="00F74036">
        <w:t>'</w:t>
      </w:r>
      <w:r w:rsidRPr="00F74036">
        <w:t xml:space="preserve">Article </w:t>
      </w:r>
      <w:r w:rsidRPr="00F74036">
        <w:rPr>
          <w:b/>
          <w:bCs/>
        </w:rPr>
        <w:t>22</w:t>
      </w:r>
      <w:r w:rsidRPr="00F74036">
        <w:t xml:space="preserve"> du RR</w:t>
      </w:r>
      <w:r w:rsidR="001B6790" w:rsidRPr="00F74036">
        <w:t xml:space="preserve">, qui sont </w:t>
      </w:r>
      <w:r w:rsidRPr="00F74036">
        <w:t>actuellement en vigueur</w:t>
      </w:r>
      <w:r w:rsidR="001B6790" w:rsidRPr="00F74036">
        <w:t xml:space="preserve"> </w:t>
      </w:r>
      <w:r w:rsidR="00D831E9" w:rsidRPr="00F74036">
        <w:t>en tant que</w:t>
      </w:r>
      <w:r w:rsidRPr="00F74036">
        <w:t xml:space="preserve"> conditions obligatoires </w:t>
      </w:r>
      <w:r w:rsidR="001B6790" w:rsidRPr="00F74036">
        <w:t>que doivent satisfaire les</w:t>
      </w:r>
      <w:r w:rsidRPr="00F74036">
        <w:t xml:space="preserve"> systèmes non OSG </w:t>
      </w:r>
      <w:r w:rsidR="001B6790" w:rsidRPr="00F74036">
        <w:t>visés</w:t>
      </w:r>
      <w:r w:rsidRPr="00F74036">
        <w:t xml:space="preserve">, ont </w:t>
      </w:r>
      <w:r w:rsidR="00D831E9" w:rsidRPr="00F74036">
        <w:t xml:space="preserve">initialement </w:t>
      </w:r>
      <w:r w:rsidRPr="00F74036">
        <w:t xml:space="preserve">été élaborées et approuvées par tous les </w:t>
      </w:r>
      <w:r w:rsidR="001B6790" w:rsidRPr="00F74036">
        <w:t>États</w:t>
      </w:r>
      <w:r w:rsidRPr="00F74036">
        <w:t xml:space="preserve"> Membres de l</w:t>
      </w:r>
      <w:r w:rsidR="00141D15" w:rsidRPr="00F74036">
        <w:t>'</w:t>
      </w:r>
      <w:r w:rsidRPr="00F74036">
        <w:t>UIT au titre du point 1.13 de l</w:t>
      </w:r>
      <w:r w:rsidR="00141D15" w:rsidRPr="00F74036">
        <w:t>'</w:t>
      </w:r>
      <w:r w:rsidRPr="00F74036">
        <w:t xml:space="preserve">ordre du jour de la CMR-2000. Plus de 600 paramètres </w:t>
      </w:r>
      <w:r w:rsidR="001B6790" w:rsidRPr="00F74036">
        <w:t>pour</w:t>
      </w:r>
      <w:r w:rsidRPr="00F74036">
        <w:t xml:space="preserve"> les bandes de fréquences</w:t>
      </w:r>
      <w:r w:rsidR="001B6790" w:rsidRPr="00F74036">
        <w:t xml:space="preserve"> des</w:t>
      </w:r>
      <w:r w:rsidR="00141D15" w:rsidRPr="00F74036">
        <w:t> </w:t>
      </w:r>
      <w:r w:rsidRPr="00F74036">
        <w:t>14/11</w:t>
      </w:r>
      <w:r w:rsidR="006504F8" w:rsidRPr="00F74036">
        <w:t> </w:t>
      </w:r>
      <w:r w:rsidRPr="00F74036">
        <w:t xml:space="preserve">GHz et </w:t>
      </w:r>
      <w:r w:rsidR="001B6790" w:rsidRPr="00F74036">
        <w:t xml:space="preserve">de </w:t>
      </w:r>
      <w:r w:rsidRPr="00F74036">
        <w:t xml:space="preserve">200 paramètres </w:t>
      </w:r>
      <w:r w:rsidR="001B6790" w:rsidRPr="00F74036">
        <w:t>pour</w:t>
      </w:r>
      <w:r w:rsidRPr="00F74036">
        <w:t xml:space="preserve"> les bandes de fréquences </w:t>
      </w:r>
      <w:r w:rsidR="001B6790" w:rsidRPr="00F74036">
        <w:t xml:space="preserve">des </w:t>
      </w:r>
      <w:r w:rsidRPr="00F74036">
        <w:t xml:space="preserve">30/20 GHz ont été soumis par des administrations et </w:t>
      </w:r>
      <w:r w:rsidR="001B6790" w:rsidRPr="00F74036">
        <w:t>étudiés</w:t>
      </w:r>
      <w:r w:rsidRPr="00F74036">
        <w:t xml:space="preserve"> par les commissions d</w:t>
      </w:r>
      <w:r w:rsidR="00141D15" w:rsidRPr="00F74036">
        <w:t>'</w:t>
      </w:r>
      <w:r w:rsidRPr="00F74036">
        <w:t>études de l</w:t>
      </w:r>
      <w:r w:rsidR="00141D15" w:rsidRPr="00F74036">
        <w:t>'</w:t>
      </w:r>
      <w:r w:rsidRPr="00F74036">
        <w:t>UIT</w:t>
      </w:r>
      <w:r w:rsidR="006037B9" w:rsidRPr="00F74036">
        <w:t>-R</w:t>
      </w:r>
      <w:r w:rsidRPr="00F74036">
        <w:t xml:space="preserve"> en vue d</w:t>
      </w:r>
      <w:r w:rsidR="00141D15" w:rsidRPr="00F74036">
        <w:t>'</w:t>
      </w:r>
      <w:r w:rsidRPr="00F74036">
        <w:t>établir ces limites d</w:t>
      </w:r>
      <w:r w:rsidR="00141D15" w:rsidRPr="00F74036">
        <w:t>'</w:t>
      </w:r>
      <w:r w:rsidRPr="00F74036">
        <w:t xml:space="preserve">epfd. La description des systèmes du SFS </w:t>
      </w:r>
      <w:r w:rsidR="0089174B" w:rsidRPr="00F74036">
        <w:t xml:space="preserve">OSG </w:t>
      </w:r>
      <w:r w:rsidRPr="00F74036">
        <w:t xml:space="preserve">cités en référence </w:t>
      </w:r>
      <w:r w:rsidR="001B6790" w:rsidRPr="00F74036">
        <w:t>dans le cadre</w:t>
      </w:r>
      <w:r w:rsidRPr="00F74036">
        <w:t xml:space="preserve"> de </w:t>
      </w:r>
      <w:r w:rsidR="001B6790" w:rsidRPr="00F74036">
        <w:t>cette étude</w:t>
      </w:r>
      <w:r w:rsidRPr="00F74036">
        <w:t xml:space="preserve"> figure dans la Recommandation UIT-R S.1328. </w:t>
      </w:r>
      <w:r w:rsidR="001B6790" w:rsidRPr="00F74036">
        <w:t>L'</w:t>
      </w:r>
      <w:r w:rsidRPr="00F74036">
        <w:t>effet de la compensation des évanouissements dus à la pluie pour les bandes de fréquences</w:t>
      </w:r>
      <w:r w:rsidR="001B6790" w:rsidRPr="00F74036">
        <w:t xml:space="preserve"> des</w:t>
      </w:r>
      <w:r w:rsidRPr="00F74036">
        <w:t xml:space="preserve"> 14/11 GHz et 30/20 GHz</w:t>
      </w:r>
      <w:r w:rsidR="001B6790" w:rsidRPr="00F74036">
        <w:t xml:space="preserve"> a également été calculé dans le cadre de cette étude au moyen du codage adaptatif.</w:t>
      </w:r>
    </w:p>
    <w:p w14:paraId="21708B62" w14:textId="4FE27E02" w:rsidR="001B6790" w:rsidRPr="00F74036" w:rsidRDefault="001B6790" w:rsidP="00F74036">
      <w:r w:rsidRPr="00F74036">
        <w:t>L</w:t>
      </w:r>
      <w:r w:rsidR="00141D15" w:rsidRPr="00F74036">
        <w:t>'</w:t>
      </w:r>
      <w:r w:rsidRPr="00F74036">
        <w:t xml:space="preserve">UIT-R et ses </w:t>
      </w:r>
      <w:r w:rsidR="0089174B" w:rsidRPr="00F74036">
        <w:t>États</w:t>
      </w:r>
      <w:r w:rsidRPr="00F74036">
        <w:t xml:space="preserve"> Membres, au titre du point 1.13 de l</w:t>
      </w:r>
      <w:r w:rsidR="00141D15" w:rsidRPr="00F74036">
        <w:t>'</w:t>
      </w:r>
      <w:r w:rsidRPr="00F74036">
        <w:t xml:space="preserve">ordre du jour de la CMR-2000, </w:t>
      </w:r>
      <w:r w:rsidR="0089174B" w:rsidRPr="00F74036">
        <w:t>sont convenus</w:t>
      </w:r>
      <w:r w:rsidRPr="00F74036">
        <w:t xml:space="preserve"> de définir </w:t>
      </w:r>
      <w:r w:rsidR="00D831E9" w:rsidRPr="00F74036">
        <w:t>des</w:t>
      </w:r>
      <w:r w:rsidRPr="00F74036">
        <w:t xml:space="preserve"> limites d</w:t>
      </w:r>
      <w:r w:rsidR="00141D15" w:rsidRPr="00F74036">
        <w:t>'</w:t>
      </w:r>
      <w:r w:rsidRPr="00F74036">
        <w:t>epfd</w:t>
      </w:r>
      <w:r w:rsidR="00D831E9" w:rsidRPr="00F74036">
        <w:t xml:space="preserve"> </w:t>
      </w:r>
      <w:r w:rsidRPr="00F74036">
        <w:t xml:space="preserve">car il était nécessaire de prévoir un mécanisme réglementaire qui garantirait la protection des réseaux du SFS/SRS </w:t>
      </w:r>
      <w:r w:rsidR="0089174B" w:rsidRPr="00F74036">
        <w:t xml:space="preserve">OSG </w:t>
      </w:r>
      <w:r w:rsidRPr="00F74036">
        <w:t xml:space="preserve">contre les brouillages cumulatifs maximaux causés par plusieurs systèmes du SFS </w:t>
      </w:r>
      <w:r w:rsidR="0089174B" w:rsidRPr="00F74036">
        <w:t xml:space="preserve">non OSG </w:t>
      </w:r>
      <w:r w:rsidRPr="00F74036">
        <w:t>dans les bandes de fréquences où des limites d</w:t>
      </w:r>
      <w:r w:rsidR="00141D15" w:rsidRPr="00F74036">
        <w:t>'</w:t>
      </w:r>
      <w:r w:rsidRPr="00F74036">
        <w:t>epfd avaient été adoptées. Par conséquent, il ne serait pas approprié de simplement comparer les gabarits des limites d</w:t>
      </w:r>
      <w:r w:rsidR="00141D15" w:rsidRPr="00F74036">
        <w:t>'</w:t>
      </w:r>
      <w:r w:rsidRPr="00F74036">
        <w:t>epfd↓ pour une seule source de brouillage avec certains critères de protection couramment utilisés pour les réseaux du SFS/SRS</w:t>
      </w:r>
      <w:r w:rsidR="0089174B" w:rsidRPr="00F74036">
        <w:t xml:space="preserve"> OSG</w:t>
      </w:r>
      <w:r w:rsidRPr="00F74036">
        <w:t>, tels que</w:t>
      </w:r>
      <w:r w:rsidR="0089174B" w:rsidRPr="00F74036">
        <w:t xml:space="preserve"> ceux définis dans</w:t>
      </w:r>
      <w:r w:rsidRPr="00F74036">
        <w:t xml:space="preserve"> la Recommandation UIT-R S.1432. </w:t>
      </w:r>
      <w:r w:rsidR="0089174B" w:rsidRPr="00F74036">
        <w:t>À</w:t>
      </w:r>
      <w:r w:rsidRPr="00F74036">
        <w:t xml:space="preserve"> cet égard, les limites actuelles d</w:t>
      </w:r>
      <w:r w:rsidR="00141D15" w:rsidRPr="00F74036">
        <w:t>'</w:t>
      </w:r>
      <w:r w:rsidRPr="00F74036">
        <w:t xml:space="preserve">epfd </w:t>
      </w:r>
      <w:r w:rsidR="001E06C3" w:rsidRPr="00F74036">
        <w:t>établies</w:t>
      </w:r>
      <w:r w:rsidRPr="00F74036">
        <w:t xml:space="preserve"> dans la Résolution</w:t>
      </w:r>
      <w:r w:rsidR="00141D15" w:rsidRPr="00F74036">
        <w:t> </w:t>
      </w:r>
      <w:r w:rsidRPr="00F74036">
        <w:rPr>
          <w:b/>
          <w:bCs/>
        </w:rPr>
        <w:t xml:space="preserve">76 (Rév.CMR-15) </w:t>
      </w:r>
      <w:r w:rsidRPr="00F74036">
        <w:t>et dans l</w:t>
      </w:r>
      <w:r w:rsidR="00141D15" w:rsidRPr="00F74036">
        <w:t>'</w:t>
      </w:r>
      <w:r w:rsidRPr="00F74036">
        <w:t xml:space="preserve">Article </w:t>
      </w:r>
      <w:r w:rsidRPr="00F74036">
        <w:rPr>
          <w:b/>
          <w:bCs/>
        </w:rPr>
        <w:t>22</w:t>
      </w:r>
      <w:r w:rsidRPr="00F74036">
        <w:t xml:space="preserve"> du RR sont suffisantes pour protéger de </w:t>
      </w:r>
      <w:r w:rsidR="001E06C3" w:rsidRPr="00F74036">
        <w:t>manière</w:t>
      </w:r>
      <w:r w:rsidRPr="00F74036">
        <w:t xml:space="preserve"> adéquate les réseaux du SFS/SRS </w:t>
      </w:r>
      <w:r w:rsidR="001E06C3" w:rsidRPr="00F74036">
        <w:t xml:space="preserve">OSG </w:t>
      </w:r>
      <w:r w:rsidRPr="00F74036">
        <w:t>vis-à-vis de tous les systèmes du SFS</w:t>
      </w:r>
      <w:r w:rsidR="001E06C3" w:rsidRPr="00F74036">
        <w:t xml:space="preserve"> non OSG</w:t>
      </w:r>
      <w:r w:rsidRPr="00F74036">
        <w:t>, qui, individuellement, doivent respecter les limites de l</w:t>
      </w:r>
      <w:r w:rsidR="00141D15" w:rsidRPr="00F74036">
        <w:t>'</w:t>
      </w:r>
      <w:r w:rsidRPr="00F74036">
        <w:t xml:space="preserve">Article </w:t>
      </w:r>
      <w:r w:rsidRPr="00F74036">
        <w:rPr>
          <w:b/>
          <w:bCs/>
        </w:rPr>
        <w:t>22</w:t>
      </w:r>
      <w:r w:rsidRPr="00F74036">
        <w:t xml:space="preserve"> du RR, en particulier du numéro </w:t>
      </w:r>
      <w:r w:rsidRPr="00F74036">
        <w:rPr>
          <w:b/>
          <w:bCs/>
        </w:rPr>
        <w:t>22.2</w:t>
      </w:r>
      <w:r w:rsidRPr="00F74036">
        <w:t xml:space="preserve"> du RR, tout en ménageant une souplesse raisonnable pour le déploiement des systèmes du SFS</w:t>
      </w:r>
      <w:r w:rsidR="00DF23A4" w:rsidRPr="00F74036">
        <w:t xml:space="preserve"> non</w:t>
      </w:r>
      <w:r w:rsidR="006504F8" w:rsidRPr="00F74036">
        <w:t> </w:t>
      </w:r>
      <w:r w:rsidR="00DF23A4" w:rsidRPr="00F74036">
        <w:t>OSG</w:t>
      </w:r>
      <w:r w:rsidRPr="00F74036">
        <w:t>.</w:t>
      </w:r>
    </w:p>
    <w:p w14:paraId="736E3760" w14:textId="504156AE" w:rsidR="001E06C3" w:rsidRPr="00F74036" w:rsidRDefault="001E06C3" w:rsidP="00F74036">
      <w:r w:rsidRPr="00F74036">
        <w:t>Le cadre technique et réglementaire établi dans l</w:t>
      </w:r>
      <w:r w:rsidR="00141D15" w:rsidRPr="00F74036">
        <w:t>'</w:t>
      </w:r>
      <w:r w:rsidRPr="00F74036">
        <w:t xml:space="preserve">Article </w:t>
      </w:r>
      <w:r w:rsidRPr="00F74036">
        <w:rPr>
          <w:b/>
          <w:bCs/>
        </w:rPr>
        <w:t>22</w:t>
      </w:r>
      <w:r w:rsidRPr="00F74036">
        <w:t xml:space="preserve"> du RR et dans la Résolution</w:t>
      </w:r>
      <w:r w:rsidR="006504F8" w:rsidRPr="00F74036">
        <w:t xml:space="preserve"> </w:t>
      </w:r>
      <w:r w:rsidRPr="00F74036">
        <w:rPr>
          <w:b/>
          <w:bCs/>
        </w:rPr>
        <w:t>76</w:t>
      </w:r>
      <w:r w:rsidR="006504F8" w:rsidRPr="00F74036">
        <w:rPr>
          <w:b/>
          <w:bCs/>
        </w:rPr>
        <w:t xml:space="preserve"> </w:t>
      </w:r>
      <w:r w:rsidRPr="00F74036">
        <w:rPr>
          <w:b/>
          <w:bCs/>
        </w:rPr>
        <w:t>(Rév.CMR-15)</w:t>
      </w:r>
      <w:r w:rsidRPr="00F74036">
        <w:t xml:space="preserve"> porte sur le niveau admissible de brouillage que les systèmes non OSG peuvent causer aux réseaux OSG sans imposer de contraintes aux systèmes ou services partageant les bandes de fréquences concernées, notamment les systèmes non OSG.</w:t>
      </w:r>
    </w:p>
    <w:p w14:paraId="52B438CD" w14:textId="0B5A0571" w:rsidR="001E06C3" w:rsidRPr="00F74036" w:rsidRDefault="00BB07B0" w:rsidP="00F74036">
      <w:r w:rsidRPr="00F74036">
        <w:t>L</w:t>
      </w:r>
      <w:r w:rsidR="00141D15" w:rsidRPr="00F74036">
        <w:t>'</w:t>
      </w:r>
      <w:r w:rsidRPr="00F74036">
        <w:t xml:space="preserve">Article </w:t>
      </w:r>
      <w:r w:rsidRPr="00F74036">
        <w:rPr>
          <w:b/>
          <w:bCs/>
        </w:rPr>
        <w:t>22</w:t>
      </w:r>
      <w:r w:rsidRPr="00F74036">
        <w:t xml:space="preserve"> du RR </w:t>
      </w:r>
      <w:r w:rsidR="00DF23A4" w:rsidRPr="00F74036">
        <w:t>propose</w:t>
      </w:r>
      <w:r w:rsidRPr="00F74036">
        <w:t xml:space="preserve"> une méthode claire et bien établie pour le partage des bandes de fréquences des 14/11 et 30/20 GHz entre les réseaux OSG et les systèmes non OSG. Un nombre important de réseaux OSG ont investi dans les bandes de fréquences existantes et futures des 14/11 et 30/20 GHz</w:t>
      </w:r>
      <w:r w:rsidR="001B6764" w:rsidRPr="00F74036">
        <w:t>,</w:t>
      </w:r>
      <w:r w:rsidRPr="00F74036">
        <w:t xml:space="preserve"> et leurs services reposent sur le cadre existant en matière d</w:t>
      </w:r>
      <w:r w:rsidR="00141D15" w:rsidRPr="00F74036">
        <w:t>'</w:t>
      </w:r>
      <w:r w:rsidRPr="00F74036">
        <w:t>epfd, établi dans l</w:t>
      </w:r>
      <w:r w:rsidR="00141D15" w:rsidRPr="00F74036">
        <w:t>'</w:t>
      </w:r>
      <w:r w:rsidRPr="00F74036">
        <w:t>Article</w:t>
      </w:r>
      <w:r w:rsidR="006504F8" w:rsidRPr="00F74036">
        <w:t> </w:t>
      </w:r>
      <w:r w:rsidRPr="00F74036">
        <w:rPr>
          <w:b/>
          <w:bCs/>
        </w:rPr>
        <w:t>22</w:t>
      </w:r>
      <w:r w:rsidRPr="00F74036">
        <w:t xml:space="preserve"> du RR. Des réseaux et des services du SFS OSG </w:t>
      </w:r>
      <w:r w:rsidR="00DF23A4" w:rsidRPr="00F74036">
        <w:t xml:space="preserve">HTS </w:t>
      </w:r>
      <w:r w:rsidRPr="00F74036">
        <w:t xml:space="preserve">nouveaux et novateurs ont été lancés récemment dans les bandes de fréquences des 14/11 GHz et 30/20 GHz et </w:t>
      </w:r>
      <w:r w:rsidR="001B6764" w:rsidRPr="00F74036">
        <w:t>bien d</w:t>
      </w:r>
      <w:r w:rsidR="00141D15" w:rsidRPr="00F74036">
        <w:t>'</w:t>
      </w:r>
      <w:r w:rsidR="001B6764" w:rsidRPr="00F74036">
        <w:t>autres</w:t>
      </w:r>
      <w:r w:rsidR="004D4732" w:rsidRPr="00F74036">
        <w:t>,</w:t>
      </w:r>
      <w:r w:rsidRPr="00F74036">
        <w:t xml:space="preserve"> en cours de développement</w:t>
      </w:r>
      <w:r w:rsidR="004D4732" w:rsidRPr="00F74036">
        <w:t>,</w:t>
      </w:r>
      <w:r w:rsidRPr="00F74036">
        <w:t xml:space="preserve"> le seront dans les quelques années à venir</w:t>
      </w:r>
      <w:r w:rsidR="001B6764" w:rsidRPr="00F74036">
        <w:t>. T</w:t>
      </w:r>
      <w:r w:rsidRPr="00F74036">
        <w:t xml:space="preserve">ous </w:t>
      </w:r>
      <w:r w:rsidR="001B6764" w:rsidRPr="00F74036">
        <w:t xml:space="preserve">ces réseaux et services </w:t>
      </w:r>
      <w:r w:rsidRPr="00F74036">
        <w:t>repos</w:t>
      </w:r>
      <w:r w:rsidR="00DF23A4" w:rsidRPr="00F74036">
        <w:t>e</w:t>
      </w:r>
      <w:r w:rsidRPr="00F74036">
        <w:t>nt sur les limites de l</w:t>
      </w:r>
      <w:r w:rsidR="00141D15" w:rsidRPr="00F74036">
        <w:t>'</w:t>
      </w:r>
      <w:r w:rsidRPr="00F74036">
        <w:t xml:space="preserve">Article </w:t>
      </w:r>
      <w:r w:rsidRPr="00F74036">
        <w:rPr>
          <w:b/>
          <w:bCs/>
        </w:rPr>
        <w:t>22</w:t>
      </w:r>
      <w:r w:rsidRPr="00F74036">
        <w:t xml:space="preserve"> du RR.</w:t>
      </w:r>
    </w:p>
    <w:p w14:paraId="11A07C41" w14:textId="41818A66" w:rsidR="004D4732" w:rsidRPr="00F74036" w:rsidRDefault="004D4732" w:rsidP="00F74036">
      <w:r w:rsidRPr="00F74036">
        <w:t>En outre, un futur point de l</w:t>
      </w:r>
      <w:r w:rsidR="00141D15" w:rsidRPr="00F74036">
        <w:t>'</w:t>
      </w:r>
      <w:r w:rsidRPr="00F74036">
        <w:t>ordre du jour visant à modifier l</w:t>
      </w:r>
      <w:r w:rsidR="00141D15" w:rsidRPr="00F74036">
        <w:t>'</w:t>
      </w:r>
      <w:r w:rsidRPr="00F74036">
        <w:t xml:space="preserve">Article </w:t>
      </w:r>
      <w:r w:rsidRPr="00F74036">
        <w:rPr>
          <w:b/>
          <w:bCs/>
        </w:rPr>
        <w:t>22</w:t>
      </w:r>
      <w:r w:rsidRPr="00F74036">
        <w:t xml:space="preserve"> du RR serait redondant et </w:t>
      </w:r>
      <w:r w:rsidR="006B0D50" w:rsidRPr="00F74036">
        <w:t>contre-productif</w:t>
      </w:r>
      <w:r w:rsidRPr="00F74036">
        <w:t xml:space="preserve">, car le </w:t>
      </w:r>
      <w:r w:rsidR="00AA4328" w:rsidRPr="00F74036">
        <w:t>véritable</w:t>
      </w:r>
      <w:r w:rsidRPr="00F74036">
        <w:t xml:space="preserve"> problème est de s</w:t>
      </w:r>
      <w:r w:rsidR="00141D15" w:rsidRPr="00F74036">
        <w:t>'</w:t>
      </w:r>
      <w:r w:rsidRPr="00F74036">
        <w:t>assurer que la méthode (Recommandation</w:t>
      </w:r>
      <w:r w:rsidR="009246DB" w:rsidRPr="00F74036">
        <w:t> </w:t>
      </w:r>
      <w:r w:rsidRPr="00F74036">
        <w:t>UIT</w:t>
      </w:r>
      <w:r w:rsidR="006504F8" w:rsidRPr="00F74036">
        <w:noBreakHyphen/>
      </w:r>
      <w:r w:rsidRPr="00F74036">
        <w:t>R</w:t>
      </w:r>
      <w:r w:rsidR="00141D15" w:rsidRPr="00F74036">
        <w:t> </w:t>
      </w:r>
      <w:r w:rsidRPr="00F74036">
        <w:t>S.1503) permet d</w:t>
      </w:r>
      <w:r w:rsidR="00141D15" w:rsidRPr="00F74036">
        <w:t>'</w:t>
      </w:r>
      <w:r w:rsidRPr="00F74036">
        <w:t>évaluer avec précision la conformité des systèmes non</w:t>
      </w:r>
      <w:r w:rsidR="009246DB" w:rsidRPr="00F74036">
        <w:t> </w:t>
      </w:r>
      <w:r w:rsidRPr="00F74036">
        <w:t>OSG avec les limites d</w:t>
      </w:r>
      <w:r w:rsidR="00141D15" w:rsidRPr="00F74036">
        <w:t>'</w:t>
      </w:r>
      <w:r w:rsidRPr="00F74036">
        <w:t>epfd de l</w:t>
      </w:r>
      <w:r w:rsidR="00141D15" w:rsidRPr="00F74036">
        <w:t>'</w:t>
      </w:r>
      <w:r w:rsidRPr="00F74036">
        <w:t xml:space="preserve">Article </w:t>
      </w:r>
      <w:r w:rsidRPr="00F74036">
        <w:rPr>
          <w:b/>
          <w:bCs/>
        </w:rPr>
        <w:t>22</w:t>
      </w:r>
      <w:r w:rsidRPr="00F74036">
        <w:t xml:space="preserve"> du RR, </w:t>
      </w:r>
      <w:r w:rsidR="00DF23A4" w:rsidRPr="00F74036">
        <w:t>or</w:t>
      </w:r>
      <w:r w:rsidR="00AA4328" w:rsidRPr="00F74036">
        <w:t xml:space="preserve"> ces travaux sont actuellement menés par </w:t>
      </w:r>
      <w:r w:rsidRPr="00F74036">
        <w:t xml:space="preserve">le GT 4A. Des discussions </w:t>
      </w:r>
      <w:r w:rsidR="00AA4328" w:rsidRPr="00F74036">
        <w:t>ont lieu actuellement</w:t>
      </w:r>
      <w:r w:rsidRPr="00F74036">
        <w:t xml:space="preserve"> au sein du GT 4A concernant la mise à jour de la Recommandation UIT</w:t>
      </w:r>
      <w:r w:rsidR="00141D15" w:rsidRPr="00F74036">
        <w:t>-</w:t>
      </w:r>
      <w:r w:rsidRPr="00F74036">
        <w:t>R</w:t>
      </w:r>
      <w:r w:rsidR="00141D15" w:rsidRPr="00F74036">
        <w:t xml:space="preserve"> </w:t>
      </w:r>
      <w:r w:rsidRPr="00F74036">
        <w:t>S.1503</w:t>
      </w:r>
      <w:r w:rsidR="00AA4328" w:rsidRPr="00F74036">
        <w:t>,</w:t>
      </w:r>
      <w:r w:rsidRPr="00F74036">
        <w:t xml:space="preserve"> qui est utilisée par le Bureau des radiocommunications (BR) pour évaluer les </w:t>
      </w:r>
      <w:r w:rsidR="00AA4328" w:rsidRPr="00F74036">
        <w:t xml:space="preserve">fiches de </w:t>
      </w:r>
      <w:r w:rsidRPr="00F74036">
        <w:t xml:space="preserve">notification de systèmes non OSG afin de </w:t>
      </w:r>
      <w:r w:rsidR="00AA4328" w:rsidRPr="00F74036">
        <w:t>vérifier</w:t>
      </w:r>
      <w:r w:rsidRPr="00F74036">
        <w:t xml:space="preserve"> que toutes les limites d</w:t>
      </w:r>
      <w:r w:rsidR="00141D15" w:rsidRPr="00F74036">
        <w:t>'</w:t>
      </w:r>
      <w:r w:rsidRPr="00F74036">
        <w:t xml:space="preserve">epfd sont respectées. Les révisions </w:t>
      </w:r>
      <w:r w:rsidR="00AA4328" w:rsidRPr="00F74036">
        <w:t>actuellement</w:t>
      </w:r>
      <w:r w:rsidRPr="00F74036">
        <w:t xml:space="preserve"> envisagées visent à garantir la précision </w:t>
      </w:r>
      <w:r w:rsidR="008D164F" w:rsidRPr="00F74036">
        <w:t>de l'</w:t>
      </w:r>
      <w:r w:rsidRPr="00F74036">
        <w:t xml:space="preserve">évaluation des brouillages causés par </w:t>
      </w:r>
      <w:r w:rsidR="00DF23A4" w:rsidRPr="00F74036">
        <w:t>les</w:t>
      </w:r>
      <w:r w:rsidRPr="00F74036">
        <w:t xml:space="preserve"> systèmes non OSG. De l</w:t>
      </w:r>
      <w:r w:rsidR="00141D15" w:rsidRPr="00F74036">
        <w:t>'</w:t>
      </w:r>
      <w:r w:rsidRPr="00F74036">
        <w:t xml:space="preserve">avis général, ce travail est important, urgent et doit être fait </w:t>
      </w:r>
      <w:r w:rsidR="008D164F" w:rsidRPr="00F74036">
        <w:t>par rapport aux</w:t>
      </w:r>
      <w:r w:rsidRPr="00F74036">
        <w:t xml:space="preserve"> limites d</w:t>
      </w:r>
      <w:r w:rsidR="00141D15" w:rsidRPr="00F74036">
        <w:t>'</w:t>
      </w:r>
      <w:r w:rsidRPr="00F74036">
        <w:t>epfd établies. Toute proposition visant à modifier ces limites créerait de</w:t>
      </w:r>
      <w:r w:rsidR="008D164F" w:rsidRPr="00F74036">
        <w:t>s</w:t>
      </w:r>
      <w:r w:rsidRPr="00F74036">
        <w:t xml:space="preserve"> incertitude</w:t>
      </w:r>
      <w:r w:rsidR="008D164F" w:rsidRPr="00F74036">
        <w:t>s</w:t>
      </w:r>
      <w:r w:rsidRPr="00F74036">
        <w:t xml:space="preserve"> quant à la protection des réseaux OSG existants et futurs</w:t>
      </w:r>
      <w:r w:rsidR="008D164F" w:rsidRPr="00F74036">
        <w:t xml:space="preserve"> contre les brouillages</w:t>
      </w:r>
      <w:r w:rsidRPr="00F74036">
        <w:t>.</w:t>
      </w:r>
    </w:p>
    <w:p w14:paraId="1AED03BD" w14:textId="7090B5F3" w:rsidR="008D164F" w:rsidRPr="00F74036" w:rsidRDefault="008D164F" w:rsidP="00F74036">
      <w:r w:rsidRPr="00F74036">
        <w:lastRenderedPageBreak/>
        <w:t xml:space="preserve">Compte tenu de la nécessité </w:t>
      </w:r>
      <w:r w:rsidR="00DF23A4" w:rsidRPr="00F74036">
        <w:t>d'</w:t>
      </w:r>
      <w:r w:rsidRPr="00F74036">
        <w:t xml:space="preserve">offrir </w:t>
      </w:r>
      <w:r w:rsidR="00DF23A4" w:rsidRPr="00F74036">
        <w:t xml:space="preserve">une </w:t>
      </w:r>
      <w:r w:rsidRPr="00F74036">
        <w:t xml:space="preserve">stabilité </w:t>
      </w:r>
      <w:r w:rsidR="00DF23A4" w:rsidRPr="00F74036">
        <w:t xml:space="preserve">constante </w:t>
      </w:r>
      <w:r w:rsidRPr="00F74036">
        <w:t xml:space="preserve">aux </w:t>
      </w:r>
      <w:r w:rsidR="006037B9" w:rsidRPr="00F74036">
        <w:t>réseaux</w:t>
      </w:r>
      <w:r w:rsidRPr="00F74036">
        <w:t xml:space="preserve"> OSG </w:t>
      </w:r>
      <w:r w:rsidR="00282902" w:rsidRPr="00F74036">
        <w:t>essentiels</w:t>
      </w:r>
      <w:r w:rsidRPr="00F74036">
        <w:t xml:space="preserve"> </w:t>
      </w:r>
      <w:r w:rsidR="00911CA3" w:rsidRPr="00F74036">
        <w:t xml:space="preserve">au niveau mondial </w:t>
      </w:r>
      <w:r w:rsidR="00DF23A4" w:rsidRPr="00F74036">
        <w:t>ainsi qu'</w:t>
      </w:r>
      <w:r w:rsidRPr="00F74036">
        <w:t xml:space="preserve">aux utilisateurs qui dépendent de </w:t>
      </w:r>
      <w:r w:rsidR="006037B9" w:rsidRPr="00F74036">
        <w:t>services</w:t>
      </w:r>
      <w:r w:rsidRPr="00F74036">
        <w:t xml:space="preserve"> OSG</w:t>
      </w:r>
      <w:r w:rsidR="00282902" w:rsidRPr="00F74036">
        <w:t>, notamment</w:t>
      </w:r>
      <w:r w:rsidRPr="00F74036">
        <w:t xml:space="preserve"> </w:t>
      </w:r>
      <w:r w:rsidR="006037B9" w:rsidRPr="00F74036">
        <w:t xml:space="preserve">de réseaux </w:t>
      </w:r>
      <w:r w:rsidRPr="00F74036">
        <w:t xml:space="preserve">du SFS et du SRS, il est essentiel de veiller à ce que les brouillages inacceptables causés par le déploiement </w:t>
      </w:r>
      <w:r w:rsidR="00282902" w:rsidRPr="00F74036">
        <w:t>actuel</w:t>
      </w:r>
      <w:r w:rsidRPr="00F74036">
        <w:t xml:space="preserve"> sans contrainte de très grands systèmes non OSG continuent d</w:t>
      </w:r>
      <w:r w:rsidR="00141D15" w:rsidRPr="00F74036">
        <w:t>'</w:t>
      </w:r>
      <w:r w:rsidRPr="00F74036">
        <w:t xml:space="preserve">être </w:t>
      </w:r>
      <w:r w:rsidR="00282902" w:rsidRPr="00F74036">
        <w:t>géré</w:t>
      </w:r>
      <w:r w:rsidR="00504E5A" w:rsidRPr="00F74036">
        <w:t>s</w:t>
      </w:r>
      <w:r w:rsidR="00282902" w:rsidRPr="00F74036">
        <w:t>, jusqu'à ce</w:t>
      </w:r>
      <w:r w:rsidRPr="00F74036">
        <w:t xml:space="preserve"> que </w:t>
      </w:r>
      <w:r w:rsidR="00282902" w:rsidRPr="00F74036">
        <w:t xml:space="preserve">toutes les incidences </w:t>
      </w:r>
      <w:r w:rsidRPr="00F74036">
        <w:t xml:space="preserve">et externalités </w:t>
      </w:r>
      <w:r w:rsidR="00282902" w:rsidRPr="00F74036">
        <w:t>éventuelles engendrées</w:t>
      </w:r>
      <w:r w:rsidRPr="00F74036">
        <w:t xml:space="preserve"> </w:t>
      </w:r>
      <w:r w:rsidR="00282902" w:rsidRPr="00F74036">
        <w:t xml:space="preserve">par </w:t>
      </w:r>
      <w:r w:rsidRPr="00F74036">
        <w:t xml:space="preserve">le déploiement de mégaconstellations LEO </w:t>
      </w:r>
      <w:r w:rsidR="00282902" w:rsidRPr="00F74036">
        <w:t xml:space="preserve">de grande ampleur </w:t>
      </w:r>
      <w:r w:rsidRPr="00F74036">
        <w:t>s</w:t>
      </w:r>
      <w:r w:rsidR="00282902" w:rsidRPr="00F74036">
        <w:t>oient</w:t>
      </w:r>
      <w:r w:rsidRPr="00F74036">
        <w:t xml:space="preserve"> pleinement compris</w:t>
      </w:r>
      <w:r w:rsidR="00282902" w:rsidRPr="00F74036">
        <w:t>es</w:t>
      </w:r>
      <w:r w:rsidRPr="00F74036">
        <w:t xml:space="preserve">. </w:t>
      </w:r>
      <w:r w:rsidR="00282902" w:rsidRPr="00F74036">
        <w:t xml:space="preserve">L'innovation </w:t>
      </w:r>
      <w:r w:rsidR="00504E5A" w:rsidRPr="00F74036">
        <w:t>actuelle</w:t>
      </w:r>
      <w:r w:rsidR="00282902" w:rsidRPr="00F74036">
        <w:t xml:space="preserve"> en matière de</w:t>
      </w:r>
      <w:r w:rsidRPr="00F74036">
        <w:t xml:space="preserve"> conception et </w:t>
      </w:r>
      <w:r w:rsidR="00282902" w:rsidRPr="00F74036">
        <w:t>de</w:t>
      </w:r>
      <w:r w:rsidRPr="00F74036">
        <w:t xml:space="preserve"> déploiement des systèmes non OSG et</w:t>
      </w:r>
      <w:r w:rsidR="006037B9" w:rsidRPr="00F74036">
        <w:t xml:space="preserve"> des réseaux</w:t>
      </w:r>
      <w:r w:rsidRPr="00F74036">
        <w:t xml:space="preserve"> OSG </w:t>
      </w:r>
      <w:r w:rsidR="00282902" w:rsidRPr="00F74036">
        <w:t>doit</w:t>
      </w:r>
      <w:r w:rsidRPr="00F74036">
        <w:t xml:space="preserve"> être compatible avec un environnement de brouillage bien géré, car les ressources </w:t>
      </w:r>
      <w:r w:rsidR="00911CA3" w:rsidRPr="00F74036">
        <w:t>spectrales et orbitales</w:t>
      </w:r>
      <w:r w:rsidRPr="00F74036">
        <w:t xml:space="preserve"> constituent un bien commun à l</w:t>
      </w:r>
      <w:r w:rsidR="00141D15" w:rsidRPr="00F74036">
        <w:t>'</w:t>
      </w:r>
      <w:r w:rsidRPr="00F74036">
        <w:t>échelle mondiale et n</w:t>
      </w:r>
      <w:r w:rsidR="00141D15" w:rsidRPr="00F74036">
        <w:t>'</w:t>
      </w:r>
      <w:r w:rsidRPr="00F74036">
        <w:t xml:space="preserve">appartiennent pas à quelques acteurs </w:t>
      </w:r>
      <w:r w:rsidR="00282902" w:rsidRPr="00F74036">
        <w:t>du secteur privé</w:t>
      </w:r>
      <w:r w:rsidRPr="00F74036">
        <w:t xml:space="preserve">. Cet écosystème doit continuer à être utile à tous les </w:t>
      </w:r>
      <w:r w:rsidR="00282902" w:rsidRPr="00F74036">
        <w:t>États</w:t>
      </w:r>
      <w:r w:rsidRPr="00F74036">
        <w:t xml:space="preserve"> Membres de l</w:t>
      </w:r>
      <w:r w:rsidR="00141D15" w:rsidRPr="00F74036">
        <w:t>'</w:t>
      </w:r>
      <w:r w:rsidRPr="00F74036">
        <w:t>UIT, grands ou petits, y compris ceux qui dépendent de réseaux et de services OSG essentiels</w:t>
      </w:r>
      <w:r w:rsidR="00282902" w:rsidRPr="00F74036">
        <w:t>,</w:t>
      </w:r>
      <w:r w:rsidRPr="00F74036">
        <w:t xml:space="preserve"> conformément aux dispositions de l</w:t>
      </w:r>
      <w:r w:rsidR="00141D15" w:rsidRPr="00F74036">
        <w:t>'</w:t>
      </w:r>
      <w:r w:rsidRPr="00F74036">
        <w:t xml:space="preserve">Article </w:t>
      </w:r>
      <w:r w:rsidRPr="00F74036">
        <w:rPr>
          <w:b/>
          <w:bCs/>
        </w:rPr>
        <w:t>22</w:t>
      </w:r>
      <w:r w:rsidRPr="00F74036">
        <w:t xml:space="preserve"> du RR. Le GT 4A étudie déjà les améliorations nécessaires pour s</w:t>
      </w:r>
      <w:r w:rsidR="00141D15" w:rsidRPr="00F74036">
        <w:t>'</w:t>
      </w:r>
      <w:r w:rsidRPr="00F74036">
        <w:t>assurer que les brouillages causés par les systèmes non OSG</w:t>
      </w:r>
      <w:r w:rsidR="00282902" w:rsidRPr="00F74036">
        <w:t xml:space="preserve"> soient évalués de façon appropriée.</w:t>
      </w:r>
    </w:p>
    <w:p w14:paraId="7549D673" w14:textId="686554A6" w:rsidR="00AB1EFC" w:rsidRPr="00F74036" w:rsidRDefault="00490CD4" w:rsidP="00F74036">
      <w:pPr>
        <w:pStyle w:val="Headingb"/>
      </w:pPr>
      <w:r w:rsidRPr="00F74036">
        <w:t>Points de vue</w:t>
      </w:r>
      <w:r w:rsidR="00AB1EFC" w:rsidRPr="00F74036">
        <w:t xml:space="preserve"> et propositions</w:t>
      </w:r>
    </w:p>
    <w:p w14:paraId="0E873D5D" w14:textId="132EB732" w:rsidR="00AB1EFC" w:rsidRPr="00F74036" w:rsidRDefault="00AB1EFC" w:rsidP="00F74036">
      <w:r w:rsidRPr="00F74036">
        <w:t>Étant donné que le déploiement actuel de très grands systèmes non OSG n</w:t>
      </w:r>
      <w:r w:rsidR="00141D15" w:rsidRPr="00F74036">
        <w:t>'</w:t>
      </w:r>
      <w:r w:rsidRPr="00F74036">
        <w:t xml:space="preserve">améliorera vraisemblablement pas les conditions de brouillage auxquelles sont soumis les </w:t>
      </w:r>
      <w:r w:rsidR="006037B9" w:rsidRPr="00F74036">
        <w:t>réseaux</w:t>
      </w:r>
      <w:r w:rsidRPr="00F74036">
        <w:t xml:space="preserve"> OSG (SFS</w:t>
      </w:r>
      <w:r w:rsidR="009246DB" w:rsidRPr="00F74036">
        <w:t> </w:t>
      </w:r>
      <w:r w:rsidRPr="00F74036">
        <w:t>et</w:t>
      </w:r>
      <w:r w:rsidR="009246DB" w:rsidRPr="00F74036">
        <w:t> </w:t>
      </w:r>
      <w:r w:rsidRPr="00F74036">
        <w:t>SRS), il est d</w:t>
      </w:r>
      <w:r w:rsidR="00141D15" w:rsidRPr="00F74036">
        <w:t>'</w:t>
      </w:r>
      <w:r w:rsidRPr="00F74036">
        <w:t>une importance cruciale de maintenir les limites actuelles d</w:t>
      </w:r>
      <w:r w:rsidR="00141D15" w:rsidRPr="00F74036">
        <w:t>'</w:t>
      </w:r>
      <w:r w:rsidRPr="00F74036">
        <w:t xml:space="preserve">epfd cumulative et pour une seule source de brouillage </w:t>
      </w:r>
      <w:r w:rsidR="005B015F" w:rsidRPr="00F74036">
        <w:t>visant</w:t>
      </w:r>
      <w:r w:rsidRPr="00F74036">
        <w:t xml:space="preserve"> à protéger les </w:t>
      </w:r>
      <w:r w:rsidR="006037B9" w:rsidRPr="00F74036">
        <w:t>réseaux</w:t>
      </w:r>
      <w:r w:rsidRPr="00F74036">
        <w:t xml:space="preserve"> OSG contre les brouillages inacceptables causés par des systèmes non OSG (</w:t>
      </w:r>
      <w:r w:rsidR="006037B9" w:rsidRPr="00F74036">
        <w:t xml:space="preserve">brouillage dû à une source unique </w:t>
      </w:r>
      <w:r w:rsidR="002E4E53" w:rsidRPr="00F74036">
        <w:t xml:space="preserve">ou </w:t>
      </w:r>
      <w:r w:rsidR="006037B9" w:rsidRPr="00F74036">
        <w:t>brouillages cumulatifs</w:t>
      </w:r>
      <w:r w:rsidRPr="00F74036">
        <w:t xml:space="preserve">). Ces limites ont été </w:t>
      </w:r>
      <w:r w:rsidR="002E4E53" w:rsidRPr="00F74036">
        <w:t>prises en compte</w:t>
      </w:r>
      <w:r w:rsidRPr="00F74036">
        <w:t xml:space="preserve"> dans les objectifs </w:t>
      </w:r>
      <w:r w:rsidR="002E4E53" w:rsidRPr="00F74036">
        <w:t>de conception</w:t>
      </w:r>
      <w:r w:rsidRPr="00F74036">
        <w:t xml:space="preserve"> de nombreux réseaux à satellite du SFS/SRS </w:t>
      </w:r>
      <w:r w:rsidR="005B015F" w:rsidRPr="00F74036">
        <w:t xml:space="preserve">OSG </w:t>
      </w:r>
      <w:r w:rsidRPr="00F74036">
        <w:t>opérationnels ou en projet. L</w:t>
      </w:r>
      <w:r w:rsidR="00141D15" w:rsidRPr="00F74036">
        <w:t>'</w:t>
      </w:r>
      <w:r w:rsidRPr="00F74036">
        <w:t xml:space="preserve">Indonésie </w:t>
      </w:r>
      <w:r w:rsidR="002E4E53" w:rsidRPr="00F74036">
        <w:t>estime donc que</w:t>
      </w:r>
      <w:r w:rsidRPr="00F74036">
        <w:t xml:space="preserve"> </w:t>
      </w:r>
      <w:r w:rsidR="002E4E53" w:rsidRPr="00F74036">
        <w:t>la modification de</w:t>
      </w:r>
      <w:r w:rsidRPr="00F74036">
        <w:t xml:space="preserve"> l</w:t>
      </w:r>
      <w:r w:rsidR="00141D15" w:rsidRPr="00F74036">
        <w:t>'</w:t>
      </w:r>
      <w:r w:rsidRPr="00F74036">
        <w:t xml:space="preserve">Article </w:t>
      </w:r>
      <w:r w:rsidRPr="00F74036">
        <w:rPr>
          <w:b/>
          <w:bCs/>
        </w:rPr>
        <w:t>22</w:t>
      </w:r>
      <w:r w:rsidRPr="00F74036">
        <w:t xml:space="preserve"> du RR </w:t>
      </w:r>
      <w:r w:rsidR="002E4E53" w:rsidRPr="00F74036">
        <w:t>constituerait</w:t>
      </w:r>
      <w:r w:rsidRPr="00F74036">
        <w:t xml:space="preserve"> une entreprise déraisonnable </w:t>
      </w:r>
      <w:r w:rsidR="002E4E53" w:rsidRPr="00F74036">
        <w:t xml:space="preserve">pour </w:t>
      </w:r>
      <w:r w:rsidR="005B015F" w:rsidRPr="00F74036">
        <w:t>toute</w:t>
      </w:r>
      <w:r w:rsidRPr="00F74036">
        <w:t xml:space="preserve"> </w:t>
      </w:r>
      <w:r w:rsidR="002E4E53" w:rsidRPr="00F74036">
        <w:t>future</w:t>
      </w:r>
      <w:r w:rsidR="009246DB" w:rsidRPr="00F74036">
        <w:t> </w:t>
      </w:r>
      <w:r w:rsidRPr="00F74036">
        <w:t xml:space="preserve">CMR, compte tenu des </w:t>
      </w:r>
      <w:r w:rsidR="002E4E53" w:rsidRPr="00F74036">
        <w:t>différentes</w:t>
      </w:r>
      <w:r w:rsidRPr="00F74036">
        <w:t xml:space="preserve"> incertitudes que présente le déploiement actuel sans contrainte de très grands systèmes non OSG. La pratique consistant à subdiviser les</w:t>
      </w:r>
      <w:r w:rsidR="002E4E53" w:rsidRPr="00F74036">
        <w:t xml:space="preserve"> fiches de</w:t>
      </w:r>
      <w:r w:rsidRPr="00F74036">
        <w:t xml:space="preserve"> notification de </w:t>
      </w:r>
      <w:r w:rsidR="002E4E53" w:rsidRPr="00F74036">
        <w:t>systèmes</w:t>
      </w:r>
      <w:r w:rsidRPr="00F74036">
        <w:t xml:space="preserve"> non OSG et l</w:t>
      </w:r>
      <w:r w:rsidR="002E4E53" w:rsidRPr="00F74036">
        <w:t xml:space="preserve">es </w:t>
      </w:r>
      <w:r w:rsidRPr="00F74036">
        <w:t>incidence</w:t>
      </w:r>
      <w:r w:rsidR="002E4E53" w:rsidRPr="00F74036">
        <w:t>s</w:t>
      </w:r>
      <w:r w:rsidRPr="00F74036">
        <w:t xml:space="preserve"> de cette pratique sur </w:t>
      </w:r>
      <w:r w:rsidR="002E4E53" w:rsidRPr="00F74036">
        <w:t>l'</w:t>
      </w:r>
      <w:r w:rsidRPr="00F74036">
        <w:t>évaluation efficace des limites</w:t>
      </w:r>
      <w:r w:rsidR="002E4E53" w:rsidRPr="00F74036">
        <w:t xml:space="preserve"> d'epfd</w:t>
      </w:r>
      <w:r w:rsidRPr="00F74036">
        <w:t xml:space="preserve"> de protection est l</w:t>
      </w:r>
      <w:r w:rsidR="00141D15" w:rsidRPr="00F74036">
        <w:t>'</w:t>
      </w:r>
      <w:r w:rsidRPr="00F74036">
        <w:t xml:space="preserve">une des nombreuses questions que posent les </w:t>
      </w:r>
      <w:r w:rsidR="006037B9" w:rsidRPr="00F74036">
        <w:t>systèmes</w:t>
      </w:r>
      <w:r w:rsidRPr="00F74036">
        <w:t xml:space="preserve"> non OSG. </w:t>
      </w:r>
      <w:r w:rsidR="002E4E53" w:rsidRPr="00F74036">
        <w:t>Par ailleurs, le GT</w:t>
      </w:r>
      <w:r w:rsidR="006504F8" w:rsidRPr="00F74036">
        <w:t> </w:t>
      </w:r>
      <w:r w:rsidR="002E4E53" w:rsidRPr="00F74036">
        <w:t>4A doit achever ses travaux visant à améliorer la méthode d</w:t>
      </w:r>
      <w:r w:rsidR="00141D15" w:rsidRPr="00F74036">
        <w:t>'</w:t>
      </w:r>
      <w:r w:rsidR="002E4E53" w:rsidRPr="00F74036">
        <w:t>évaluation de la Recommandation UIT-R S.1503 utilisée par le BR.</w:t>
      </w:r>
    </w:p>
    <w:p w14:paraId="36B0BF6F" w14:textId="5366D422" w:rsidR="00DF3BEF" w:rsidRPr="00F74036" w:rsidRDefault="00DF3BEF" w:rsidP="00F74036">
      <w:pPr>
        <w:pStyle w:val="Reasons"/>
      </w:pPr>
    </w:p>
    <w:p w14:paraId="42259503" w14:textId="15FC5D8C" w:rsidR="00DF3BEF" w:rsidRPr="00F74036" w:rsidRDefault="00DF3BEF" w:rsidP="00F74036">
      <w:pPr>
        <w:jc w:val="center"/>
      </w:pPr>
      <w:r w:rsidRPr="00F74036">
        <w:t>______________</w:t>
      </w:r>
    </w:p>
    <w:sectPr w:rsidR="00DF3BEF" w:rsidRPr="00F74036">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19B9" w14:textId="77777777" w:rsidR="00CB685A" w:rsidRDefault="00CB685A">
      <w:r>
        <w:separator/>
      </w:r>
    </w:p>
  </w:endnote>
  <w:endnote w:type="continuationSeparator" w:id="0">
    <w:p w14:paraId="21F312D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E220" w14:textId="6825DF8A" w:rsidR="00936D25" w:rsidRDefault="00936D25">
    <w:pPr>
      <w:rPr>
        <w:lang w:val="en-US"/>
      </w:rPr>
    </w:pPr>
    <w:r>
      <w:fldChar w:fldCharType="begin"/>
    </w:r>
    <w:r>
      <w:rPr>
        <w:lang w:val="en-US"/>
      </w:rPr>
      <w:instrText xml:space="preserve"> FILENAME \p  \* MERGEFORMAT </w:instrText>
    </w:r>
    <w:r>
      <w:fldChar w:fldCharType="separate"/>
    </w:r>
    <w:r w:rsidR="00F74036">
      <w:rPr>
        <w:noProof/>
        <w:lang w:val="en-US"/>
      </w:rPr>
      <w:t>P:\FRA\ITU-R\CONF-R\CMR23\100\117ADD25F.docx</w:t>
    </w:r>
    <w:r>
      <w:fldChar w:fldCharType="end"/>
    </w:r>
    <w:r>
      <w:rPr>
        <w:lang w:val="en-US"/>
      </w:rPr>
      <w:tab/>
    </w:r>
    <w:r>
      <w:fldChar w:fldCharType="begin"/>
    </w:r>
    <w:r>
      <w:instrText xml:space="preserve"> SAVEDATE \@ DD.MM.YY </w:instrText>
    </w:r>
    <w:r>
      <w:fldChar w:fldCharType="separate"/>
    </w:r>
    <w:r w:rsidR="00F74036">
      <w:rPr>
        <w:noProof/>
      </w:rPr>
      <w:t>11.11.23</w:t>
    </w:r>
    <w:r>
      <w:fldChar w:fldCharType="end"/>
    </w:r>
    <w:r>
      <w:rPr>
        <w:lang w:val="en-US"/>
      </w:rPr>
      <w:tab/>
    </w:r>
    <w:r>
      <w:fldChar w:fldCharType="begin"/>
    </w:r>
    <w:r>
      <w:instrText xml:space="preserve"> PRINTDATE \@ DD.MM.YY </w:instrText>
    </w:r>
    <w:r>
      <w:fldChar w:fldCharType="separate"/>
    </w:r>
    <w:r w:rsidR="00F74036">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B5FC" w14:textId="0D89DB7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74036">
      <w:rPr>
        <w:lang w:val="en-US"/>
      </w:rPr>
      <w:t>P:\FRA\ITU-R\CONF-R\CMR23\100\117ADD25F.docx</w:t>
    </w:r>
    <w:r>
      <w:fldChar w:fldCharType="end"/>
    </w:r>
    <w:r w:rsidR="0012442B" w:rsidRPr="00ED3EC7">
      <w:rPr>
        <w:lang w:val="en-GB"/>
      </w:rPr>
      <w:t xml:space="preserve"> (530260)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303A" w14:textId="4EE7780C" w:rsidR="00936D25" w:rsidRPr="006504F8" w:rsidRDefault="006504F8" w:rsidP="006504F8">
    <w:pPr>
      <w:pStyle w:val="Footer"/>
      <w:rPr>
        <w:lang w:val="en-US"/>
      </w:rPr>
    </w:pPr>
    <w:r>
      <w:fldChar w:fldCharType="begin"/>
    </w:r>
    <w:r>
      <w:rPr>
        <w:lang w:val="en-US"/>
      </w:rPr>
      <w:instrText xml:space="preserve"> FILENAME \p  \* MERGEFORMAT </w:instrText>
    </w:r>
    <w:r>
      <w:fldChar w:fldCharType="separate"/>
    </w:r>
    <w:r w:rsidR="00F74036">
      <w:rPr>
        <w:lang w:val="en-US"/>
      </w:rPr>
      <w:t>P:\FRA\ITU-R\CONF-R\CMR23\100\117ADD25F.docx</w:t>
    </w:r>
    <w:r>
      <w:fldChar w:fldCharType="end"/>
    </w:r>
    <w:r w:rsidRPr="00ED3EC7">
      <w:rPr>
        <w:lang w:val="en-GB"/>
      </w:rPr>
      <w:t xml:space="preserve"> (530260)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2FE7" w14:textId="77777777" w:rsidR="00CB685A" w:rsidRDefault="00CB685A">
      <w:r>
        <w:rPr>
          <w:b/>
        </w:rPr>
        <w:t>_______________</w:t>
      </w:r>
    </w:p>
  </w:footnote>
  <w:footnote w:type="continuationSeparator" w:id="0">
    <w:p w14:paraId="73AD9F7E" w14:textId="77777777" w:rsidR="00CB685A" w:rsidRDefault="00CB685A">
      <w:r>
        <w:continuationSeparator/>
      </w:r>
    </w:p>
  </w:footnote>
  <w:footnote w:id="1">
    <w:p w14:paraId="514652DB" w14:textId="77777777" w:rsidR="0012442B" w:rsidRPr="00815FAF" w:rsidRDefault="0012442B"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DFC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5EB0AF7" w14:textId="77777777" w:rsidR="004F1F8E" w:rsidRDefault="00225CF2" w:rsidP="00FD7AA3">
    <w:pPr>
      <w:pStyle w:val="Header"/>
    </w:pPr>
    <w:r>
      <w:t>WRC</w:t>
    </w:r>
    <w:r w:rsidR="00D3426F">
      <w:t>23</w:t>
    </w:r>
    <w:r w:rsidR="004F1F8E">
      <w:t>/</w:t>
    </w:r>
    <w:r w:rsidR="006A4B45">
      <w:t>117(Add.25)-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65044541">
    <w:abstractNumId w:val="0"/>
  </w:num>
  <w:num w:numId="2" w16cid:durableId="16328992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FCF"/>
    <w:rsid w:val="00063A1F"/>
    <w:rsid w:val="00074379"/>
    <w:rsid w:val="00080E2C"/>
    <w:rsid w:val="00081366"/>
    <w:rsid w:val="000863B3"/>
    <w:rsid w:val="000A4755"/>
    <w:rsid w:val="000A55AE"/>
    <w:rsid w:val="000B2E0C"/>
    <w:rsid w:val="000B3D0C"/>
    <w:rsid w:val="001167B9"/>
    <w:rsid w:val="0012442B"/>
    <w:rsid w:val="001267A0"/>
    <w:rsid w:val="00140B36"/>
    <w:rsid w:val="00141D15"/>
    <w:rsid w:val="0015203F"/>
    <w:rsid w:val="00160C64"/>
    <w:rsid w:val="0018169B"/>
    <w:rsid w:val="0019352B"/>
    <w:rsid w:val="001960D0"/>
    <w:rsid w:val="001A11F6"/>
    <w:rsid w:val="001B6764"/>
    <w:rsid w:val="001B6790"/>
    <w:rsid w:val="001D4E66"/>
    <w:rsid w:val="001E06C3"/>
    <w:rsid w:val="001F17E8"/>
    <w:rsid w:val="00204306"/>
    <w:rsid w:val="002128FD"/>
    <w:rsid w:val="002237AE"/>
    <w:rsid w:val="00225CF2"/>
    <w:rsid w:val="00232FD2"/>
    <w:rsid w:val="0026554E"/>
    <w:rsid w:val="00275439"/>
    <w:rsid w:val="00282902"/>
    <w:rsid w:val="002A4622"/>
    <w:rsid w:val="002A6F8F"/>
    <w:rsid w:val="002B17E5"/>
    <w:rsid w:val="002B4CD4"/>
    <w:rsid w:val="002C0EBF"/>
    <w:rsid w:val="002C28A4"/>
    <w:rsid w:val="002D7E0A"/>
    <w:rsid w:val="002E4E53"/>
    <w:rsid w:val="00312F2C"/>
    <w:rsid w:val="00315AFE"/>
    <w:rsid w:val="003411F6"/>
    <w:rsid w:val="003606A6"/>
    <w:rsid w:val="0036650C"/>
    <w:rsid w:val="003756D8"/>
    <w:rsid w:val="00393ACD"/>
    <w:rsid w:val="003A583E"/>
    <w:rsid w:val="003C7A25"/>
    <w:rsid w:val="003E112B"/>
    <w:rsid w:val="003E1D1C"/>
    <w:rsid w:val="003E7B05"/>
    <w:rsid w:val="003F3719"/>
    <w:rsid w:val="003F6F2D"/>
    <w:rsid w:val="00466211"/>
    <w:rsid w:val="00483196"/>
    <w:rsid w:val="004834A9"/>
    <w:rsid w:val="00490CD4"/>
    <w:rsid w:val="004A662A"/>
    <w:rsid w:val="004A764D"/>
    <w:rsid w:val="004D01FC"/>
    <w:rsid w:val="004D4732"/>
    <w:rsid w:val="004D72BE"/>
    <w:rsid w:val="004E28C3"/>
    <w:rsid w:val="004F1F8E"/>
    <w:rsid w:val="00503152"/>
    <w:rsid w:val="00504E5A"/>
    <w:rsid w:val="00512A32"/>
    <w:rsid w:val="005343DA"/>
    <w:rsid w:val="00560874"/>
    <w:rsid w:val="0056579B"/>
    <w:rsid w:val="0057134E"/>
    <w:rsid w:val="00586CF2"/>
    <w:rsid w:val="005A1D5D"/>
    <w:rsid w:val="005A7C75"/>
    <w:rsid w:val="005B015F"/>
    <w:rsid w:val="005C3768"/>
    <w:rsid w:val="005C6C3F"/>
    <w:rsid w:val="006037B9"/>
    <w:rsid w:val="00613635"/>
    <w:rsid w:val="0062093D"/>
    <w:rsid w:val="006231A3"/>
    <w:rsid w:val="00637ECF"/>
    <w:rsid w:val="00647B59"/>
    <w:rsid w:val="006504F8"/>
    <w:rsid w:val="00690C7B"/>
    <w:rsid w:val="006A4B45"/>
    <w:rsid w:val="006B0D50"/>
    <w:rsid w:val="006D4724"/>
    <w:rsid w:val="006F5FA2"/>
    <w:rsid w:val="0070076C"/>
    <w:rsid w:val="00701BAE"/>
    <w:rsid w:val="00721F04"/>
    <w:rsid w:val="00722E0E"/>
    <w:rsid w:val="00730E95"/>
    <w:rsid w:val="007426B9"/>
    <w:rsid w:val="00764342"/>
    <w:rsid w:val="00774362"/>
    <w:rsid w:val="00784E10"/>
    <w:rsid w:val="00786598"/>
    <w:rsid w:val="00790C74"/>
    <w:rsid w:val="007A04E8"/>
    <w:rsid w:val="007B2C34"/>
    <w:rsid w:val="007F282B"/>
    <w:rsid w:val="00807ABD"/>
    <w:rsid w:val="008230CA"/>
    <w:rsid w:val="00830086"/>
    <w:rsid w:val="00851625"/>
    <w:rsid w:val="00863C0A"/>
    <w:rsid w:val="0089174B"/>
    <w:rsid w:val="008A3120"/>
    <w:rsid w:val="008A4B97"/>
    <w:rsid w:val="008B75ED"/>
    <w:rsid w:val="008C5B8E"/>
    <w:rsid w:val="008C5DD5"/>
    <w:rsid w:val="008C7123"/>
    <w:rsid w:val="008D164F"/>
    <w:rsid w:val="008D41BE"/>
    <w:rsid w:val="008D58D3"/>
    <w:rsid w:val="008E3BC9"/>
    <w:rsid w:val="00911CA3"/>
    <w:rsid w:val="00923064"/>
    <w:rsid w:val="009246DB"/>
    <w:rsid w:val="00930FFD"/>
    <w:rsid w:val="00933B27"/>
    <w:rsid w:val="00936D25"/>
    <w:rsid w:val="00941EA5"/>
    <w:rsid w:val="009433BA"/>
    <w:rsid w:val="00964700"/>
    <w:rsid w:val="0096686A"/>
    <w:rsid w:val="00966C16"/>
    <w:rsid w:val="00983B0B"/>
    <w:rsid w:val="0098732F"/>
    <w:rsid w:val="00992A7B"/>
    <w:rsid w:val="009A045F"/>
    <w:rsid w:val="009A6A2B"/>
    <w:rsid w:val="009C7E7C"/>
    <w:rsid w:val="009D6139"/>
    <w:rsid w:val="00A00473"/>
    <w:rsid w:val="00A03C9B"/>
    <w:rsid w:val="00A37105"/>
    <w:rsid w:val="00A606C3"/>
    <w:rsid w:val="00A83B09"/>
    <w:rsid w:val="00A84541"/>
    <w:rsid w:val="00AA323F"/>
    <w:rsid w:val="00AA4328"/>
    <w:rsid w:val="00AA4533"/>
    <w:rsid w:val="00AB1EFC"/>
    <w:rsid w:val="00AD3629"/>
    <w:rsid w:val="00AD43C7"/>
    <w:rsid w:val="00AE36A0"/>
    <w:rsid w:val="00AF0B14"/>
    <w:rsid w:val="00B00294"/>
    <w:rsid w:val="00B23AFA"/>
    <w:rsid w:val="00B3749C"/>
    <w:rsid w:val="00B64FD0"/>
    <w:rsid w:val="00BA5BD0"/>
    <w:rsid w:val="00BB07B0"/>
    <w:rsid w:val="00BB1D82"/>
    <w:rsid w:val="00BC217E"/>
    <w:rsid w:val="00BD23B1"/>
    <w:rsid w:val="00BD51C5"/>
    <w:rsid w:val="00BF26E7"/>
    <w:rsid w:val="00C1305F"/>
    <w:rsid w:val="00C53FCA"/>
    <w:rsid w:val="00C71DEB"/>
    <w:rsid w:val="00C76BAF"/>
    <w:rsid w:val="00C814B9"/>
    <w:rsid w:val="00CB685A"/>
    <w:rsid w:val="00CD516F"/>
    <w:rsid w:val="00CF0DED"/>
    <w:rsid w:val="00D119A7"/>
    <w:rsid w:val="00D25FBA"/>
    <w:rsid w:val="00D32B28"/>
    <w:rsid w:val="00D3426F"/>
    <w:rsid w:val="00D42954"/>
    <w:rsid w:val="00D53DBD"/>
    <w:rsid w:val="00D66EAC"/>
    <w:rsid w:val="00D730DF"/>
    <w:rsid w:val="00D772F0"/>
    <w:rsid w:val="00D77BDC"/>
    <w:rsid w:val="00D831E9"/>
    <w:rsid w:val="00DC402B"/>
    <w:rsid w:val="00DE0932"/>
    <w:rsid w:val="00DF15E8"/>
    <w:rsid w:val="00DF23A4"/>
    <w:rsid w:val="00DF27B7"/>
    <w:rsid w:val="00DF3BEF"/>
    <w:rsid w:val="00E03A27"/>
    <w:rsid w:val="00E049F1"/>
    <w:rsid w:val="00E37A25"/>
    <w:rsid w:val="00E537FF"/>
    <w:rsid w:val="00E60CB2"/>
    <w:rsid w:val="00E6539B"/>
    <w:rsid w:val="00E677E7"/>
    <w:rsid w:val="00E70A31"/>
    <w:rsid w:val="00E723A7"/>
    <w:rsid w:val="00EA3F38"/>
    <w:rsid w:val="00EA5AB6"/>
    <w:rsid w:val="00EC7615"/>
    <w:rsid w:val="00ED16AA"/>
    <w:rsid w:val="00ED3EC7"/>
    <w:rsid w:val="00ED6B8D"/>
    <w:rsid w:val="00EE3D7B"/>
    <w:rsid w:val="00EF5624"/>
    <w:rsid w:val="00EF662E"/>
    <w:rsid w:val="00F10064"/>
    <w:rsid w:val="00F148F1"/>
    <w:rsid w:val="00F30F70"/>
    <w:rsid w:val="00F711A7"/>
    <w:rsid w:val="00F74036"/>
    <w:rsid w:val="00F77CD5"/>
    <w:rsid w:val="00F97897"/>
    <w:rsid w:val="00FA3BBF"/>
    <w:rsid w:val="00FC41F8"/>
    <w:rsid w:val="00FD2EAD"/>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DE3B2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D53DBD"/>
    <w:rPr>
      <w:color w:val="800080" w:themeColor="followedHyperlink"/>
      <w:u w:val="single"/>
    </w:rPr>
  </w:style>
  <w:style w:type="character" w:styleId="UnresolvedMention">
    <w:name w:val="Unresolved Mention"/>
    <w:basedOn w:val="DefaultParagraphFont"/>
    <w:uiPriority w:val="99"/>
    <w:semiHidden/>
    <w:unhideWhenUsed/>
    <w:rsid w:val="009433BA"/>
    <w:rPr>
      <w:color w:val="605E5C"/>
      <w:shd w:val="clear" w:color="auto" w:fill="E1DFDD"/>
    </w:rPr>
  </w:style>
  <w:style w:type="character" w:styleId="CommentReference">
    <w:name w:val="annotation reference"/>
    <w:basedOn w:val="DefaultParagraphFont"/>
    <w:semiHidden/>
    <w:unhideWhenUsed/>
    <w:rsid w:val="001D4E66"/>
    <w:rPr>
      <w:sz w:val="16"/>
      <w:szCs w:val="16"/>
    </w:rPr>
  </w:style>
  <w:style w:type="paragraph" w:styleId="CommentText">
    <w:name w:val="annotation text"/>
    <w:basedOn w:val="Normal"/>
    <w:link w:val="CommentTextChar"/>
    <w:semiHidden/>
    <w:unhideWhenUsed/>
    <w:rsid w:val="001D4E66"/>
    <w:rPr>
      <w:sz w:val="20"/>
    </w:rPr>
  </w:style>
  <w:style w:type="character" w:customStyle="1" w:styleId="CommentTextChar">
    <w:name w:val="Comment Text Char"/>
    <w:basedOn w:val="DefaultParagraphFont"/>
    <w:link w:val="CommentText"/>
    <w:semiHidden/>
    <w:rsid w:val="001D4E6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D4E66"/>
    <w:rPr>
      <w:b/>
      <w:bCs/>
    </w:rPr>
  </w:style>
  <w:style w:type="character" w:customStyle="1" w:styleId="CommentSubjectChar">
    <w:name w:val="Comment Subject Char"/>
    <w:basedOn w:val="CommentTextChar"/>
    <w:link w:val="CommentSubject"/>
    <w:semiHidden/>
    <w:rsid w:val="001D4E66"/>
    <w:rPr>
      <w:rFonts w:ascii="Times New Roman" w:hAnsi="Times New Roman"/>
      <w:b/>
      <w:bCs/>
      <w:lang w:val="fr-FR" w:eastAsia="en-US"/>
    </w:rPr>
  </w:style>
  <w:style w:type="paragraph" w:styleId="Revision">
    <w:name w:val="Revision"/>
    <w:hidden/>
    <w:uiPriority w:val="99"/>
    <w:semiHidden/>
    <w:rsid w:val="001D4E6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9835">
      <w:bodyDiv w:val="1"/>
      <w:marLeft w:val="0"/>
      <w:marRight w:val="0"/>
      <w:marTop w:val="0"/>
      <w:marBottom w:val="0"/>
      <w:divBdr>
        <w:top w:val="none" w:sz="0" w:space="0" w:color="auto"/>
        <w:left w:val="none" w:sz="0" w:space="0" w:color="auto"/>
        <w:bottom w:val="none" w:sz="0" w:space="0" w:color="auto"/>
        <w:right w:val="none" w:sz="0" w:space="0" w:color="auto"/>
      </w:divBdr>
    </w:div>
    <w:div w:id="891431065">
      <w:bodyDiv w:val="1"/>
      <w:marLeft w:val="0"/>
      <w:marRight w:val="0"/>
      <w:marTop w:val="0"/>
      <w:marBottom w:val="0"/>
      <w:divBdr>
        <w:top w:val="none" w:sz="0" w:space="0" w:color="auto"/>
        <w:left w:val="none" w:sz="0" w:space="0" w:color="auto"/>
        <w:bottom w:val="none" w:sz="0" w:space="0" w:color="auto"/>
        <w:right w:val="none" w:sz="0" w:space="0" w:color="auto"/>
      </w:divBdr>
    </w:div>
    <w:div w:id="984702021">
      <w:bodyDiv w:val="1"/>
      <w:marLeft w:val="0"/>
      <w:marRight w:val="0"/>
      <w:marTop w:val="0"/>
      <w:marBottom w:val="0"/>
      <w:divBdr>
        <w:top w:val="none" w:sz="0" w:space="0" w:color="auto"/>
        <w:left w:val="none" w:sz="0" w:space="0" w:color="auto"/>
        <w:bottom w:val="none" w:sz="0" w:space="0" w:color="auto"/>
        <w:right w:val="none" w:sz="0" w:space="0" w:color="auto"/>
      </w:divBdr>
    </w:div>
    <w:div w:id="1879200540">
      <w:bodyDiv w:val="1"/>
      <w:marLeft w:val="0"/>
      <w:marRight w:val="0"/>
      <w:marTop w:val="0"/>
      <w:marBottom w:val="0"/>
      <w:divBdr>
        <w:top w:val="none" w:sz="0" w:space="0" w:color="auto"/>
        <w:left w:val="none" w:sz="0" w:space="0" w:color="auto"/>
        <w:bottom w:val="none" w:sz="0" w:space="0" w:color="auto"/>
        <w:right w:val="none" w:sz="0" w:space="0" w:color="auto"/>
      </w:divBdr>
    </w:div>
    <w:div w:id="20629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23/wrc23/c/R23-WRC23-C-0004!A1!MSW-F.docx" TargetMode="External"/><Relationship Id="rId18" Type="http://schemas.openxmlformats.org/officeDocument/2006/relationships/hyperlink" Target="https://www.itu.int/md/R19-WP4A-C-0971/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pt.int/sites/default/files/2023/08/APG23-6-INP-125_Multicountry_WP5_PACP_WRC-23_Agenda_Item_1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t.int/sites/default/files/2023/07/APG23-6-INP-12_Kiribati_AI_1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pt.int/sites/default/files/2023/02/APG23-5-INP-85_Tonga-WP5-Preliminary_View_on_WRC-23_Agenda_Item_10.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R19-CPM23.2-C-0236/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ties/itu-r/md/19/sg04/rp/R19-SG04-RP-1001!!MSW-F.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R23-WRC23-C-0117!A25!MSW-F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23A9323-9B48-48C5-8C88-DC1C0F70C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60C64-A526-4E04-A059-F13F8FA1724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7B7DF69-98B4-41A9-9E97-6A0AB30675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3017</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R23-WRC23-C-0117!A25!MSW-F</vt:lpstr>
    </vt:vector>
  </TitlesOfParts>
  <Manager>Secrétariat général - Pool</Manager>
  <Company>Union internationale des télécommunications (UIT)</Company>
  <LinksUpToDate>false</LinksUpToDate>
  <CharactersWithSpaces>20109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R23-WRC23-C-0117!A25!MSW-F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2023-11-10T13:02:00Z</dcterms:created>
  <dcterms:modified xsi:type="dcterms:W3CDTF">2023-11-11T08:28:00Z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