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660160" w14:paraId="372060C3" w14:textId="77777777" w:rsidTr="0080079E">
        <w:trPr>
          <w:cantSplit/>
        </w:trPr>
        <w:tc>
          <w:tcPr>
            <w:tcW w:w="1418" w:type="dxa"/>
            <w:vAlign w:val="center"/>
          </w:tcPr>
          <w:p w14:paraId="411485FE" w14:textId="77777777" w:rsidR="0080079E" w:rsidRPr="00660160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660160">
              <w:rPr>
                <w:noProof/>
              </w:rPr>
              <w:drawing>
                <wp:inline distT="0" distB="0" distL="0" distR="0" wp14:anchorId="465D94D2" wp14:editId="0F230BA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B65496C" w14:textId="77777777" w:rsidR="0080079E" w:rsidRPr="00660160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6016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66016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60160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7BEA082" w14:textId="77777777" w:rsidR="0080079E" w:rsidRPr="00660160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660160">
              <w:rPr>
                <w:noProof/>
              </w:rPr>
              <w:drawing>
                <wp:inline distT="0" distB="0" distL="0" distR="0" wp14:anchorId="4E8253C4" wp14:editId="78D46117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60160" w14:paraId="107EE62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02CE1E4" w14:textId="77777777" w:rsidR="0090121B" w:rsidRPr="0066016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4E2EBDB" w14:textId="77777777" w:rsidR="0090121B" w:rsidRPr="0066016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60160" w14:paraId="06927D8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F4F7B51" w14:textId="77777777" w:rsidR="0090121B" w:rsidRPr="0066016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73AD1E1" w14:textId="77777777" w:rsidR="0090121B" w:rsidRPr="0066016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60160" w14:paraId="7FBCF1A6" w14:textId="77777777" w:rsidTr="0090121B">
        <w:trPr>
          <w:cantSplit/>
        </w:trPr>
        <w:tc>
          <w:tcPr>
            <w:tcW w:w="6911" w:type="dxa"/>
            <w:gridSpan w:val="2"/>
          </w:tcPr>
          <w:p w14:paraId="3CE68740" w14:textId="77777777" w:rsidR="0090121B" w:rsidRPr="0066016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6016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2DF689B" w14:textId="77777777" w:rsidR="0090121B" w:rsidRPr="0066016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60160">
              <w:rPr>
                <w:rFonts w:ascii="Verdana" w:hAnsi="Verdana"/>
                <w:b/>
                <w:sz w:val="18"/>
                <w:szCs w:val="18"/>
              </w:rPr>
              <w:t>Addéndum 25 al</w:t>
            </w:r>
            <w:r w:rsidRPr="00660160">
              <w:rPr>
                <w:rFonts w:ascii="Verdana" w:hAnsi="Verdana"/>
                <w:b/>
                <w:sz w:val="18"/>
                <w:szCs w:val="18"/>
              </w:rPr>
              <w:br/>
              <w:t>Documento 117</w:t>
            </w:r>
            <w:r w:rsidR="0090121B" w:rsidRPr="0066016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6016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660160" w14:paraId="2B4AD631" w14:textId="77777777" w:rsidTr="0090121B">
        <w:trPr>
          <w:cantSplit/>
        </w:trPr>
        <w:tc>
          <w:tcPr>
            <w:tcW w:w="6911" w:type="dxa"/>
            <w:gridSpan w:val="2"/>
          </w:tcPr>
          <w:p w14:paraId="0E8F6A83" w14:textId="77777777" w:rsidR="000A5B9A" w:rsidRPr="0066016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EF5EB26" w14:textId="77777777" w:rsidR="000A5B9A" w:rsidRPr="0066016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0160">
              <w:rPr>
                <w:rFonts w:ascii="Verdana" w:hAnsi="Verdana"/>
                <w:b/>
                <w:sz w:val="18"/>
                <w:szCs w:val="18"/>
              </w:rPr>
              <w:t>29 de octubre de 2023</w:t>
            </w:r>
          </w:p>
        </w:tc>
      </w:tr>
      <w:tr w:rsidR="000A5B9A" w:rsidRPr="00660160" w14:paraId="53923177" w14:textId="77777777" w:rsidTr="0090121B">
        <w:trPr>
          <w:cantSplit/>
        </w:trPr>
        <w:tc>
          <w:tcPr>
            <w:tcW w:w="6911" w:type="dxa"/>
            <w:gridSpan w:val="2"/>
          </w:tcPr>
          <w:p w14:paraId="7107D0EB" w14:textId="77777777" w:rsidR="000A5B9A" w:rsidRPr="0066016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3E6AD46" w14:textId="77777777" w:rsidR="000A5B9A" w:rsidRPr="0066016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016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60160" w14:paraId="2221024D" w14:textId="77777777" w:rsidTr="006744FC">
        <w:trPr>
          <w:cantSplit/>
        </w:trPr>
        <w:tc>
          <w:tcPr>
            <w:tcW w:w="10031" w:type="dxa"/>
            <w:gridSpan w:val="4"/>
          </w:tcPr>
          <w:p w14:paraId="2A8096AC" w14:textId="77777777" w:rsidR="000A5B9A" w:rsidRPr="0066016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60160" w14:paraId="3946EFEF" w14:textId="77777777" w:rsidTr="0050008E">
        <w:trPr>
          <w:cantSplit/>
        </w:trPr>
        <w:tc>
          <w:tcPr>
            <w:tcW w:w="10031" w:type="dxa"/>
            <w:gridSpan w:val="4"/>
          </w:tcPr>
          <w:p w14:paraId="67621831" w14:textId="77777777" w:rsidR="000A5B9A" w:rsidRPr="00660160" w:rsidRDefault="000A5B9A" w:rsidP="000A5B9A">
            <w:pPr>
              <w:pStyle w:val="Source"/>
            </w:pPr>
            <w:bookmarkStart w:id="2" w:name="dsource" w:colFirst="0" w:colLast="0"/>
            <w:r w:rsidRPr="00660160">
              <w:t>Indonesia (República de)</w:t>
            </w:r>
          </w:p>
        </w:tc>
      </w:tr>
      <w:tr w:rsidR="000A5B9A" w:rsidRPr="00660160" w14:paraId="5D76D174" w14:textId="77777777" w:rsidTr="0050008E">
        <w:trPr>
          <w:cantSplit/>
        </w:trPr>
        <w:tc>
          <w:tcPr>
            <w:tcW w:w="10031" w:type="dxa"/>
            <w:gridSpan w:val="4"/>
          </w:tcPr>
          <w:p w14:paraId="716F7F62" w14:textId="004BCF2F" w:rsidR="000A5B9A" w:rsidRPr="00660160" w:rsidRDefault="004754A4" w:rsidP="000A5B9A">
            <w:pPr>
              <w:pStyle w:val="Title1"/>
            </w:pPr>
            <w:bookmarkStart w:id="3" w:name="dtitle1" w:colFirst="0" w:colLast="0"/>
            <w:bookmarkEnd w:id="2"/>
            <w:r w:rsidRPr="00660160">
              <w:t>PROPUESTAS PARA LOS TRABAJOS DE LA CONFERENCIA</w:t>
            </w:r>
          </w:p>
        </w:tc>
      </w:tr>
      <w:tr w:rsidR="000A5B9A" w:rsidRPr="00660160" w14:paraId="7E839474" w14:textId="77777777" w:rsidTr="0050008E">
        <w:trPr>
          <w:cantSplit/>
        </w:trPr>
        <w:tc>
          <w:tcPr>
            <w:tcW w:w="10031" w:type="dxa"/>
            <w:gridSpan w:val="4"/>
          </w:tcPr>
          <w:p w14:paraId="324E3CE9" w14:textId="77777777" w:rsidR="000A5B9A" w:rsidRPr="0066016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60160" w14:paraId="59E47683" w14:textId="77777777" w:rsidTr="0050008E">
        <w:trPr>
          <w:cantSplit/>
        </w:trPr>
        <w:tc>
          <w:tcPr>
            <w:tcW w:w="10031" w:type="dxa"/>
            <w:gridSpan w:val="4"/>
          </w:tcPr>
          <w:p w14:paraId="18E30FDE" w14:textId="77777777" w:rsidR="000A5B9A" w:rsidRPr="0066016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60160">
              <w:t>Punto 9.2 del orden del día</w:t>
            </w:r>
          </w:p>
        </w:tc>
      </w:tr>
    </w:tbl>
    <w:bookmarkEnd w:id="5"/>
    <w:p w14:paraId="2CA368A4" w14:textId="77777777" w:rsidR="000867DD" w:rsidRPr="00660160" w:rsidRDefault="000867DD" w:rsidP="002D64EA">
      <w:r w:rsidRPr="00660160">
        <w:t>9</w:t>
      </w:r>
      <w:r w:rsidRPr="00660160">
        <w:tab/>
        <w:t>examinar y aprobar el Informe del Director de la Oficina de Radiocomunicaciones, de conformidad con el Artículo 7 del Convenio de la UIT:</w:t>
      </w:r>
    </w:p>
    <w:p w14:paraId="13F22862" w14:textId="77777777" w:rsidR="000867DD" w:rsidRPr="00660160" w:rsidRDefault="000867DD" w:rsidP="00822E96">
      <w:r w:rsidRPr="00660160">
        <w:t>9.2</w:t>
      </w:r>
      <w:r w:rsidRPr="00660160">
        <w:tab/>
        <w:t>sobre las dificultades o incoherencias observadas en la aplicación del Reglamento de Radiocomunicaciones;</w:t>
      </w:r>
      <w:r w:rsidRPr="00660160">
        <w:rPr>
          <w:rStyle w:val="FootnoteReference"/>
        </w:rPr>
        <w:footnoteReference w:customMarkFollows="1" w:id="1"/>
        <w:t>1</w:t>
      </w:r>
      <w:r w:rsidRPr="00660160">
        <w:t xml:space="preserve"> y</w:t>
      </w:r>
    </w:p>
    <w:p w14:paraId="4C03F20C" w14:textId="77777777" w:rsidR="00363A65" w:rsidRPr="00660160" w:rsidRDefault="00363A65" w:rsidP="002C1A52"/>
    <w:p w14:paraId="4E6983E9" w14:textId="77777777" w:rsidR="008750A8" w:rsidRPr="0066016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60160">
        <w:br w:type="page"/>
      </w:r>
    </w:p>
    <w:p w14:paraId="40F65B69" w14:textId="77777777" w:rsidR="00592C86" w:rsidRPr="00660160" w:rsidRDefault="000867DD">
      <w:pPr>
        <w:pStyle w:val="Proposal"/>
      </w:pPr>
      <w:r w:rsidRPr="00660160">
        <w:lastRenderedPageBreak/>
        <w:tab/>
        <w:t>INS/117A25/1</w:t>
      </w:r>
    </w:p>
    <w:p w14:paraId="0B9238C3" w14:textId="227A1BB8" w:rsidR="001B357B" w:rsidRPr="00660160" w:rsidRDefault="001B357B" w:rsidP="001B357B">
      <w:pPr>
        <w:pStyle w:val="Annextitle"/>
        <w:rPr>
          <w:b w:val="0"/>
        </w:rPr>
      </w:pPr>
      <w:r w:rsidRPr="00660160">
        <w:t xml:space="preserve">Opinión de Indonesia sobre la importancia de preservar las disposiciones reglamentarias en las partes de las bandas de frecuencias 14/11 GHz y 30/20 GHz en las que se aplican los límites de </w:t>
      </w:r>
      <w:r w:rsidR="00A42C84" w:rsidRPr="00660160">
        <w:t>dfpe</w:t>
      </w:r>
      <w:r w:rsidRPr="00660160">
        <w:t xml:space="preserve"> del </w:t>
      </w:r>
      <w:r w:rsidR="00A42C84" w:rsidRPr="00660160">
        <w:t xml:space="preserve">Artículo </w:t>
      </w:r>
      <w:r w:rsidRPr="00660160">
        <w:t>22 del</w:t>
      </w:r>
      <w:r w:rsidR="008C0939">
        <w:br/>
      </w:r>
      <w:r w:rsidRPr="00660160">
        <w:t>Reglamento de Radiocomunicaciones</w:t>
      </w:r>
    </w:p>
    <w:p w14:paraId="03985747" w14:textId="77777777" w:rsidR="001B357B" w:rsidRPr="00660160" w:rsidRDefault="001B357B" w:rsidP="001B357B">
      <w:pPr>
        <w:pStyle w:val="Headingb"/>
      </w:pPr>
      <w:r w:rsidRPr="00660160">
        <w:t>Introducción</w:t>
      </w:r>
    </w:p>
    <w:p w14:paraId="0658E862" w14:textId="7B86AEDA" w:rsidR="001B357B" w:rsidRPr="00660160" w:rsidRDefault="001B357B" w:rsidP="002E596B">
      <w:r w:rsidRPr="00660160">
        <w:t>Indonesia acoge con satisfacción el Informe del Director de la BR a la CMR-23 (</w:t>
      </w:r>
      <w:r w:rsidR="00A42C84" w:rsidRPr="00660160">
        <w:t>véase el</w:t>
      </w:r>
      <w:r w:rsidRPr="00660160">
        <w:t xml:space="preserve"> </w:t>
      </w:r>
      <w:hyperlink r:id="rId14">
        <w:r w:rsidR="00A42C84" w:rsidRPr="00660160">
          <w:rPr>
            <w:color w:val="0000FF"/>
            <w:u w:val="single"/>
          </w:rPr>
          <w:t>Addéndum</w:t>
        </w:r>
        <w:r w:rsidRPr="00660160">
          <w:rPr>
            <w:color w:val="0000FF"/>
            <w:u w:val="single"/>
          </w:rPr>
          <w:t xml:space="preserve"> 1 al Do</w:t>
        </w:r>
        <w:r w:rsidRPr="00660160">
          <w:rPr>
            <w:color w:val="0000FF"/>
            <w:u w:val="single"/>
          </w:rPr>
          <w:t>c</w:t>
        </w:r>
        <w:r w:rsidRPr="00660160">
          <w:rPr>
            <w:color w:val="0000FF"/>
            <w:u w:val="single"/>
          </w:rPr>
          <w:t>umento 4</w:t>
        </w:r>
      </w:hyperlink>
      <w:r w:rsidRPr="00660160">
        <w:t>), así como el Informe del Presidente de la Comisión de Estudio (CE)</w:t>
      </w:r>
      <w:r w:rsidR="0017322A">
        <w:t> </w:t>
      </w:r>
      <w:r w:rsidRPr="00660160">
        <w:t>4 a la AR-23 (</w:t>
      </w:r>
      <w:r w:rsidR="00A42C84" w:rsidRPr="00660160">
        <w:t xml:space="preserve">véase el </w:t>
      </w:r>
      <w:hyperlink r:id="rId15">
        <w:r w:rsidRPr="00660160">
          <w:t xml:space="preserve">Documento </w:t>
        </w:r>
        <w:r w:rsidRPr="00660160">
          <w:rPr>
            <w:color w:val="0000FF"/>
            <w:u w:val="single"/>
          </w:rPr>
          <w:t>4/10</w:t>
        </w:r>
        <w:r w:rsidRPr="00660160">
          <w:rPr>
            <w:color w:val="0000FF"/>
            <w:u w:val="single"/>
          </w:rPr>
          <w:t>0</w:t>
        </w:r>
        <w:r w:rsidRPr="00660160">
          <w:rPr>
            <w:color w:val="0000FF"/>
            <w:u w:val="single"/>
          </w:rPr>
          <w:t>1</w:t>
        </w:r>
      </w:hyperlink>
      <w:r w:rsidRPr="00660160">
        <w:t>). E</w:t>
      </w:r>
      <w:r w:rsidR="00A42C84" w:rsidRPr="00660160">
        <w:t>n su</w:t>
      </w:r>
      <w:r w:rsidRPr="00660160">
        <w:t xml:space="preserve"> Informe</w:t>
      </w:r>
      <w:r w:rsidR="00A42C84" w:rsidRPr="00660160">
        <w:t>,</w:t>
      </w:r>
      <w:r w:rsidRPr="00660160">
        <w:t xml:space="preserve"> el Presidente de la CE 4 señala que se están logrando avances positivos en </w:t>
      </w:r>
      <w:r w:rsidR="00A42C84" w:rsidRPr="00660160">
        <w:t>ámbitos</w:t>
      </w:r>
      <w:r w:rsidRPr="00660160">
        <w:t xml:space="preserve"> relacionad</w:t>
      </w:r>
      <w:r w:rsidR="00A42C84" w:rsidRPr="00660160">
        <w:t>o</w:t>
      </w:r>
      <w:r w:rsidRPr="00660160">
        <w:t>s con la necesidad de que los sistemas de satélites no geoestacionarios (no OSG) se ajusten a las normas</w:t>
      </w:r>
      <w:r w:rsidR="00A42C84" w:rsidRPr="00660160">
        <w:t xml:space="preserve"> establecidas a fin d</w:t>
      </w:r>
      <w:r w:rsidRPr="00660160">
        <w:t>e protege</w:t>
      </w:r>
      <w:r w:rsidR="00A42C84" w:rsidRPr="00660160">
        <w:t>r</w:t>
      </w:r>
      <w:r w:rsidRPr="00660160">
        <w:t xml:space="preserve"> los sistemas </w:t>
      </w:r>
      <w:r w:rsidR="00A42C84" w:rsidRPr="00660160">
        <w:t xml:space="preserve">del servicio fijo por satélite </w:t>
      </w:r>
      <w:r w:rsidR="008E40F0" w:rsidRPr="00660160">
        <w:t>conforme a</w:t>
      </w:r>
      <w:r w:rsidRPr="00660160">
        <w:t xml:space="preserve"> los límites de interferencia </w:t>
      </w:r>
      <w:r w:rsidR="008E40F0" w:rsidRPr="00660160">
        <w:t>que figuran</w:t>
      </w:r>
      <w:r w:rsidRPr="00660160">
        <w:t xml:space="preserve"> en el </w:t>
      </w:r>
      <w:r w:rsidR="008E40F0" w:rsidRPr="00660160">
        <w:t xml:space="preserve">Artículo </w:t>
      </w:r>
      <w:r w:rsidRPr="00660160">
        <w:rPr>
          <w:b/>
        </w:rPr>
        <w:t xml:space="preserve">22 </w:t>
      </w:r>
      <w:r w:rsidRPr="00660160">
        <w:t xml:space="preserve">del RR. </w:t>
      </w:r>
      <w:r w:rsidR="004A20B0">
        <w:t>T</w:t>
      </w:r>
      <w:r w:rsidR="002E596B" w:rsidRPr="00660160">
        <w:t>ambién se informa de los trabajos de revisión</w:t>
      </w:r>
      <w:r w:rsidRPr="00660160">
        <w:t xml:space="preserve"> de las Recomendaciones UIT-R S.1503-4</w:t>
      </w:r>
      <w:r w:rsidR="008E40F0" w:rsidRPr="00660160">
        <w:t xml:space="preserve">, </w:t>
      </w:r>
      <w:r w:rsidR="008E40F0" w:rsidRPr="00660160">
        <w:rPr>
          <w:i/>
          <w:iCs/>
        </w:rPr>
        <w:t xml:space="preserve">Descripción funcional que ha de utilizarse en el desarrollo de herramientas informáticas para determinar la conformidad de sistemas o redes de satélites no geoestacionarios del servicio fijo por satélite con los límites contenidos en el Artículo </w:t>
      </w:r>
      <w:r w:rsidR="008E40F0" w:rsidRPr="00660160">
        <w:rPr>
          <w:b/>
          <w:bCs/>
          <w:i/>
          <w:iCs/>
        </w:rPr>
        <w:t>22</w:t>
      </w:r>
      <w:r w:rsidR="008E40F0" w:rsidRPr="00660160">
        <w:rPr>
          <w:i/>
          <w:iCs/>
        </w:rPr>
        <w:t xml:space="preserve"> del Reglamento de Radiocomunicaciones</w:t>
      </w:r>
      <w:r w:rsidR="008E40F0" w:rsidRPr="00660160">
        <w:t>,</w:t>
      </w:r>
      <w:r w:rsidRPr="00660160">
        <w:t xml:space="preserve"> y UIT-R S.1714-1</w:t>
      </w:r>
      <w:r w:rsidR="002E596B" w:rsidRPr="00660160">
        <w:t xml:space="preserve">, </w:t>
      </w:r>
      <w:r w:rsidR="002E596B" w:rsidRPr="00660160">
        <w:rPr>
          <w:i/>
          <w:iCs/>
        </w:rPr>
        <w:t>Metodología estática para calcular la dfpe↓ a fin de facilitar la coordinación de antenas de gran tamaño en virtud de los números 9.</w:t>
      </w:r>
      <w:r w:rsidR="002E596B" w:rsidRPr="00660160">
        <w:rPr>
          <w:b/>
          <w:bCs/>
          <w:i/>
          <w:iCs/>
        </w:rPr>
        <w:t>7A</w:t>
      </w:r>
      <w:r w:rsidR="002E596B" w:rsidRPr="00660160">
        <w:rPr>
          <w:i/>
          <w:iCs/>
        </w:rPr>
        <w:t xml:space="preserve"> y </w:t>
      </w:r>
      <w:r w:rsidR="002E596B" w:rsidRPr="00660160">
        <w:rPr>
          <w:b/>
          <w:bCs/>
          <w:i/>
          <w:iCs/>
        </w:rPr>
        <w:t>9.7B</w:t>
      </w:r>
      <w:r w:rsidR="002E596B" w:rsidRPr="00660160">
        <w:rPr>
          <w:i/>
          <w:iCs/>
        </w:rPr>
        <w:t xml:space="preserve"> del Reglamento de Radiocomunicaciones</w:t>
      </w:r>
      <w:r w:rsidR="002E596B" w:rsidRPr="00660160">
        <w:t>.</w:t>
      </w:r>
    </w:p>
    <w:p w14:paraId="1BD7A3D0" w14:textId="0F0215A9" w:rsidR="001B357B" w:rsidRPr="00660160" w:rsidRDefault="00D40134" w:rsidP="001B357B">
      <w:r w:rsidRPr="00660160">
        <w:t>La revisión de estas dos Recomendaciones a la que se alude en e</w:t>
      </w:r>
      <w:r w:rsidR="001B357B" w:rsidRPr="00660160">
        <w:t xml:space="preserve">l informe del </w:t>
      </w:r>
      <w:r w:rsidRPr="00660160">
        <w:t xml:space="preserve">Director </w:t>
      </w:r>
      <w:r w:rsidR="001B357B" w:rsidRPr="00660160">
        <w:t>de la BR a la CMR-23 es muy importante porque:</w:t>
      </w:r>
    </w:p>
    <w:p w14:paraId="3AB41C7C" w14:textId="17FE5DB6" w:rsidR="001B357B" w:rsidRPr="00660160" w:rsidRDefault="001B357B" w:rsidP="001B357B">
      <w:pPr>
        <w:pStyle w:val="enumlev1"/>
      </w:pPr>
      <w:r w:rsidRPr="00660160">
        <w:t>a)</w:t>
      </w:r>
      <w:r w:rsidRPr="00660160">
        <w:tab/>
        <w:t xml:space="preserve">se ha constatado la necesidad de mejorar las metodologías (no los </w:t>
      </w:r>
      <w:r w:rsidR="00D40134" w:rsidRPr="00660160">
        <w:t xml:space="preserve">Artículos </w:t>
      </w:r>
      <w:r w:rsidRPr="00660160">
        <w:t xml:space="preserve">del Reglamento de Radiocomunicaciones (RR) utilizados como base de la certidumbre </w:t>
      </w:r>
      <w:r w:rsidR="00D40134" w:rsidRPr="00660160">
        <w:t>a efectos de</w:t>
      </w:r>
      <w:r w:rsidRPr="00660160">
        <w:t xml:space="preserve"> la compartición y</w:t>
      </w:r>
      <w:r w:rsidR="00D40134" w:rsidRPr="00660160">
        <w:t xml:space="preserve"> la</w:t>
      </w:r>
      <w:r w:rsidRPr="00660160">
        <w:t xml:space="preserve"> coordinación </w:t>
      </w:r>
      <w:r w:rsidR="00D40134" w:rsidRPr="00660160">
        <w:t>a escala mundial</w:t>
      </w:r>
      <w:r w:rsidRPr="00660160">
        <w:t xml:space="preserve">) para evaluar la conformidad de los sistemas no OSG con los límites de </w:t>
      </w:r>
      <w:r w:rsidR="00D40134" w:rsidRPr="00660160">
        <w:t>dfpe</w:t>
      </w:r>
      <w:r w:rsidRPr="00660160">
        <w:t>;</w:t>
      </w:r>
    </w:p>
    <w:p w14:paraId="2AB5842F" w14:textId="2560CBE5" w:rsidR="001B357B" w:rsidRPr="00660160" w:rsidRDefault="001B357B" w:rsidP="001B357B">
      <w:pPr>
        <w:pStyle w:val="enumlev1"/>
      </w:pPr>
      <w:r w:rsidRPr="00660160">
        <w:t>b)</w:t>
      </w:r>
      <w:r w:rsidRPr="00660160">
        <w:tab/>
        <w:t xml:space="preserve">la necesidad de mejorar dichas metodologías de evaluación surge del </w:t>
      </w:r>
      <w:r w:rsidR="00D40134" w:rsidRPr="00660160">
        <w:t xml:space="preserve">actual </w:t>
      </w:r>
      <w:r w:rsidRPr="00660160">
        <w:t>despliegue sin precedentes</w:t>
      </w:r>
      <w:r w:rsidR="00D40134" w:rsidRPr="00660160">
        <w:t xml:space="preserve"> ni</w:t>
      </w:r>
      <w:r w:rsidRPr="00660160">
        <w:t xml:space="preserve"> restricciones de sistemas no OSG </w:t>
      </w:r>
      <w:r w:rsidR="00D40134" w:rsidRPr="00660160">
        <w:t>de gran tamaño, también conocidos como</w:t>
      </w:r>
      <w:r w:rsidRPr="00660160">
        <w:t xml:space="preserve"> megaconstelaciones en órbita terrestre baja (LEO); y</w:t>
      </w:r>
    </w:p>
    <w:p w14:paraId="109CCF53" w14:textId="06E42E51" w:rsidR="001B357B" w:rsidRPr="00660160" w:rsidRDefault="001B357B" w:rsidP="001B357B">
      <w:pPr>
        <w:pStyle w:val="enumlev1"/>
      </w:pPr>
      <w:r w:rsidRPr="00660160">
        <w:t>c)</w:t>
      </w:r>
      <w:r w:rsidRPr="00660160">
        <w:tab/>
      </w:r>
      <w:r w:rsidR="00D40134" w:rsidRPr="00660160">
        <w:t>este</w:t>
      </w:r>
      <w:r w:rsidRPr="00660160">
        <w:t xml:space="preserve"> despliegue sin precedentes </w:t>
      </w:r>
      <w:r w:rsidR="00D40134" w:rsidRPr="00660160">
        <w:t xml:space="preserve">ni restricciones </w:t>
      </w:r>
      <w:r w:rsidRPr="00660160">
        <w:t xml:space="preserve">de sistemas no OSG </w:t>
      </w:r>
      <w:r w:rsidR="00D40134" w:rsidRPr="00660160">
        <w:t xml:space="preserve">de gran tamaño </w:t>
      </w:r>
      <w:r w:rsidR="00BE13A8" w:rsidRPr="00660160">
        <w:t>va ligado a</w:t>
      </w:r>
      <w:r w:rsidR="00D40134" w:rsidRPr="00660160">
        <w:t xml:space="preserve"> u</w:t>
      </w:r>
      <w:r w:rsidRPr="00660160">
        <w:t>n</w:t>
      </w:r>
      <w:r w:rsidR="00D40134" w:rsidRPr="00660160">
        <w:t xml:space="preserve"> rápido</w:t>
      </w:r>
      <w:r w:rsidRPr="00660160">
        <w:t xml:space="preserve"> consumo</w:t>
      </w:r>
      <w:r w:rsidR="00D40134" w:rsidRPr="00660160">
        <w:t xml:space="preserve"> de</w:t>
      </w:r>
      <w:r w:rsidRPr="00660160">
        <w:t xml:space="preserve"> los recursos espectrales</w:t>
      </w:r>
      <w:r w:rsidR="00BE13A8" w:rsidRPr="00660160">
        <w:t>,</w:t>
      </w:r>
      <w:r w:rsidRPr="00660160">
        <w:t xml:space="preserve"> compartidos y limitados, lo que</w:t>
      </w:r>
      <w:r w:rsidR="00BE13A8" w:rsidRPr="00660160">
        <w:t xml:space="preserve"> a su vez conlleva un declive</w:t>
      </w:r>
      <w:r w:rsidRPr="00660160">
        <w:t xml:space="preserve"> del entorno de interferencia aceptable para otros sistemas críticos que comparten </w:t>
      </w:r>
      <w:r w:rsidR="00BE13A8" w:rsidRPr="00660160">
        <w:t>esos</w:t>
      </w:r>
      <w:r w:rsidRPr="00660160">
        <w:t xml:space="preserve"> recurso</w:t>
      </w:r>
      <w:r w:rsidR="00BE13A8" w:rsidRPr="00660160">
        <w:t>s</w:t>
      </w:r>
      <w:r w:rsidRPr="00660160">
        <w:t xml:space="preserve">, incluidos </w:t>
      </w:r>
      <w:r w:rsidR="00BE13A8" w:rsidRPr="00660160">
        <w:t xml:space="preserve">los sistemas </w:t>
      </w:r>
      <w:r w:rsidR="004A20B0">
        <w:t>OSG</w:t>
      </w:r>
      <w:r w:rsidR="00BE13A8" w:rsidRPr="00660160">
        <w:t xml:space="preserve"> del </w:t>
      </w:r>
      <w:r w:rsidRPr="00660160">
        <w:t xml:space="preserve">servicio fijo por satélite (SFS) y </w:t>
      </w:r>
      <w:r w:rsidR="004A20B0">
        <w:t>d</w:t>
      </w:r>
      <w:r w:rsidRPr="00660160">
        <w:t>el servicio de radiodifusión por satélite (SRS)</w:t>
      </w:r>
      <w:r w:rsidR="00BE13A8" w:rsidRPr="00660160">
        <w:t>.</w:t>
      </w:r>
    </w:p>
    <w:p w14:paraId="6ACA6B3B" w14:textId="3B2ED5D0" w:rsidR="001B357B" w:rsidRPr="00660160" w:rsidRDefault="001B357B" w:rsidP="00BE13A8">
      <w:r w:rsidRPr="00660160">
        <w:t>A pesar de los progresos en curso en</w:t>
      </w:r>
      <w:r w:rsidR="00BE13A8" w:rsidRPr="00660160">
        <w:t xml:space="preserve"> lo que atañe a</w:t>
      </w:r>
      <w:r w:rsidRPr="00660160">
        <w:t xml:space="preserve"> la revisión de las Recomendaciones UIT-R pertinentes, el trabajo sobre la Recomendación UIT-R S.1503-4 </w:t>
      </w:r>
      <w:r w:rsidR="00BE13A8" w:rsidRPr="00660160">
        <w:t>prosigue</w:t>
      </w:r>
      <w:r w:rsidRPr="00660160">
        <w:t>, según se</w:t>
      </w:r>
      <w:r w:rsidR="00BE13A8" w:rsidRPr="00660160">
        <w:t xml:space="preserve"> consider</w:t>
      </w:r>
      <w:r w:rsidR="004A20B0">
        <w:t>a</w:t>
      </w:r>
      <w:r w:rsidRPr="00660160">
        <w:t xml:space="preserve"> necesario, en el Grupo de Trabajo (GT) 4A del UIT-R. Esto también apunta a la necesidad de aplicar adecuadamente la Resolución </w:t>
      </w:r>
      <w:r w:rsidRPr="00660160">
        <w:rPr>
          <w:b/>
        </w:rPr>
        <w:t xml:space="preserve">85 </w:t>
      </w:r>
      <w:r w:rsidRPr="00660160">
        <w:rPr>
          <w:b/>
          <w:bCs/>
        </w:rPr>
        <w:t>(CMR-03)</w:t>
      </w:r>
      <w:r w:rsidR="00BE13A8" w:rsidRPr="00660160">
        <w:t>, en virtud de la cual se encarga a</w:t>
      </w:r>
      <w:r w:rsidRPr="00660160">
        <w:t xml:space="preserve"> la BR </w:t>
      </w:r>
      <w:r w:rsidR="00BE13A8" w:rsidRPr="00660160">
        <w:t xml:space="preserve">que examine sus conclusiones formuladas conforme </w:t>
      </w:r>
      <w:r w:rsidR="00BE13A8" w:rsidRPr="00660160">
        <w:rPr>
          <w:bCs/>
        </w:rPr>
        <w:t xml:space="preserve">a </w:t>
      </w:r>
      <w:r w:rsidR="00BE13A8" w:rsidRPr="00660160">
        <w:t>los números </w:t>
      </w:r>
      <w:r w:rsidR="00BE13A8" w:rsidRPr="00660160">
        <w:rPr>
          <w:b/>
        </w:rPr>
        <w:t>9.35</w:t>
      </w:r>
      <w:r w:rsidR="00BE13A8" w:rsidRPr="00660160">
        <w:t xml:space="preserve"> y </w:t>
      </w:r>
      <w:r w:rsidR="00BE13A8" w:rsidRPr="00660160">
        <w:rPr>
          <w:b/>
        </w:rPr>
        <w:t>11.31</w:t>
      </w:r>
      <w:r w:rsidRPr="00660160">
        <w:rPr>
          <w:b/>
        </w:rPr>
        <w:t xml:space="preserve"> </w:t>
      </w:r>
      <w:r w:rsidRPr="00660160">
        <w:t>del RR</w:t>
      </w:r>
      <w:r w:rsidRPr="00660160">
        <w:rPr>
          <w:bCs/>
        </w:rPr>
        <w:t xml:space="preserve">. </w:t>
      </w:r>
      <w:r w:rsidR="00BE13A8" w:rsidRPr="00660160">
        <w:rPr>
          <w:bCs/>
        </w:rPr>
        <w:t xml:space="preserve">Lo anterior se aplica </w:t>
      </w:r>
      <w:r w:rsidRPr="00660160">
        <w:t>a las asignaciones de frecuencia</w:t>
      </w:r>
      <w:r w:rsidR="00BE13A8" w:rsidRPr="00660160">
        <w:t>s</w:t>
      </w:r>
      <w:r w:rsidRPr="00660160">
        <w:t xml:space="preserve"> a sistemas </w:t>
      </w:r>
      <w:r w:rsidR="00BE13A8" w:rsidRPr="00660160">
        <w:t>no OSG del SFS</w:t>
      </w:r>
      <w:r w:rsidR="004A20B0">
        <w:t>,</w:t>
      </w:r>
      <w:r w:rsidR="00BE13A8" w:rsidRPr="00660160">
        <w:t xml:space="preserve"> a fin de garantizar su conformidad con los límites de dfpe para interferencia</w:t>
      </w:r>
      <w:r w:rsidR="00604C87" w:rsidRPr="00660160">
        <w:t>s</w:t>
      </w:r>
      <w:r w:rsidR="00BE13A8" w:rsidRPr="00660160">
        <w:t xml:space="preserve"> de una sola fuente que figuran en los Cuadros </w:t>
      </w:r>
      <w:r w:rsidRPr="00660160">
        <w:rPr>
          <w:b/>
        </w:rPr>
        <w:t>22-1A</w:t>
      </w:r>
      <w:r w:rsidRPr="00660160">
        <w:t xml:space="preserve">, </w:t>
      </w:r>
      <w:r w:rsidRPr="00660160">
        <w:rPr>
          <w:b/>
        </w:rPr>
        <w:t>22-1B</w:t>
      </w:r>
      <w:r w:rsidRPr="00660160">
        <w:t xml:space="preserve">, </w:t>
      </w:r>
      <w:r w:rsidRPr="00660160">
        <w:rPr>
          <w:b/>
        </w:rPr>
        <w:t>22-1C</w:t>
      </w:r>
      <w:r w:rsidRPr="00660160">
        <w:t xml:space="preserve">, </w:t>
      </w:r>
      <w:r w:rsidRPr="00660160">
        <w:rPr>
          <w:b/>
        </w:rPr>
        <w:t>22-1D</w:t>
      </w:r>
      <w:r w:rsidRPr="00660160">
        <w:t xml:space="preserve">, </w:t>
      </w:r>
      <w:r w:rsidRPr="00660160">
        <w:rPr>
          <w:b/>
        </w:rPr>
        <w:t>22-1E</w:t>
      </w:r>
      <w:r w:rsidRPr="00660160">
        <w:t xml:space="preserve">, </w:t>
      </w:r>
      <w:r w:rsidRPr="00660160">
        <w:rPr>
          <w:b/>
        </w:rPr>
        <w:t xml:space="preserve">22-2 </w:t>
      </w:r>
      <w:r w:rsidRPr="00660160">
        <w:t xml:space="preserve">y </w:t>
      </w:r>
      <w:r w:rsidRPr="00660160">
        <w:rPr>
          <w:b/>
        </w:rPr>
        <w:t xml:space="preserve">22-3 </w:t>
      </w:r>
      <w:r w:rsidRPr="00660160">
        <w:t xml:space="preserve">del </w:t>
      </w:r>
      <w:r w:rsidR="00BE13A8" w:rsidRPr="00660160">
        <w:t xml:space="preserve">Artículo </w:t>
      </w:r>
      <w:r w:rsidRPr="00660160">
        <w:rPr>
          <w:b/>
        </w:rPr>
        <w:t xml:space="preserve">22 </w:t>
      </w:r>
      <w:r w:rsidRPr="00660160">
        <w:t xml:space="preserve">del RR. La Resolución </w:t>
      </w:r>
      <w:r w:rsidRPr="00660160">
        <w:rPr>
          <w:b/>
        </w:rPr>
        <w:t xml:space="preserve">85 </w:t>
      </w:r>
      <w:r w:rsidRPr="00660160">
        <w:rPr>
          <w:b/>
          <w:bCs/>
        </w:rPr>
        <w:t xml:space="preserve">(CMR-03) </w:t>
      </w:r>
      <w:r w:rsidRPr="00660160">
        <w:t xml:space="preserve">se elaboró antes de que </w:t>
      </w:r>
      <w:r w:rsidR="00BE13A8" w:rsidRPr="00660160">
        <w:t>la Oficina</w:t>
      </w:r>
      <w:r w:rsidRPr="00660160">
        <w:t xml:space="preserve"> dispusiera de un software de </w:t>
      </w:r>
      <w:r w:rsidR="00BE13A8" w:rsidRPr="00660160">
        <w:t>validación</w:t>
      </w:r>
      <w:r w:rsidRPr="00660160">
        <w:t xml:space="preserve">, por lo que ahora se abre la posibilidad de una aplicación incorrecta de </w:t>
      </w:r>
      <w:r w:rsidR="00E90E08" w:rsidRPr="00660160">
        <w:t>dicha</w:t>
      </w:r>
      <w:r w:rsidRPr="00660160">
        <w:t xml:space="preserve"> Resolución. Dado que</w:t>
      </w:r>
      <w:r w:rsidR="00E90E08" w:rsidRPr="00660160">
        <w:t>,</w:t>
      </w:r>
      <w:r w:rsidRPr="00660160">
        <w:t xml:space="preserve"> en la actualidad</w:t>
      </w:r>
      <w:r w:rsidR="00E90E08" w:rsidRPr="00660160">
        <w:t>, la Oficina</w:t>
      </w:r>
      <w:r w:rsidRPr="00660160">
        <w:t xml:space="preserve"> dispone de un software </w:t>
      </w:r>
      <w:r w:rsidR="00E90E08" w:rsidRPr="00660160">
        <w:t xml:space="preserve">que le permite evaluar </w:t>
      </w:r>
      <w:r w:rsidRPr="00660160">
        <w:t xml:space="preserve">los límites de dfpe, la Resolución </w:t>
      </w:r>
      <w:r w:rsidRPr="00660160">
        <w:rPr>
          <w:b/>
        </w:rPr>
        <w:t>85 (CMR-03</w:t>
      </w:r>
      <w:r w:rsidRPr="00660160">
        <w:rPr>
          <w:b/>
          <w:bCs/>
        </w:rPr>
        <w:t xml:space="preserve">) </w:t>
      </w:r>
      <w:r w:rsidRPr="00660160">
        <w:t xml:space="preserve">debería suprimirse o modificarse para su uso únicamente en caso </w:t>
      </w:r>
      <w:r w:rsidR="00E90E08" w:rsidRPr="00660160">
        <w:t>de</w:t>
      </w:r>
      <w:r w:rsidRPr="00660160">
        <w:t xml:space="preserve"> que </w:t>
      </w:r>
      <w:r w:rsidRPr="00660160">
        <w:lastRenderedPageBreak/>
        <w:t>se adopt</w:t>
      </w:r>
      <w:r w:rsidR="004A20B0">
        <w:t>e</w:t>
      </w:r>
      <w:r w:rsidRPr="00660160">
        <w:t xml:space="preserve"> una nueva versión de la Recomendación UIT-R S.1503-4 pero </w:t>
      </w:r>
      <w:r w:rsidR="004A20B0">
        <w:t>que esta</w:t>
      </w:r>
      <w:r w:rsidR="00E90E08" w:rsidRPr="00660160">
        <w:t xml:space="preserve"> </w:t>
      </w:r>
      <w:r w:rsidRPr="00660160">
        <w:t>aún no se haya implementado en el software de la UIT.</w:t>
      </w:r>
    </w:p>
    <w:p w14:paraId="7280AC98" w14:textId="13395FDB" w:rsidR="001B357B" w:rsidRPr="00660160" w:rsidRDefault="00E90E08" w:rsidP="001B357B">
      <w:r w:rsidRPr="00660160">
        <w:t>Por otro lado</w:t>
      </w:r>
      <w:r w:rsidR="001B357B" w:rsidRPr="00660160">
        <w:t xml:space="preserve">, están los límites de </w:t>
      </w:r>
      <w:r w:rsidRPr="00660160">
        <w:t>dfpe para interferencia</w:t>
      </w:r>
      <w:r w:rsidR="00604C87" w:rsidRPr="00660160">
        <w:t>s</w:t>
      </w:r>
      <w:r w:rsidRPr="00660160">
        <w:t xml:space="preserve"> de una sola fuente </w:t>
      </w:r>
      <w:r w:rsidR="001B357B" w:rsidRPr="00660160">
        <w:t xml:space="preserve">establecidos en el </w:t>
      </w:r>
      <w:r w:rsidRPr="00660160">
        <w:t xml:space="preserve">Artículo </w:t>
      </w:r>
      <w:r w:rsidR="001B357B" w:rsidRPr="00660160">
        <w:rPr>
          <w:b/>
        </w:rPr>
        <w:t xml:space="preserve">22 </w:t>
      </w:r>
      <w:r w:rsidR="001B357B" w:rsidRPr="00660160">
        <w:t xml:space="preserve">del RR, </w:t>
      </w:r>
      <w:r w:rsidRPr="00660160">
        <w:t>así como</w:t>
      </w:r>
      <w:r w:rsidR="001B357B" w:rsidRPr="00660160">
        <w:t xml:space="preserve"> la Resolución </w:t>
      </w:r>
      <w:r w:rsidR="001B357B" w:rsidRPr="00660160">
        <w:rPr>
          <w:b/>
        </w:rPr>
        <w:t xml:space="preserve">76 </w:t>
      </w:r>
      <w:r w:rsidR="001B357B" w:rsidRPr="00660160">
        <w:rPr>
          <w:b/>
          <w:bCs/>
        </w:rPr>
        <w:t>(Rev.CMR-15)</w:t>
      </w:r>
      <w:r w:rsidRPr="00660160">
        <w:t>,</w:t>
      </w:r>
      <w:r w:rsidR="001B357B" w:rsidRPr="00660160">
        <w:rPr>
          <w:b/>
          <w:bCs/>
        </w:rPr>
        <w:t xml:space="preserve"> </w:t>
      </w:r>
      <w:r w:rsidR="001B357B" w:rsidRPr="00660160">
        <w:t xml:space="preserve">que especifica </w:t>
      </w:r>
      <w:r w:rsidRPr="00660160">
        <w:t>los límites de dfpe combinada de obligatorio cumplimiento</w:t>
      </w:r>
      <w:r w:rsidR="001B357B" w:rsidRPr="00660160">
        <w:t>. Todos estos proces</w:t>
      </w:r>
      <w:r w:rsidR="004A20B0">
        <w:t>o</w:t>
      </w:r>
      <w:r w:rsidR="001B357B" w:rsidRPr="00660160">
        <w:t>s están vinculados a la revisión continua de la Recomendación UIT-R S.1503-4.</w:t>
      </w:r>
    </w:p>
    <w:p w14:paraId="4D6A2E4A" w14:textId="37041A10" w:rsidR="001B357B" w:rsidRPr="00660160" w:rsidRDefault="001B357B" w:rsidP="001B357B">
      <w:r w:rsidRPr="00660160">
        <w:t xml:space="preserve">El requisito de que la BR </w:t>
      </w:r>
      <w:r w:rsidR="00E90E08" w:rsidRPr="00660160">
        <w:t xml:space="preserve">examine las conclusiones formuladas conforme </w:t>
      </w:r>
      <w:r w:rsidR="00E90E08" w:rsidRPr="00660160">
        <w:rPr>
          <w:bCs/>
        </w:rPr>
        <w:t xml:space="preserve">a </w:t>
      </w:r>
      <w:r w:rsidR="00E90E08" w:rsidRPr="00660160">
        <w:t>los números </w:t>
      </w:r>
      <w:r w:rsidR="00E90E08" w:rsidRPr="00660160">
        <w:rPr>
          <w:b/>
        </w:rPr>
        <w:t>9.35</w:t>
      </w:r>
      <w:r w:rsidR="00E90E08" w:rsidRPr="00660160">
        <w:t xml:space="preserve"> y </w:t>
      </w:r>
      <w:r w:rsidR="00E90E08" w:rsidRPr="00660160">
        <w:rPr>
          <w:b/>
        </w:rPr>
        <w:t xml:space="preserve">11.31 </w:t>
      </w:r>
      <w:r w:rsidR="00E90E08" w:rsidRPr="00660160">
        <w:t>del RR</w:t>
      </w:r>
      <w:r w:rsidRPr="00660160">
        <w:t xml:space="preserve">, y el reto que supone la aplicación de la Resolución </w:t>
      </w:r>
      <w:r w:rsidRPr="00660160">
        <w:rPr>
          <w:b/>
        </w:rPr>
        <w:t xml:space="preserve">76 </w:t>
      </w:r>
      <w:r w:rsidRPr="00660160">
        <w:rPr>
          <w:b/>
          <w:bCs/>
        </w:rPr>
        <w:t xml:space="preserve">(Rev.CMR-15) </w:t>
      </w:r>
      <w:r w:rsidRPr="00660160">
        <w:t xml:space="preserve">debido a la presentación de múltiples </w:t>
      </w:r>
      <w:r w:rsidR="00E90E08" w:rsidRPr="00660160">
        <w:t>notificaciones</w:t>
      </w:r>
      <w:r w:rsidRPr="00660160">
        <w:t xml:space="preserve"> para </w:t>
      </w:r>
      <w:r w:rsidR="0088665D" w:rsidRPr="00660160">
        <w:t>l</w:t>
      </w:r>
      <w:r w:rsidR="0088665D">
        <w:t>o</w:t>
      </w:r>
      <w:r w:rsidR="0088665D" w:rsidRPr="00660160">
        <w:t>s mism</w:t>
      </w:r>
      <w:r w:rsidR="0088665D">
        <w:t>o</w:t>
      </w:r>
      <w:r w:rsidR="0088665D" w:rsidRPr="00660160">
        <w:t xml:space="preserve">s </w:t>
      </w:r>
      <w:r w:rsidR="0088665D">
        <w:t>sistemas</w:t>
      </w:r>
      <w:r w:rsidRPr="00660160">
        <w:t xml:space="preserve"> no OSG </w:t>
      </w:r>
      <w:r w:rsidR="00E90E08" w:rsidRPr="00660160">
        <w:t>por distintas</w:t>
      </w:r>
      <w:r w:rsidRPr="00660160">
        <w:t xml:space="preserve"> administraciones, merece</w:t>
      </w:r>
      <w:r w:rsidR="004A20B0">
        <w:t>n</w:t>
      </w:r>
      <w:r w:rsidRPr="00660160">
        <w:t xml:space="preserve"> un</w:t>
      </w:r>
      <w:r w:rsidR="00E90E08" w:rsidRPr="00660160">
        <w:t xml:space="preserve"> examen pormenorizado, pues todo ello </w:t>
      </w:r>
      <w:r w:rsidRPr="00660160">
        <w:t>repercute en la evaluación de las interferencias de los sistemas no OSG.</w:t>
      </w:r>
    </w:p>
    <w:p w14:paraId="7D7EBC73" w14:textId="4B48A94A" w:rsidR="001B357B" w:rsidRPr="00660160" w:rsidRDefault="001B357B" w:rsidP="001B357B">
      <w:r w:rsidRPr="00660160">
        <w:t xml:space="preserve">Por </w:t>
      </w:r>
      <w:r w:rsidR="00E90E08" w:rsidRPr="00660160">
        <w:t>consiguiente</w:t>
      </w:r>
      <w:r w:rsidRPr="00660160">
        <w:t xml:space="preserve">, </w:t>
      </w:r>
      <w:r w:rsidR="00B42077" w:rsidRPr="00660160">
        <w:t>consideramos</w:t>
      </w:r>
      <w:r w:rsidRPr="00660160">
        <w:t xml:space="preserve"> que, a</w:t>
      </w:r>
      <w:r w:rsidR="00B42077" w:rsidRPr="00660160">
        <w:t xml:space="preserve"> fin de</w:t>
      </w:r>
      <w:r w:rsidRPr="00660160">
        <w:t xml:space="preserve"> abordar </w:t>
      </w:r>
      <w:r w:rsidR="004A20B0">
        <w:t>de forma eficaz</w:t>
      </w:r>
      <w:r w:rsidRPr="00660160">
        <w:t xml:space="preserve"> las necesidades actuales </w:t>
      </w:r>
      <w:r w:rsidR="00B42077" w:rsidRPr="00660160">
        <w:t xml:space="preserve">en materia </w:t>
      </w:r>
      <w:r w:rsidRPr="00660160">
        <w:t>de evaluación de las interferencias no OSG, no se pueden ignorar l</w:t>
      </w:r>
      <w:r w:rsidR="00B42077" w:rsidRPr="00660160">
        <w:t>o</w:t>
      </w:r>
      <w:r w:rsidRPr="00660160">
        <w:t>s complej</w:t>
      </w:r>
      <w:r w:rsidR="00B42077" w:rsidRPr="00660160">
        <w:t>o</w:t>
      </w:r>
      <w:r w:rsidRPr="00660160">
        <w:t>s</w:t>
      </w:r>
      <w:r w:rsidR="00B42077" w:rsidRPr="00660160">
        <w:t xml:space="preserve"> factores</w:t>
      </w:r>
      <w:r w:rsidRPr="00660160">
        <w:t xml:space="preserve"> mencionad</w:t>
      </w:r>
      <w:r w:rsidR="00B42077" w:rsidRPr="00660160">
        <w:t>o</w:t>
      </w:r>
      <w:r w:rsidRPr="00660160">
        <w:t xml:space="preserve">s. </w:t>
      </w:r>
      <w:r w:rsidR="00B42077" w:rsidRPr="00660160">
        <w:t>En cualquier caso</w:t>
      </w:r>
      <w:r w:rsidRPr="00660160">
        <w:t>, el denominador común que permite comprender est</w:t>
      </w:r>
      <w:r w:rsidR="00B42077" w:rsidRPr="00660160">
        <w:t>o</w:t>
      </w:r>
      <w:r w:rsidRPr="00660160">
        <w:t>s</w:t>
      </w:r>
      <w:r w:rsidR="00B42077" w:rsidRPr="00660160">
        <w:t xml:space="preserve"> complejos factores</w:t>
      </w:r>
      <w:r w:rsidRPr="00660160">
        <w:t xml:space="preserve"> (es decir, el </w:t>
      </w:r>
      <w:r w:rsidR="00B42077" w:rsidRPr="00660160">
        <w:t xml:space="preserve">Artículo </w:t>
      </w:r>
      <w:r w:rsidRPr="00660160">
        <w:rPr>
          <w:b/>
        </w:rPr>
        <w:t xml:space="preserve">22 </w:t>
      </w:r>
      <w:r w:rsidRPr="00660160">
        <w:t>del RR) no puede modificarse, ya que han surgido una serie de temas importantes que deben resolverse</w:t>
      </w:r>
      <w:r w:rsidR="00B42077" w:rsidRPr="00660160">
        <w:t>, entre ellos</w:t>
      </w:r>
      <w:r w:rsidRPr="00660160">
        <w:t>:</w:t>
      </w:r>
    </w:p>
    <w:p w14:paraId="02107361" w14:textId="0ECD5938" w:rsidR="001B357B" w:rsidRPr="00660160" w:rsidRDefault="001B357B" w:rsidP="001B357B">
      <w:pPr>
        <w:pStyle w:val="enumlev1"/>
      </w:pPr>
      <w:r w:rsidRPr="00660160">
        <w:t>a)</w:t>
      </w:r>
      <w:r w:rsidRPr="00660160">
        <w:tab/>
        <w:t>las prácticas</w:t>
      </w:r>
      <w:r w:rsidR="005E2D73" w:rsidRPr="00660160">
        <w:t xml:space="preserve"> consistentes en dividir las </w:t>
      </w:r>
      <w:r w:rsidR="004A20B0">
        <w:t>comunicaciones</w:t>
      </w:r>
      <w:r w:rsidR="005E2D73" w:rsidRPr="00660160">
        <w:t xml:space="preserve"> de los sistemas</w:t>
      </w:r>
      <w:r w:rsidRPr="00660160">
        <w:t xml:space="preserve"> no OSG;</w:t>
      </w:r>
    </w:p>
    <w:p w14:paraId="4C26FD6B" w14:textId="7A3E19B7" w:rsidR="001B357B" w:rsidRPr="00660160" w:rsidRDefault="001B357B" w:rsidP="001B357B">
      <w:pPr>
        <w:pStyle w:val="enumlev1"/>
      </w:pPr>
      <w:r w:rsidRPr="00660160">
        <w:t>b)</w:t>
      </w:r>
      <w:r w:rsidRPr="00660160">
        <w:tab/>
        <w:t xml:space="preserve">la mejora de la metodología de evaluación </w:t>
      </w:r>
      <w:r w:rsidR="005E2D73" w:rsidRPr="00660160">
        <w:t>prevista en</w:t>
      </w:r>
      <w:r w:rsidRPr="00660160">
        <w:t xml:space="preserve"> la Recomendación UIT-R S.1503-4 en el marco del GT 4A;</w:t>
      </w:r>
    </w:p>
    <w:p w14:paraId="0ED4E005" w14:textId="397C7F4B" w:rsidR="001B357B" w:rsidRPr="00660160" w:rsidRDefault="001B357B" w:rsidP="001B357B">
      <w:pPr>
        <w:pStyle w:val="enumlev1"/>
      </w:pPr>
      <w:r w:rsidRPr="00660160">
        <w:t>c)</w:t>
      </w:r>
      <w:r w:rsidRPr="00660160">
        <w:tab/>
      </w:r>
      <w:r w:rsidR="005E2D73" w:rsidRPr="00660160">
        <w:t xml:space="preserve">la mejora de </w:t>
      </w:r>
      <w:r w:rsidRPr="00660160">
        <w:t xml:space="preserve">la aplicación de la Resolución </w:t>
      </w:r>
      <w:r w:rsidRPr="00660160">
        <w:rPr>
          <w:b/>
        </w:rPr>
        <w:t xml:space="preserve">76 </w:t>
      </w:r>
      <w:r w:rsidRPr="00660160">
        <w:rPr>
          <w:b/>
          <w:bCs/>
        </w:rPr>
        <w:t>(Rev.CMR-15)</w:t>
      </w:r>
      <w:r w:rsidRPr="00660160">
        <w:t>;</w:t>
      </w:r>
    </w:p>
    <w:p w14:paraId="17A2EABF" w14:textId="54F3A1B2" w:rsidR="001B357B" w:rsidRPr="00660160" w:rsidRDefault="001B357B" w:rsidP="001B357B">
      <w:pPr>
        <w:pStyle w:val="enumlev1"/>
      </w:pPr>
      <w:r w:rsidRPr="00660160">
        <w:t>d)</w:t>
      </w:r>
      <w:r w:rsidRPr="00660160">
        <w:tab/>
        <w:t xml:space="preserve">la supresión o modificación de la Resolución </w:t>
      </w:r>
      <w:r w:rsidRPr="00660160">
        <w:rPr>
          <w:b/>
        </w:rPr>
        <w:t xml:space="preserve">85 </w:t>
      </w:r>
      <w:r w:rsidRPr="00660160">
        <w:rPr>
          <w:b/>
          <w:bCs/>
        </w:rPr>
        <w:t xml:space="preserve">(CMR-03) </w:t>
      </w:r>
      <w:r w:rsidRPr="00660160">
        <w:t>para su adecuada aplicación; y</w:t>
      </w:r>
    </w:p>
    <w:p w14:paraId="60146D70" w14:textId="7F0A61BE" w:rsidR="001B357B" w:rsidRPr="00660160" w:rsidRDefault="001B357B" w:rsidP="001B357B">
      <w:pPr>
        <w:pStyle w:val="enumlev1"/>
      </w:pPr>
      <w:r w:rsidRPr="00660160">
        <w:t>e)</w:t>
      </w:r>
      <w:r w:rsidRPr="00660160">
        <w:tab/>
        <w:t xml:space="preserve">el resultado del </w:t>
      </w:r>
      <w:r w:rsidR="005E2D73" w:rsidRPr="00660160">
        <w:t xml:space="preserve">Tema J del </w:t>
      </w:r>
      <w:r w:rsidRPr="00660160">
        <w:t>punto 7 del orden del día de la CMR-23.</w:t>
      </w:r>
    </w:p>
    <w:p w14:paraId="0AB7498B" w14:textId="47B743A6" w:rsidR="001B357B" w:rsidRPr="00660160" w:rsidRDefault="001B357B" w:rsidP="001B357B">
      <w:r w:rsidRPr="00660160">
        <w:t>A la luz de lo anterior, Indonesia quisiera señalar que</w:t>
      </w:r>
      <w:r w:rsidR="005E2D73" w:rsidRPr="00660160">
        <w:t>,</w:t>
      </w:r>
      <w:r w:rsidRPr="00660160">
        <w:t xml:space="preserve"> en la</w:t>
      </w:r>
      <w:r w:rsidR="005E2D73" w:rsidRPr="00660160">
        <w:t xml:space="preserve"> 5ª reunión del Grupo Preparatorio de la Conferencia de la APT para la CMR-23 (APG23-5), celebrada en Busan, República de Corea</w:t>
      </w:r>
      <w:r w:rsidRPr="00660160">
        <w:t xml:space="preserve"> (20-25 de febrero de 2023)</w:t>
      </w:r>
      <w:r w:rsidR="005E2D73" w:rsidRPr="00660160">
        <w:t>,</w:t>
      </w:r>
      <w:r w:rsidRPr="00660160">
        <w:t xml:space="preserve"> y en la 6</w:t>
      </w:r>
      <w:r w:rsidR="005E2D73" w:rsidRPr="00660160">
        <w:t>ª reunión del mismo grupo (APG23-6), celebrada en</w:t>
      </w:r>
      <w:r w:rsidRPr="00660160">
        <w:t xml:space="preserve"> Brisbane, Australia (14-19 de agosto de 2023)</w:t>
      </w:r>
      <w:r w:rsidR="005E2D73" w:rsidRPr="00660160">
        <w:t>,</w:t>
      </w:r>
      <w:r w:rsidRPr="00660160">
        <w:t xml:space="preserve"> se recibieron</w:t>
      </w:r>
      <w:r w:rsidR="005E2D73" w:rsidRPr="00660160">
        <w:t xml:space="preserve"> diversas contribuciones</w:t>
      </w:r>
      <w:r w:rsidRPr="00660160">
        <w:t xml:space="preserve"> (</w:t>
      </w:r>
      <w:r w:rsidR="00171A70" w:rsidRPr="00660160">
        <w:t xml:space="preserve">véanse los documentos </w:t>
      </w:r>
      <w:hyperlink r:id="rId16">
        <w:r w:rsidRPr="00660160">
          <w:rPr>
            <w:color w:val="0000FF"/>
            <w:u w:val="single"/>
          </w:rPr>
          <w:t>APG23-5/INP-85</w:t>
        </w:r>
      </w:hyperlink>
      <w:r w:rsidRPr="00660160">
        <w:t xml:space="preserve">, </w:t>
      </w:r>
      <w:hyperlink r:id="rId17">
        <w:r w:rsidRPr="00660160">
          <w:rPr>
            <w:color w:val="0000FF"/>
            <w:u w:val="single"/>
          </w:rPr>
          <w:t>APG23-6/1NP-12</w:t>
        </w:r>
      </w:hyperlink>
      <w:r w:rsidR="00171A70" w:rsidRPr="00660160">
        <w:t xml:space="preserve"> y</w:t>
      </w:r>
      <w:r w:rsidRPr="00660160">
        <w:t xml:space="preserve"> </w:t>
      </w:r>
      <w:hyperlink r:id="rId18">
        <w:r w:rsidRPr="00660160">
          <w:rPr>
            <w:color w:val="0000FF"/>
            <w:u w:val="single"/>
          </w:rPr>
          <w:t>125</w:t>
        </w:r>
      </w:hyperlink>
      <w:r w:rsidRPr="00660160">
        <w:t xml:space="preserve">) </w:t>
      </w:r>
      <w:r w:rsidR="005E2D73" w:rsidRPr="00660160">
        <w:t>relativas a</w:t>
      </w:r>
      <w:r w:rsidRPr="00660160">
        <w:t xml:space="preserve">l punto 10 del orden del día de la CMR-23 de cuatro (4) países miembros de la APT. </w:t>
      </w:r>
      <w:r w:rsidR="004A20B0">
        <w:t>En este caso, se proponía</w:t>
      </w:r>
      <w:r w:rsidRPr="00660160">
        <w:t xml:space="preserve"> revisar los límites de dfpe del </w:t>
      </w:r>
      <w:r w:rsidR="005E2D73" w:rsidRPr="00660160">
        <w:t>A</w:t>
      </w:r>
      <w:r w:rsidRPr="00660160">
        <w:t xml:space="preserve">rtículo </w:t>
      </w:r>
      <w:r w:rsidRPr="00660160">
        <w:rPr>
          <w:b/>
          <w:bCs/>
        </w:rPr>
        <w:t xml:space="preserve">22 </w:t>
      </w:r>
      <w:r w:rsidRPr="00660160">
        <w:t xml:space="preserve">del RR. A pesar de los intensos debates mantenidos durante la APG23-5 y la APG23-6, la propuesta no </w:t>
      </w:r>
      <w:r w:rsidR="005B56FA" w:rsidRPr="00660160">
        <w:t xml:space="preserve">concitó el consenso </w:t>
      </w:r>
      <w:r w:rsidR="00171A70" w:rsidRPr="00660160">
        <w:t>necesario entre</w:t>
      </w:r>
      <w:r w:rsidRPr="00660160">
        <w:t xml:space="preserve"> los miembros de la APT. E</w:t>
      </w:r>
      <w:r w:rsidR="00171A70" w:rsidRPr="00660160">
        <w:t>ll</w:t>
      </w:r>
      <w:r w:rsidRPr="00660160">
        <w:t xml:space="preserve">o se debió a las serias </w:t>
      </w:r>
      <w:r w:rsidR="00171A70" w:rsidRPr="00660160">
        <w:t>inquietudes</w:t>
      </w:r>
      <w:r w:rsidRPr="00660160">
        <w:t xml:space="preserve"> planteadas por </w:t>
      </w:r>
      <w:r w:rsidR="00171A70" w:rsidRPr="00660160">
        <w:t>numeros</w:t>
      </w:r>
      <w:r w:rsidRPr="00660160">
        <w:t xml:space="preserve">os miembros de la APT </w:t>
      </w:r>
      <w:r w:rsidR="00171A70" w:rsidRPr="00660160">
        <w:t>en relación con</w:t>
      </w:r>
      <w:r w:rsidRPr="00660160">
        <w:t xml:space="preserve"> la propuesta. </w:t>
      </w:r>
      <w:r w:rsidR="00171A70" w:rsidRPr="00660160">
        <w:t xml:space="preserve">En consecuencia, no se acordó </w:t>
      </w:r>
      <w:r w:rsidRPr="00660160">
        <w:t xml:space="preserve">considerar una Propuesta Común de la APT </w:t>
      </w:r>
      <w:r w:rsidR="00171A70" w:rsidRPr="00660160">
        <w:t>en la materia</w:t>
      </w:r>
      <w:r w:rsidRPr="00660160">
        <w:t>.</w:t>
      </w:r>
    </w:p>
    <w:p w14:paraId="348D0388" w14:textId="3A834101" w:rsidR="001B357B" w:rsidRPr="00660160" w:rsidRDefault="00171A70" w:rsidP="001B357B">
      <w:r w:rsidRPr="00660160">
        <w:t>En l</w:t>
      </w:r>
      <w:r w:rsidR="001B357B" w:rsidRPr="00660160">
        <w:t xml:space="preserve">a última reunión del </w:t>
      </w:r>
      <w:r w:rsidRPr="00660160">
        <w:t>GT</w:t>
      </w:r>
      <w:r w:rsidR="001B357B" w:rsidRPr="00660160">
        <w:t xml:space="preserve"> 4A (26 de junio - 7 de julio de 2023) también</w:t>
      </w:r>
      <w:r w:rsidRPr="00660160">
        <w:t xml:space="preserve"> se</w:t>
      </w:r>
      <w:r w:rsidR="001B357B" w:rsidRPr="00660160">
        <w:t xml:space="preserve"> recibió una contribución similar (</w:t>
      </w:r>
      <w:r w:rsidRPr="00660160">
        <w:t>véase el d</w:t>
      </w:r>
      <w:r w:rsidR="001B357B" w:rsidRPr="00660160">
        <w:t xml:space="preserve">ocumento </w:t>
      </w:r>
      <w:hyperlink r:id="rId19">
        <w:r w:rsidR="001B357B" w:rsidRPr="00660160">
          <w:rPr>
            <w:color w:val="0000FF"/>
            <w:u w:val="single"/>
          </w:rPr>
          <w:t>4A/971</w:t>
        </w:r>
      </w:hyperlink>
      <w:r w:rsidR="001B357B" w:rsidRPr="00660160">
        <w:t xml:space="preserve">) de uno de </w:t>
      </w:r>
      <w:r w:rsidRPr="00660160">
        <w:t>esos</w:t>
      </w:r>
      <w:r w:rsidR="001B357B" w:rsidRPr="00660160">
        <w:t xml:space="preserve"> miembros de la APT y</w:t>
      </w:r>
      <w:r w:rsidRPr="00660160">
        <w:t xml:space="preserve"> tampoco</w:t>
      </w:r>
      <w:r w:rsidR="001B357B" w:rsidRPr="00660160">
        <w:t xml:space="preserve"> se elaboró ningún documento </w:t>
      </w:r>
      <w:r w:rsidRPr="00660160">
        <w:t>al respecto</w:t>
      </w:r>
      <w:r w:rsidR="001B357B" w:rsidRPr="00660160">
        <w:t xml:space="preserve">, dadas las </w:t>
      </w:r>
      <w:r w:rsidRPr="00660160">
        <w:t xml:space="preserve">inquietudes </w:t>
      </w:r>
      <w:r w:rsidR="001B357B" w:rsidRPr="00660160">
        <w:t xml:space="preserve">planteadas </w:t>
      </w:r>
      <w:r w:rsidRPr="00660160">
        <w:t>por</w:t>
      </w:r>
      <w:r w:rsidR="001B357B" w:rsidRPr="00660160">
        <w:t xml:space="preserve"> el </w:t>
      </w:r>
      <w:r w:rsidRPr="00660160">
        <w:t>GT</w:t>
      </w:r>
      <w:r w:rsidR="001B357B" w:rsidRPr="00660160">
        <w:t xml:space="preserve"> 4A.</w:t>
      </w:r>
    </w:p>
    <w:p w14:paraId="20CD4E6D" w14:textId="77777777" w:rsidR="001B357B" w:rsidRPr="00660160" w:rsidRDefault="001B357B" w:rsidP="001B357B">
      <w:pPr>
        <w:pStyle w:val="Headingb"/>
      </w:pPr>
      <w:r w:rsidRPr="00660160">
        <w:t>Antecedentes</w:t>
      </w:r>
    </w:p>
    <w:p w14:paraId="7F467327" w14:textId="40B7A2D4" w:rsidR="001B357B" w:rsidRPr="00660160" w:rsidRDefault="001B357B" w:rsidP="001B357B">
      <w:r w:rsidRPr="00660160">
        <w:t xml:space="preserve">Indonesia es una de las Administraciones de la APT que </w:t>
      </w:r>
      <w:r w:rsidR="00BA67C3" w:rsidRPr="00660160">
        <w:t>alberga</w:t>
      </w:r>
      <w:r w:rsidRPr="00660160">
        <w:t xml:space="preserve"> serias dudas</w:t>
      </w:r>
      <w:r w:rsidR="00BA67C3" w:rsidRPr="00660160">
        <w:t xml:space="preserve"> en cuanto a </w:t>
      </w:r>
      <w:r w:rsidRPr="00660160">
        <w:t>cualquier propuesta</w:t>
      </w:r>
      <w:r w:rsidR="00E216AF" w:rsidRPr="00660160">
        <w:t xml:space="preserve"> de modificación de</w:t>
      </w:r>
      <w:r w:rsidRPr="00660160">
        <w:t xml:space="preserve">l </w:t>
      </w:r>
      <w:r w:rsidR="00E216AF" w:rsidRPr="00660160">
        <w:t>A</w:t>
      </w:r>
      <w:r w:rsidRPr="00660160">
        <w:t xml:space="preserve">rtículo </w:t>
      </w:r>
      <w:r w:rsidRPr="00660160">
        <w:rPr>
          <w:b/>
          <w:bCs/>
        </w:rPr>
        <w:t xml:space="preserve">22 </w:t>
      </w:r>
      <w:r w:rsidRPr="00660160">
        <w:t xml:space="preserve">del RR </w:t>
      </w:r>
      <w:r w:rsidR="001E2D59" w:rsidRPr="00660160">
        <w:t xml:space="preserve">que </w:t>
      </w:r>
      <w:r w:rsidRPr="00660160">
        <w:t>permit</w:t>
      </w:r>
      <w:r w:rsidR="001E2D59" w:rsidRPr="00660160">
        <w:t>a</w:t>
      </w:r>
      <w:r w:rsidRPr="00660160">
        <w:t xml:space="preserve"> niveles de interferencia más elevados de los sistemas no OSG a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Pr="00660160">
        <w:t xml:space="preserve"> OSG. Los criterios de protección contra interferencias (límites </w:t>
      </w:r>
      <w:r w:rsidR="001E2D59" w:rsidRPr="00660160">
        <w:t>de dfpe</w:t>
      </w:r>
      <w:r w:rsidRPr="00660160">
        <w:t xml:space="preserve">) establecidos en el </w:t>
      </w:r>
      <w:r w:rsidR="001E2D59" w:rsidRPr="00660160">
        <w:t xml:space="preserve">Artículo </w:t>
      </w:r>
      <w:r w:rsidRPr="00660160">
        <w:rPr>
          <w:b/>
          <w:bCs/>
        </w:rPr>
        <w:t xml:space="preserve">22 </w:t>
      </w:r>
      <w:r w:rsidRPr="00660160">
        <w:t xml:space="preserve">del RR </w:t>
      </w:r>
      <w:r w:rsidR="001E2D59" w:rsidRPr="00660160">
        <w:t>integran</w:t>
      </w:r>
      <w:r w:rsidRPr="00660160">
        <w:t xml:space="preserve"> un requisito que los sistemas no OSG deben cumplir para proteger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Pr="00660160">
        <w:t xml:space="preserve"> OSG, </w:t>
      </w:r>
      <w:r w:rsidR="001E2D59" w:rsidRPr="00660160">
        <w:t xml:space="preserve">que los Estados </w:t>
      </w:r>
      <w:r w:rsidR="004A20B0" w:rsidRPr="00660160">
        <w:t xml:space="preserve">Miembros </w:t>
      </w:r>
      <w:r w:rsidR="001E2D59" w:rsidRPr="00660160">
        <w:t xml:space="preserve">de la UIT </w:t>
      </w:r>
      <w:r w:rsidRPr="00660160">
        <w:t>acorda</w:t>
      </w:r>
      <w:r w:rsidR="001E2D59" w:rsidRPr="00660160">
        <w:t>ron</w:t>
      </w:r>
      <w:r w:rsidRPr="00660160">
        <w:t xml:space="preserve"> por consenso</w:t>
      </w:r>
      <w:r w:rsidR="001E2D59" w:rsidRPr="00660160">
        <w:t xml:space="preserve"> (CMR-2000) en base a una </w:t>
      </w:r>
      <w:r w:rsidRPr="00660160">
        <w:t>s</w:t>
      </w:r>
      <w:r w:rsidR="001E2D59" w:rsidRPr="00660160">
        <w:t>erie de</w:t>
      </w:r>
      <w:r w:rsidRPr="00660160">
        <w:t xml:space="preserve"> estudios por</w:t>
      </w:r>
      <w:r w:rsidR="001E2D59" w:rsidRPr="00660160">
        <w:t>menorizados</w:t>
      </w:r>
      <w:r w:rsidRPr="00660160">
        <w:t xml:space="preserve">. El despliegue en curso de algunas megaconstelaciones LEO masivas, que por su diseño están </w:t>
      </w:r>
      <w:r w:rsidR="001E2D59" w:rsidRPr="00660160">
        <w:t>destinadas</w:t>
      </w:r>
      <w:r w:rsidRPr="00660160">
        <w:t xml:space="preserve"> a consumir la mayor parte de los recursos orbitales y espectrales compartidos en LEO, no está mejorando el entorno de interferencia </w:t>
      </w:r>
      <w:r w:rsidR="001E2D59" w:rsidRPr="00660160">
        <w:t xml:space="preserve">de sistemas no OSG </w:t>
      </w:r>
      <w:r w:rsidRPr="00660160">
        <w:t xml:space="preserve">al que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Pr="00660160">
        <w:t xml:space="preserve"> OSG deben hacer frente. Al contrario, el avance </w:t>
      </w:r>
      <w:r w:rsidRPr="00660160">
        <w:lastRenderedPageBreak/>
        <w:t xml:space="preserve">de la tecnología de los receptores </w:t>
      </w:r>
      <w:r w:rsidR="001E2D59" w:rsidRPr="00660160">
        <w:t>de</w:t>
      </w:r>
      <w:r w:rsidRPr="00660160">
        <w:t xml:space="preserve">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Pr="00660160">
        <w:t xml:space="preserve"> OSG</w:t>
      </w:r>
      <w:r w:rsidR="001E2D59" w:rsidRPr="00660160">
        <w:t>,</w:t>
      </w:r>
      <w:r w:rsidRPr="00660160">
        <w:t xml:space="preserve"> </w:t>
      </w:r>
      <w:r w:rsidR="001E2D59" w:rsidRPr="00660160">
        <w:t xml:space="preserve">unido a </w:t>
      </w:r>
      <w:r w:rsidRPr="00660160">
        <w:t>la aparición de megaconstelaciones LEO</w:t>
      </w:r>
      <w:r w:rsidR="001E2D59" w:rsidRPr="00660160">
        <w:t xml:space="preserve"> ávidas</w:t>
      </w:r>
      <w:r w:rsidRPr="00660160">
        <w:t xml:space="preserve"> de recursos espectrales</w:t>
      </w:r>
      <w:r w:rsidR="001E2D59" w:rsidRPr="00660160">
        <w:t>,</w:t>
      </w:r>
      <w:r w:rsidRPr="00660160">
        <w:t xml:space="preserve"> </w:t>
      </w:r>
      <w:r w:rsidR="001E2D59" w:rsidRPr="00660160">
        <w:t>apunta a</w:t>
      </w:r>
      <w:r w:rsidRPr="00660160">
        <w:t xml:space="preserve"> que los límites de d</w:t>
      </w:r>
      <w:r w:rsidR="001E2D59" w:rsidRPr="00660160">
        <w:t>fpe</w:t>
      </w:r>
      <w:r w:rsidRPr="00660160">
        <w:t xml:space="preserve"> existentes son el único mecanismo eficaz para garantizar la protección contra </w:t>
      </w:r>
      <w:r w:rsidR="001E2D59" w:rsidRPr="00660160">
        <w:t xml:space="preserve">la </w:t>
      </w:r>
      <w:r w:rsidRPr="00660160">
        <w:t xml:space="preserve">interferencia de </w:t>
      </w:r>
      <w:r w:rsidR="0088665D" w:rsidRPr="00660160">
        <w:t>l</w:t>
      </w:r>
      <w:r w:rsidR="0088665D">
        <w:t>a</w:t>
      </w:r>
      <w:r w:rsidR="0088665D" w:rsidRPr="00660160">
        <w:t>s</w:t>
      </w:r>
      <w:r w:rsidR="0088665D">
        <w:t xml:space="preserve"> redes</w:t>
      </w:r>
      <w:r w:rsidRPr="00660160">
        <w:t xml:space="preserve"> OSG </w:t>
      </w:r>
      <w:r w:rsidR="0088665D" w:rsidRPr="00660160">
        <w:t>crític</w:t>
      </w:r>
      <w:r w:rsidR="0088665D">
        <w:t>a</w:t>
      </w:r>
      <w:r w:rsidR="0088665D" w:rsidRPr="00660160">
        <w:t>s</w:t>
      </w:r>
      <w:r w:rsidRPr="00660160">
        <w:t>.</w:t>
      </w:r>
    </w:p>
    <w:p w14:paraId="4CBC8AEA" w14:textId="7426062C" w:rsidR="001B357B" w:rsidRPr="00660160" w:rsidRDefault="001B357B" w:rsidP="00B05A83">
      <w:r w:rsidRPr="00660160">
        <w:t xml:space="preserve">Además, </w:t>
      </w:r>
      <w:r w:rsidR="00B05A83" w:rsidRPr="00660160">
        <w:t>existen</w:t>
      </w:r>
      <w:r w:rsidRPr="00660160">
        <w:t xml:space="preserve"> otr</w:t>
      </w:r>
      <w:r w:rsidR="00B05A83" w:rsidRPr="00660160">
        <w:t>a</w:t>
      </w:r>
      <w:r w:rsidRPr="00660160">
        <w:t>s much</w:t>
      </w:r>
      <w:r w:rsidR="00B05A83" w:rsidRPr="00660160">
        <w:t>a</w:t>
      </w:r>
      <w:r w:rsidRPr="00660160">
        <w:t>s</w:t>
      </w:r>
      <w:r w:rsidR="00B05A83" w:rsidRPr="00660160">
        <w:t xml:space="preserve"> cuestiones relacionadas con</w:t>
      </w:r>
      <w:r w:rsidRPr="00660160">
        <w:t xml:space="preserve"> las megaconstelaciones LEO, incluidas sus posibles externalidades, que</w:t>
      </w:r>
      <w:r w:rsidR="00B05A83" w:rsidRPr="00660160">
        <w:t xml:space="preserve"> se han de </w:t>
      </w:r>
      <w:r w:rsidRPr="00660160">
        <w:t>resolver</w:t>
      </w:r>
      <w:r w:rsidR="00B05A83" w:rsidRPr="00660160">
        <w:t xml:space="preserve"> con carácter </w:t>
      </w:r>
      <w:r w:rsidRPr="00660160">
        <w:t>urgen</w:t>
      </w:r>
      <w:r w:rsidR="00B05A83" w:rsidRPr="00660160">
        <w:t>te,</w:t>
      </w:r>
      <w:r w:rsidRPr="00660160">
        <w:t xml:space="preserve"> en lugar de fomentar la inestabilidad </w:t>
      </w:r>
      <w:r w:rsidR="000D68C7">
        <w:t>reglamentaria</w:t>
      </w:r>
      <w:r w:rsidRPr="00660160">
        <w:t xml:space="preserve"> y la incertidumbre en la planificación proponiendo una apertura de las disposiciones de gestión de interferencias </w:t>
      </w:r>
      <w:r w:rsidR="00B05A83" w:rsidRPr="00660160">
        <w:t>firmemente consolidadas</w:t>
      </w:r>
      <w:r w:rsidRPr="00660160">
        <w:t xml:space="preserve"> </w:t>
      </w:r>
      <w:r w:rsidR="000D68C7">
        <w:t xml:space="preserve">en </w:t>
      </w:r>
      <w:r w:rsidRPr="00660160">
        <w:t xml:space="preserve">el Reglamento de Radiocomunicaciones. Esto es especialmente importante si se tiene en cuenta que el </w:t>
      </w:r>
      <w:r w:rsidR="00B05A83" w:rsidRPr="00660160">
        <w:t xml:space="preserve">despliegue sin restricciones de sistemas no OSG de gran tamaño (también conocidos como megaconstelaciones </w:t>
      </w:r>
      <w:r w:rsidRPr="00660160">
        <w:t xml:space="preserve">LEO) </w:t>
      </w:r>
      <w:r w:rsidR="00B05A83" w:rsidRPr="00660160">
        <w:t>conlleva un declive del entorno de interferencia aceptable para el conjunto de</w:t>
      </w:r>
      <w:r w:rsidRPr="00660160">
        <w:t xml:space="preserve"> recursos espectrales compartidos y limitados,</w:t>
      </w:r>
      <w:r w:rsidR="000D68C7">
        <w:t xml:space="preserve"> precisamente</w:t>
      </w:r>
      <w:r w:rsidRPr="00660160">
        <w:t xml:space="preserve"> porque son limitados y porque unos pocos sistemas LEO </w:t>
      </w:r>
      <w:r w:rsidR="00B05A83" w:rsidRPr="00660160">
        <w:t xml:space="preserve">están destinados </w:t>
      </w:r>
      <w:r w:rsidRPr="00660160">
        <w:t xml:space="preserve">a consumir rápidamente todos los márgenes de </w:t>
      </w:r>
      <w:r w:rsidR="00B05A83" w:rsidRPr="00660160">
        <w:t>dfpe</w:t>
      </w:r>
      <w:r w:rsidRPr="00660160">
        <w:t xml:space="preserve"> disponibles que protegen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Pr="00660160">
        <w:t xml:space="preserve"> OSG.</w:t>
      </w:r>
    </w:p>
    <w:p w14:paraId="782A14A3" w14:textId="49B9BB07" w:rsidR="001B357B" w:rsidRPr="00660160" w:rsidRDefault="001B357B" w:rsidP="001B357B">
      <w:r w:rsidRPr="00660160">
        <w:t xml:space="preserve">Una cuestión que debe abordarse es la práctica </w:t>
      </w:r>
      <w:r w:rsidR="00B05A83" w:rsidRPr="00660160">
        <w:t>consistente en</w:t>
      </w:r>
      <w:r w:rsidRPr="00660160">
        <w:t xml:space="preserve"> dividir un sistema de satélite</w:t>
      </w:r>
      <w:r w:rsidR="00B05A83" w:rsidRPr="00660160">
        <w:t>s</w:t>
      </w:r>
      <w:r w:rsidRPr="00660160">
        <w:t xml:space="preserve"> no geoestacionario</w:t>
      </w:r>
      <w:r w:rsidR="00B05A83" w:rsidRPr="00660160">
        <w:t>s</w:t>
      </w:r>
      <w:r w:rsidRPr="00660160">
        <w:t xml:space="preserve"> en varios sistemas </w:t>
      </w:r>
      <w:r w:rsidR="00B05A83" w:rsidRPr="00660160">
        <w:t>notificad</w:t>
      </w:r>
      <w:r w:rsidRPr="00660160">
        <w:t xml:space="preserve">os. Dividir las </w:t>
      </w:r>
      <w:r w:rsidR="00B05A83" w:rsidRPr="00660160">
        <w:t xml:space="preserve">comunicaciones de </w:t>
      </w:r>
      <w:r w:rsidR="000D68C7">
        <w:t xml:space="preserve">los </w:t>
      </w:r>
      <w:r w:rsidR="00B05A83" w:rsidRPr="00660160">
        <w:t>sistemas</w:t>
      </w:r>
      <w:r w:rsidRPr="00660160">
        <w:t xml:space="preserve"> no OSG en varias </w:t>
      </w:r>
      <w:r w:rsidR="00B05A83" w:rsidRPr="00660160">
        <w:t>notificacion</w:t>
      </w:r>
      <w:r w:rsidRPr="00660160">
        <w:t xml:space="preserve">es es una práctica que socava la eficacia de la evaluación de los límites de </w:t>
      </w:r>
      <w:r w:rsidR="00604C87" w:rsidRPr="00660160">
        <w:t xml:space="preserve">dfpe para interferencias de una sola fuente </w:t>
      </w:r>
      <w:r w:rsidRPr="00660160">
        <w:t>(</w:t>
      </w:r>
      <w:r w:rsidR="00604C87" w:rsidRPr="00660160">
        <w:t>establecidos</w:t>
      </w:r>
      <w:r w:rsidRPr="00660160">
        <w:t xml:space="preserve"> en el </w:t>
      </w:r>
      <w:r w:rsidR="00604C87" w:rsidRPr="00660160">
        <w:t>A</w:t>
      </w:r>
      <w:r w:rsidRPr="00660160">
        <w:t xml:space="preserve">rtículo </w:t>
      </w:r>
      <w:r w:rsidRPr="00660160">
        <w:rPr>
          <w:b/>
        </w:rPr>
        <w:t xml:space="preserve">22 </w:t>
      </w:r>
      <w:r w:rsidRPr="00660160">
        <w:t>del RR)</w:t>
      </w:r>
      <w:r w:rsidR="00604C87" w:rsidRPr="00660160">
        <w:t xml:space="preserve"> y</w:t>
      </w:r>
      <w:r w:rsidRPr="00660160">
        <w:t xml:space="preserve"> repercute en la aplicación de la Resolución </w:t>
      </w:r>
      <w:r w:rsidRPr="00660160">
        <w:rPr>
          <w:b/>
        </w:rPr>
        <w:t xml:space="preserve">76 </w:t>
      </w:r>
      <w:r w:rsidRPr="00660160">
        <w:rPr>
          <w:b/>
          <w:bCs/>
        </w:rPr>
        <w:t>(Rev.CMR-15)</w:t>
      </w:r>
      <w:r w:rsidRPr="00660160">
        <w:t xml:space="preserve">. El </w:t>
      </w:r>
      <w:r w:rsidR="00604C87" w:rsidRPr="00660160">
        <w:t xml:space="preserve">Director de la BR planteó el </w:t>
      </w:r>
      <w:r w:rsidRPr="00660160">
        <w:t xml:space="preserve">problema de la división de las </w:t>
      </w:r>
      <w:r w:rsidR="00604C87" w:rsidRPr="00660160">
        <w:t xml:space="preserve">comunicaciones de sistemas no OSG </w:t>
      </w:r>
      <w:r w:rsidRPr="00660160">
        <w:t xml:space="preserve">en su anteproyecto de Informe a la CMR-23, </w:t>
      </w:r>
      <w:r w:rsidR="00604C87" w:rsidRPr="00660160">
        <w:t xml:space="preserve">que </w:t>
      </w:r>
      <w:r w:rsidRPr="00660160">
        <w:t>presentó a la RPC23-2 (</w:t>
      </w:r>
      <w:r w:rsidR="00604C87" w:rsidRPr="00660160">
        <w:t>véase la s</w:t>
      </w:r>
      <w:r w:rsidRPr="00660160">
        <w:t xml:space="preserve">ección 3.1.4 de la </w:t>
      </w:r>
      <w:hyperlink r:id="rId20">
        <w:r w:rsidRPr="00660160">
          <w:t xml:space="preserve">Parte 1 del Documento </w:t>
        </w:r>
        <w:r w:rsidRPr="00660160">
          <w:rPr>
            <w:color w:val="0000FF"/>
            <w:u w:val="single"/>
          </w:rPr>
          <w:t>CPM2</w:t>
        </w:r>
        <w:r w:rsidRPr="00660160">
          <w:rPr>
            <w:color w:val="0000FF"/>
            <w:u w:val="single"/>
          </w:rPr>
          <w:t>3</w:t>
        </w:r>
        <w:r w:rsidRPr="00660160">
          <w:rPr>
            <w:color w:val="0000FF"/>
            <w:u w:val="single"/>
          </w:rPr>
          <w:t>-2/236</w:t>
        </w:r>
      </w:hyperlink>
      <w:r w:rsidRPr="00660160">
        <w:t xml:space="preserve">). La división de las </w:t>
      </w:r>
      <w:r w:rsidR="00604C87" w:rsidRPr="00660160">
        <w:t xml:space="preserve">comunicaciones de </w:t>
      </w:r>
      <w:r w:rsidR="000D68C7">
        <w:t xml:space="preserve">los </w:t>
      </w:r>
      <w:r w:rsidR="00604C87" w:rsidRPr="00660160">
        <w:t xml:space="preserve">sistemas no OSG </w:t>
      </w:r>
      <w:r w:rsidRPr="00660160">
        <w:t xml:space="preserve">da lugar a </w:t>
      </w:r>
      <w:r w:rsidR="00604C87" w:rsidRPr="00660160">
        <w:t>un</w:t>
      </w:r>
      <w:r w:rsidRPr="00660160">
        <w:t>a aplicación incorrecta de los límites</w:t>
      </w:r>
      <w:r w:rsidR="00604C87" w:rsidRPr="00660160">
        <w:t xml:space="preserve"> de dfpe para interferencias de una sola fuente</w:t>
      </w:r>
      <w:r w:rsidRPr="00660160">
        <w:t xml:space="preserve"> con el único propósito de reducir los niveles de dfpe y, por tanto, obtener un</w:t>
      </w:r>
      <w:r w:rsidR="00604C87" w:rsidRPr="00660160">
        <w:t xml:space="preserve">a conclusión </w:t>
      </w:r>
      <w:r w:rsidRPr="00660160">
        <w:t xml:space="preserve">favorable </w:t>
      </w:r>
      <w:r w:rsidR="00604C87" w:rsidRPr="00660160">
        <w:t>en el marco</w:t>
      </w:r>
      <w:r w:rsidRPr="00660160">
        <w:t xml:space="preserve"> del examen reglamentario realizado por la Oficina de Radiocomunicaciones en virtud del </w:t>
      </w:r>
      <w:r w:rsidR="00604C87" w:rsidRPr="00660160">
        <w:t>número</w:t>
      </w:r>
      <w:r w:rsidRPr="00660160">
        <w:t xml:space="preserve"> </w:t>
      </w:r>
      <w:r w:rsidRPr="00660160">
        <w:rPr>
          <w:b/>
        </w:rPr>
        <w:t>11.31</w:t>
      </w:r>
      <w:r w:rsidR="00604C87" w:rsidRPr="00660160">
        <w:rPr>
          <w:bCs/>
        </w:rPr>
        <w:t xml:space="preserve"> del RR</w:t>
      </w:r>
      <w:r w:rsidRPr="00660160">
        <w:t>.</w:t>
      </w:r>
    </w:p>
    <w:p w14:paraId="0166A50F" w14:textId="28B217DE" w:rsidR="001B357B" w:rsidRPr="00660160" w:rsidRDefault="00604C87" w:rsidP="001B357B">
      <w:r w:rsidRPr="00660160">
        <w:t xml:space="preserve">El hecho de que las comunicaciones </w:t>
      </w:r>
      <w:r w:rsidR="001B357B" w:rsidRPr="00660160">
        <w:t xml:space="preserve">de los sistemas no OSG </w:t>
      </w:r>
      <w:r w:rsidR="000D68C7">
        <w:t>s</w:t>
      </w:r>
      <w:r w:rsidRPr="00660160">
        <w:t>e dividan</w:t>
      </w:r>
      <w:r w:rsidR="000D68C7">
        <w:t xml:space="preserve"> para</w:t>
      </w:r>
      <w:r w:rsidR="001B357B" w:rsidRPr="00660160">
        <w:t xml:space="preserve"> crear artificialmente la noción de que </w:t>
      </w:r>
      <w:r w:rsidR="000D68C7">
        <w:t>es</w:t>
      </w:r>
      <w:r w:rsidR="001B357B" w:rsidRPr="00660160">
        <w:t xml:space="preserve">os sistemas no OSG están produciendo niveles de dfpe inferiores </w:t>
      </w:r>
      <w:r w:rsidRPr="00660160">
        <w:t>supone</w:t>
      </w:r>
      <w:r w:rsidR="001B357B" w:rsidRPr="00660160">
        <w:t xml:space="preserve"> un claro indicio de que el entorno de interferencia en el que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="001B357B" w:rsidRPr="00660160">
        <w:t xml:space="preserve"> OSG se ven </w:t>
      </w:r>
      <w:r w:rsidR="0088665D" w:rsidRPr="00660160">
        <w:t>obligad</w:t>
      </w:r>
      <w:r w:rsidR="0088665D">
        <w:t>a</w:t>
      </w:r>
      <w:r w:rsidR="0088665D" w:rsidRPr="00660160">
        <w:t xml:space="preserve">s </w:t>
      </w:r>
      <w:r w:rsidR="001B357B" w:rsidRPr="00660160">
        <w:t xml:space="preserve">a funcionar no está mejorando en absoluto, sino todo lo contrario. Por tanto, </w:t>
      </w:r>
      <w:r w:rsidRPr="00660160">
        <w:t>la propuesta de flexibilizar</w:t>
      </w:r>
      <w:r w:rsidR="001B357B" w:rsidRPr="00660160">
        <w:t xml:space="preserve"> los límites de </w:t>
      </w:r>
      <w:r w:rsidRPr="00660160">
        <w:t>dfpe</w:t>
      </w:r>
      <w:r w:rsidR="001B357B" w:rsidRPr="00660160">
        <w:t xml:space="preserve"> del </w:t>
      </w:r>
      <w:r w:rsidRPr="00660160">
        <w:t>A</w:t>
      </w:r>
      <w:r w:rsidR="001B357B" w:rsidRPr="00660160">
        <w:t xml:space="preserve">rtículo </w:t>
      </w:r>
      <w:r w:rsidR="001B357B" w:rsidRPr="00660160">
        <w:rPr>
          <w:b/>
          <w:bCs/>
        </w:rPr>
        <w:t xml:space="preserve">22 </w:t>
      </w:r>
      <w:r w:rsidR="001B357B" w:rsidRPr="00660160">
        <w:t xml:space="preserve">del RR </w:t>
      </w:r>
      <w:r w:rsidRPr="00660160">
        <w:t>de tal manera que</w:t>
      </w:r>
      <w:r w:rsidR="001B357B" w:rsidRPr="00660160">
        <w:t xml:space="preserve"> los sistemas no OSG </w:t>
      </w:r>
      <w:r w:rsidRPr="00660160">
        <w:t>posean un margen aún mayor para producir</w:t>
      </w:r>
      <w:r w:rsidR="001B357B" w:rsidRPr="00660160">
        <w:t xml:space="preserve"> interferencias no ser</w:t>
      </w:r>
      <w:r w:rsidRPr="00660160">
        <w:t>ía</w:t>
      </w:r>
      <w:r w:rsidR="001B357B" w:rsidRPr="00660160">
        <w:t xml:space="preserve"> una intervención </w:t>
      </w:r>
      <w:r w:rsidR="000D68C7">
        <w:t>reglamentaria</w:t>
      </w:r>
      <w:r w:rsidR="001B357B" w:rsidRPr="00660160">
        <w:t xml:space="preserve"> adecuada.</w:t>
      </w:r>
    </w:p>
    <w:p w14:paraId="59D6DD08" w14:textId="08202BE7" w:rsidR="001B357B" w:rsidRPr="00660160" w:rsidRDefault="001B357B" w:rsidP="001B357B">
      <w:r w:rsidRPr="00660160">
        <w:t xml:space="preserve">Además, teniendo en cuenta que los límites de </w:t>
      </w:r>
      <w:r w:rsidR="000C1EAF" w:rsidRPr="00660160">
        <w:t xml:space="preserve">dfpe combinada de obligatorio cumplimiento vienen especificados </w:t>
      </w:r>
      <w:r w:rsidRPr="00660160">
        <w:t xml:space="preserve">en la Resolución </w:t>
      </w:r>
      <w:r w:rsidRPr="00660160">
        <w:rPr>
          <w:b/>
        </w:rPr>
        <w:t>76 (Rev.CMR-15)</w:t>
      </w:r>
      <w:r w:rsidRPr="00660160">
        <w:t xml:space="preserve">, </w:t>
      </w:r>
      <w:r w:rsidR="00FD791D">
        <w:t xml:space="preserve">la falta de claridad de </w:t>
      </w:r>
      <w:r w:rsidRPr="00660160">
        <w:t xml:space="preserve">las metodologías y </w:t>
      </w:r>
      <w:r w:rsidR="000C1EAF" w:rsidRPr="00660160">
        <w:t xml:space="preserve">los </w:t>
      </w:r>
      <w:r w:rsidRPr="00660160">
        <w:t xml:space="preserve">procedimientos de la Resolución </w:t>
      </w:r>
      <w:r w:rsidRPr="00660160">
        <w:rPr>
          <w:b/>
        </w:rPr>
        <w:t xml:space="preserve">76 </w:t>
      </w:r>
      <w:r w:rsidRPr="00660160">
        <w:rPr>
          <w:b/>
          <w:bCs/>
        </w:rPr>
        <w:t xml:space="preserve">(Rev.CMR-15) </w:t>
      </w:r>
      <w:r w:rsidR="00FD791D" w:rsidRPr="00FD791D">
        <w:t>supone un problema</w:t>
      </w:r>
      <w:r w:rsidRPr="00660160">
        <w:t xml:space="preserve">, </w:t>
      </w:r>
      <w:r w:rsidR="000C1EAF" w:rsidRPr="00660160">
        <w:t>e</w:t>
      </w:r>
      <w:r w:rsidR="00FD791D">
        <w:t>n especial</w:t>
      </w:r>
      <w:r w:rsidR="000C1EAF" w:rsidRPr="00660160">
        <w:t>, para</w:t>
      </w:r>
      <w:r w:rsidRPr="00660160">
        <w:t xml:space="preserve"> determinar de forma efectiva si se están superando </w:t>
      </w:r>
      <w:r w:rsidR="000C1EAF" w:rsidRPr="00660160">
        <w:t>los</w:t>
      </w:r>
      <w:r w:rsidRPr="00660160">
        <w:t xml:space="preserve"> límites de </w:t>
      </w:r>
      <w:r w:rsidR="000C1EAF" w:rsidRPr="00660160">
        <w:t>dfpe</w:t>
      </w:r>
      <w:r w:rsidRPr="00660160">
        <w:t xml:space="preserve"> </w:t>
      </w:r>
      <w:r w:rsidR="000C1EAF" w:rsidRPr="00660160">
        <w:t>combinada en cuestión</w:t>
      </w:r>
      <w:r w:rsidRPr="00660160">
        <w:t xml:space="preserve">. En consecuencia, </w:t>
      </w:r>
      <w:r w:rsidR="000C1EAF" w:rsidRPr="00660160">
        <w:t>si bien la validación</w:t>
      </w:r>
      <w:r w:rsidRPr="00660160">
        <w:t xml:space="preserve"> </w:t>
      </w:r>
      <w:r w:rsidR="000C1EAF" w:rsidRPr="00660160">
        <w:t>d</w:t>
      </w:r>
      <w:r w:rsidRPr="00660160">
        <w:t xml:space="preserve">el cumplimiento de la Resolución </w:t>
      </w:r>
      <w:r w:rsidRPr="00660160">
        <w:rPr>
          <w:b/>
        </w:rPr>
        <w:t>76 (Rev</w:t>
      </w:r>
      <w:r w:rsidRPr="00660160">
        <w:rPr>
          <w:b/>
          <w:bCs/>
        </w:rPr>
        <w:t xml:space="preserve">.CMR-15) </w:t>
      </w:r>
      <w:r w:rsidRPr="00660160">
        <w:t xml:space="preserve">no es factible en este momento, ya se están desplegando varias megaconstelaciones LEO sin </w:t>
      </w:r>
      <w:r w:rsidR="000C1EAF" w:rsidRPr="00660160">
        <w:t>restricción alguna</w:t>
      </w:r>
      <w:r w:rsidRPr="00660160">
        <w:t>.</w:t>
      </w:r>
    </w:p>
    <w:p w14:paraId="22EA58AC" w14:textId="534A7571" w:rsidR="001B357B" w:rsidRPr="00660160" w:rsidRDefault="000C1EAF" w:rsidP="001B357B">
      <w:r w:rsidRPr="00660160">
        <w:t>Dadas las consideraciones que anteceden</w:t>
      </w:r>
      <w:r w:rsidR="001B357B" w:rsidRPr="00660160">
        <w:t xml:space="preserve">, la República de Indonesia presenta este documento </w:t>
      </w:r>
      <w:r w:rsidRPr="00660160">
        <w:t>con el objetivo de</w:t>
      </w:r>
      <w:r w:rsidR="001B357B" w:rsidRPr="00660160">
        <w:t xml:space="preserve"> compartir sus opiniones</w:t>
      </w:r>
      <w:r w:rsidRPr="00660160">
        <w:t xml:space="preserve"> e inquietudes</w:t>
      </w:r>
      <w:r w:rsidR="001B357B" w:rsidRPr="00660160">
        <w:t xml:space="preserve">. </w:t>
      </w:r>
      <w:r w:rsidRPr="00660160">
        <w:t>Habida cuenta de que aún no se</w:t>
      </w:r>
      <w:r w:rsidR="008311B2" w:rsidRPr="00660160">
        <w:t xml:space="preserve"> ha logrado comprender ni abordar plenamente </w:t>
      </w:r>
      <w:r w:rsidRPr="00660160">
        <w:t>las repercusiones que tendrá</w:t>
      </w:r>
      <w:r w:rsidR="008311B2" w:rsidRPr="00660160">
        <w:t>n</w:t>
      </w:r>
      <w:r w:rsidRPr="00660160">
        <w:t xml:space="preserve"> l</w:t>
      </w:r>
      <w:r w:rsidR="008311B2" w:rsidRPr="00660160">
        <w:t>os</w:t>
      </w:r>
      <w:r w:rsidRPr="00660160">
        <w:t xml:space="preserve"> despliegue</w:t>
      </w:r>
      <w:r w:rsidR="008311B2" w:rsidRPr="00660160">
        <w:t>s</w:t>
      </w:r>
      <w:r w:rsidRPr="00660160">
        <w:t xml:space="preserve"> de sistemas</w:t>
      </w:r>
      <w:r w:rsidR="001B357B" w:rsidRPr="00660160">
        <w:t xml:space="preserve"> no OSG </w:t>
      </w:r>
      <w:r w:rsidRPr="00660160">
        <w:t>de gran tamaño,</w:t>
      </w:r>
      <w:r w:rsidR="001B357B" w:rsidRPr="00660160">
        <w:t xml:space="preserve"> como se ha explicado anteriormente, Indonesia no está en condiciones de apoyar ning</w:t>
      </w:r>
      <w:r w:rsidR="008311B2" w:rsidRPr="00660160">
        <w:t>una modificación de</w:t>
      </w:r>
      <w:r w:rsidR="001B357B" w:rsidRPr="00660160">
        <w:t xml:space="preserve"> los criterios de protección contra interferencias</w:t>
      </w:r>
      <w:r w:rsidR="008311B2" w:rsidRPr="00660160">
        <w:t xml:space="preserve"> de los sistemas</w:t>
      </w:r>
      <w:r w:rsidR="001B357B" w:rsidRPr="00660160">
        <w:t xml:space="preserve"> OSG (límites </w:t>
      </w:r>
      <w:r w:rsidR="008311B2" w:rsidRPr="00660160">
        <w:t>de dfpe</w:t>
      </w:r>
      <w:r w:rsidR="001B357B" w:rsidRPr="00660160">
        <w:t>) establecidos y acordados</w:t>
      </w:r>
      <w:r w:rsidR="008311B2" w:rsidRPr="00660160">
        <w:t>,</w:t>
      </w:r>
      <w:r w:rsidR="001B357B" w:rsidRPr="00660160">
        <w:t xml:space="preserve"> que figuran en el </w:t>
      </w:r>
      <w:r w:rsidR="008311B2" w:rsidRPr="00660160">
        <w:t xml:space="preserve">Artículo </w:t>
      </w:r>
      <w:r w:rsidR="001B357B" w:rsidRPr="00660160">
        <w:rPr>
          <w:b/>
          <w:bCs/>
        </w:rPr>
        <w:t xml:space="preserve">22 </w:t>
      </w:r>
      <w:r w:rsidR="001B357B" w:rsidRPr="00660160">
        <w:t xml:space="preserve">del RR. Proponer la modificación de los actuales límites de </w:t>
      </w:r>
      <w:r w:rsidR="008311B2" w:rsidRPr="00660160">
        <w:t>dfpe</w:t>
      </w:r>
      <w:r w:rsidR="001B357B" w:rsidRPr="00660160">
        <w:t xml:space="preserve"> del </w:t>
      </w:r>
      <w:r w:rsidR="008311B2" w:rsidRPr="00660160">
        <w:t>A</w:t>
      </w:r>
      <w:r w:rsidR="001B357B" w:rsidRPr="00660160">
        <w:t xml:space="preserve">rtículo </w:t>
      </w:r>
      <w:r w:rsidR="001B357B" w:rsidRPr="00660160">
        <w:rPr>
          <w:b/>
          <w:bCs/>
        </w:rPr>
        <w:t xml:space="preserve">22 </w:t>
      </w:r>
      <w:r w:rsidR="001B357B" w:rsidRPr="00660160">
        <w:t xml:space="preserve">del RR es un </w:t>
      </w:r>
      <w:r w:rsidR="008311B2" w:rsidRPr="00660160">
        <w:t>objetivo</w:t>
      </w:r>
      <w:r w:rsidR="001B357B" w:rsidRPr="00660160">
        <w:t xml:space="preserve"> poco razonable en cualquier punto del orden del día de </w:t>
      </w:r>
      <w:r w:rsidR="008311B2" w:rsidRPr="00660160">
        <w:t>una</w:t>
      </w:r>
      <w:r w:rsidR="001B357B" w:rsidRPr="00660160">
        <w:t xml:space="preserve"> futura CMR, ya que es poco probable que el actual despliegue sin restricciones de megaconstelaciones LEO mejore las condiciones de interferencia en las bandas de frecuencia</w:t>
      </w:r>
      <w:r w:rsidR="008311B2" w:rsidRPr="00660160">
        <w:t>s</w:t>
      </w:r>
      <w:r w:rsidR="001B357B" w:rsidRPr="00660160">
        <w:t xml:space="preserve"> </w:t>
      </w:r>
      <w:r w:rsidR="00FD791D">
        <w:t>compartidas</w:t>
      </w:r>
      <w:r w:rsidR="001B357B" w:rsidRPr="00660160">
        <w:t xml:space="preserve"> con </w:t>
      </w:r>
      <w:r w:rsidR="0088665D">
        <w:t>redes</w:t>
      </w:r>
      <w:r w:rsidR="0088665D" w:rsidRPr="00660160">
        <w:t xml:space="preserve"> </w:t>
      </w:r>
      <w:r w:rsidR="001B357B" w:rsidRPr="00660160">
        <w:t>OSG.</w:t>
      </w:r>
    </w:p>
    <w:p w14:paraId="1358787B" w14:textId="6A884910" w:rsidR="001B357B" w:rsidRPr="00660160" w:rsidRDefault="001B357B" w:rsidP="001B357B">
      <w:r w:rsidRPr="00660160">
        <w:lastRenderedPageBreak/>
        <w:t xml:space="preserve">Los límites de dfpe </w:t>
      </w:r>
      <w:r w:rsidR="008311B2" w:rsidRPr="00660160">
        <w:t xml:space="preserve">combinada que figuran </w:t>
      </w:r>
      <w:r w:rsidRPr="00660160">
        <w:t xml:space="preserve">en la Resolución </w:t>
      </w:r>
      <w:r w:rsidRPr="00660160">
        <w:rPr>
          <w:b/>
        </w:rPr>
        <w:t xml:space="preserve">76 </w:t>
      </w:r>
      <w:r w:rsidRPr="00660160">
        <w:rPr>
          <w:b/>
          <w:bCs/>
        </w:rPr>
        <w:t xml:space="preserve">(Rev.CMR-15) </w:t>
      </w:r>
      <w:r w:rsidRPr="00660160">
        <w:t xml:space="preserve">y los </w:t>
      </w:r>
      <w:r w:rsidR="008311B2" w:rsidRPr="00660160">
        <w:t xml:space="preserve">límites de dfpe para interferencias de una sola fuente que figuran </w:t>
      </w:r>
      <w:r w:rsidRPr="00660160">
        <w:t xml:space="preserve">en el </w:t>
      </w:r>
      <w:r w:rsidR="008311B2" w:rsidRPr="00660160">
        <w:t>A</w:t>
      </w:r>
      <w:r w:rsidRPr="00660160">
        <w:t xml:space="preserve">rtículo </w:t>
      </w:r>
      <w:r w:rsidRPr="00660160">
        <w:rPr>
          <w:b/>
        </w:rPr>
        <w:t xml:space="preserve">22 </w:t>
      </w:r>
      <w:r w:rsidRPr="00660160">
        <w:rPr>
          <w:bCs/>
        </w:rPr>
        <w:t xml:space="preserve">del </w:t>
      </w:r>
      <w:r w:rsidRPr="00660160">
        <w:t xml:space="preserve">RR, que </w:t>
      </w:r>
      <w:r w:rsidR="008311B2" w:rsidRPr="00660160">
        <w:t>constituyen</w:t>
      </w:r>
      <w:r w:rsidRPr="00660160">
        <w:t xml:space="preserve"> actualmente</w:t>
      </w:r>
      <w:r w:rsidR="008311B2" w:rsidRPr="00660160">
        <w:t xml:space="preserve"> </w:t>
      </w:r>
      <w:r w:rsidRPr="00660160">
        <w:t>condiciones</w:t>
      </w:r>
      <w:r w:rsidR="008311B2" w:rsidRPr="00660160">
        <w:t xml:space="preserve"> de</w:t>
      </w:r>
      <w:r w:rsidRPr="00660160">
        <w:t xml:space="preserve"> obligato</w:t>
      </w:r>
      <w:r w:rsidR="008311B2" w:rsidRPr="00660160">
        <w:t>rio cumplimiento pa</w:t>
      </w:r>
      <w:r w:rsidRPr="00660160">
        <w:t>r</w:t>
      </w:r>
      <w:r w:rsidR="00FD791D">
        <w:t>a</w:t>
      </w:r>
      <w:r w:rsidRPr="00660160">
        <w:t xml:space="preserve"> los sistemas no OSG</w:t>
      </w:r>
      <w:r w:rsidR="008311B2" w:rsidRPr="00660160">
        <w:t xml:space="preserve"> pertinentes</w:t>
      </w:r>
      <w:r w:rsidRPr="00660160">
        <w:t xml:space="preserve">, fueron desarrollados y acordados originalmente por todos los Estados </w:t>
      </w:r>
      <w:r w:rsidR="008311B2" w:rsidRPr="00660160">
        <w:t xml:space="preserve">Miembros </w:t>
      </w:r>
      <w:r w:rsidRPr="00660160">
        <w:t>de la UIT en el</w:t>
      </w:r>
      <w:r w:rsidR="008311B2" w:rsidRPr="00660160">
        <w:t xml:space="preserve"> marco del</w:t>
      </w:r>
      <w:r w:rsidRPr="00660160">
        <w:t xml:space="preserve"> punto 1.13 del orden del día de la CMR-2000. </w:t>
      </w:r>
      <w:r w:rsidR="008311B2" w:rsidRPr="00660160">
        <w:t>M</w:t>
      </w:r>
      <w:r w:rsidRPr="00660160">
        <w:t>ás de 600 parámetros en las bandas de frecuencia</w:t>
      </w:r>
      <w:r w:rsidR="008311B2" w:rsidRPr="00660160">
        <w:t>s</w:t>
      </w:r>
      <w:r w:rsidRPr="00660160">
        <w:t xml:space="preserve"> 14/11 GHz y 200 parámetros en las bandas de frecuencia 30/20 GHz fueron presentados por las administraciones y estudiados por las Comisiones de Estudio </w:t>
      </w:r>
      <w:r w:rsidR="0088665D">
        <w:t>del</w:t>
      </w:r>
      <w:r w:rsidRPr="00660160">
        <w:t xml:space="preserve"> UIT</w:t>
      </w:r>
      <w:r w:rsidR="0088665D">
        <w:t>-R</w:t>
      </w:r>
      <w:r w:rsidRPr="00660160">
        <w:t xml:space="preserve"> para establecer estos límites de dfpe. La descripción de los sistemas OSG </w:t>
      </w:r>
      <w:r w:rsidR="00D43D27" w:rsidRPr="00660160">
        <w:t xml:space="preserve">del SFS </w:t>
      </w:r>
      <w:r w:rsidRPr="00660160">
        <w:t xml:space="preserve">a los que se hizo referencia durante el estudio </w:t>
      </w:r>
      <w:r w:rsidR="00D43D27" w:rsidRPr="00660160">
        <w:t>proviene de</w:t>
      </w:r>
      <w:r w:rsidRPr="00660160">
        <w:t xml:space="preserve"> la Recomendación UIT-R S.1328. El estudio también calculó el efecto de la compensación del desvanecimiento </w:t>
      </w:r>
      <w:r w:rsidR="00D43D27" w:rsidRPr="00660160">
        <w:t>debido a la</w:t>
      </w:r>
      <w:r w:rsidRPr="00660160">
        <w:t xml:space="preserve"> lluvia mediante codificación adaptativa para las bandas de frecuencia 14/11 GHz y 30/20 GHz.</w:t>
      </w:r>
    </w:p>
    <w:p w14:paraId="4412D0CA" w14:textId="6047CF7B" w:rsidR="001B357B" w:rsidRPr="00660160" w:rsidRDefault="00D43D27" w:rsidP="0047475A">
      <w:pPr>
        <w:rPr>
          <w:szCs w:val="24"/>
        </w:rPr>
      </w:pPr>
      <w:r w:rsidRPr="00660160">
        <w:rPr>
          <w:rFonts w:eastAsia="Cardo"/>
        </w:rPr>
        <w:t>En el marco del punto 1.13 del orden del día de la CMR-2000, e</w:t>
      </w:r>
      <w:r w:rsidR="001B357B" w:rsidRPr="00660160">
        <w:rPr>
          <w:rFonts w:eastAsia="Cardo"/>
        </w:rPr>
        <w:t xml:space="preserve">l UIT-R y </w:t>
      </w:r>
      <w:r w:rsidRPr="00660160">
        <w:rPr>
          <w:rFonts w:eastAsia="Cardo"/>
        </w:rPr>
        <w:t>los</w:t>
      </w:r>
      <w:r w:rsidR="001B357B" w:rsidRPr="00660160">
        <w:rPr>
          <w:rFonts w:eastAsia="Cardo"/>
        </w:rPr>
        <w:t xml:space="preserve"> Estados </w:t>
      </w:r>
      <w:r w:rsidRPr="00660160">
        <w:rPr>
          <w:rFonts w:eastAsia="Cardo"/>
        </w:rPr>
        <w:t>Miembros</w:t>
      </w:r>
      <w:r w:rsidR="001B357B" w:rsidRPr="00660160">
        <w:rPr>
          <w:rFonts w:eastAsia="Cardo"/>
        </w:rPr>
        <w:t xml:space="preserve"> acordaron definir límites de dfpe porque era necesario </w:t>
      </w:r>
      <w:r w:rsidR="0047475A" w:rsidRPr="00660160">
        <w:rPr>
          <w:rFonts w:eastAsia="Cardo"/>
        </w:rPr>
        <w:t>establecer</w:t>
      </w:r>
      <w:r w:rsidR="001B357B" w:rsidRPr="00660160">
        <w:rPr>
          <w:rFonts w:eastAsia="Cardo"/>
        </w:rPr>
        <w:t xml:space="preserve"> un mecanismo regulador que garantizara la protección de las redes </w:t>
      </w:r>
      <w:r w:rsidR="0047475A" w:rsidRPr="00660160">
        <w:rPr>
          <w:rFonts w:eastAsia="Cardo"/>
        </w:rPr>
        <w:t xml:space="preserve">OSG </w:t>
      </w:r>
      <w:r w:rsidR="001B357B" w:rsidRPr="00660160">
        <w:rPr>
          <w:rFonts w:eastAsia="Cardo"/>
        </w:rPr>
        <w:t>del SFS</w:t>
      </w:r>
      <w:r w:rsidR="0047475A" w:rsidRPr="00660160">
        <w:rPr>
          <w:rFonts w:eastAsia="Cardo"/>
        </w:rPr>
        <w:t xml:space="preserve"> y el SRS</w:t>
      </w:r>
      <w:r w:rsidR="001B357B" w:rsidRPr="00660160">
        <w:rPr>
          <w:rFonts w:eastAsia="Cardo"/>
        </w:rPr>
        <w:t xml:space="preserve"> frente a la </w:t>
      </w:r>
      <w:r w:rsidR="0047475A" w:rsidRPr="00660160">
        <w:rPr>
          <w:rFonts w:eastAsia="Cardo"/>
        </w:rPr>
        <w:t xml:space="preserve">máxima </w:t>
      </w:r>
      <w:r w:rsidR="001B357B" w:rsidRPr="00660160">
        <w:rPr>
          <w:rFonts w:eastAsia="Cardo"/>
        </w:rPr>
        <w:t xml:space="preserve">interferencia </w:t>
      </w:r>
      <w:r w:rsidR="0047475A" w:rsidRPr="00660160">
        <w:rPr>
          <w:rFonts w:eastAsia="Cardo"/>
        </w:rPr>
        <w:t>combinada</w:t>
      </w:r>
      <w:r w:rsidR="001B357B" w:rsidRPr="00660160">
        <w:rPr>
          <w:rFonts w:eastAsia="Cardo"/>
        </w:rPr>
        <w:t xml:space="preserve"> producida por múltiples sistemas no OSG </w:t>
      </w:r>
      <w:r w:rsidR="0047475A" w:rsidRPr="00660160">
        <w:rPr>
          <w:rFonts w:eastAsia="Cardo"/>
        </w:rPr>
        <w:t xml:space="preserve">del SFS </w:t>
      </w:r>
      <w:r w:rsidR="001B357B" w:rsidRPr="00660160">
        <w:rPr>
          <w:rFonts w:eastAsia="Cardo"/>
        </w:rPr>
        <w:t xml:space="preserve">en las bandas de frecuencias en las que se habían adoptado límites de dfpe. Por tanto, </w:t>
      </w:r>
      <w:r w:rsidR="0047475A" w:rsidRPr="00660160">
        <w:rPr>
          <w:rFonts w:eastAsia="Cardo"/>
        </w:rPr>
        <w:t xml:space="preserve">limitarse a </w:t>
      </w:r>
      <w:r w:rsidR="001B357B" w:rsidRPr="00660160">
        <w:rPr>
          <w:rFonts w:eastAsia="Cardo"/>
        </w:rPr>
        <w:t xml:space="preserve">comparar </w:t>
      </w:r>
      <w:r w:rsidR="0047475A" w:rsidRPr="00660160">
        <w:rPr>
          <w:rFonts w:eastAsia="Cardo"/>
        </w:rPr>
        <w:t>l</w:t>
      </w:r>
      <w:r w:rsidR="001B357B" w:rsidRPr="00660160">
        <w:rPr>
          <w:rFonts w:eastAsia="Cardo"/>
        </w:rPr>
        <w:t xml:space="preserve">as máscaras de </w:t>
      </w:r>
      <w:r w:rsidR="0047475A" w:rsidRPr="00660160">
        <w:t>los límites de dfpe</w:t>
      </w:r>
      <w:r w:rsidR="0047475A" w:rsidRPr="00660160">
        <w:rPr>
          <w:rFonts w:eastAsia="Cardo"/>
        </w:rPr>
        <w:t>↓</w:t>
      </w:r>
      <w:r w:rsidR="0047475A" w:rsidRPr="00660160">
        <w:t xml:space="preserve"> para interferencias de una sola fuente </w:t>
      </w:r>
      <w:r w:rsidR="001B357B" w:rsidRPr="00660160">
        <w:rPr>
          <w:rFonts w:eastAsia="Cardo"/>
        </w:rPr>
        <w:t>con algunos</w:t>
      </w:r>
      <w:r w:rsidR="0047475A" w:rsidRPr="00660160">
        <w:rPr>
          <w:rFonts w:eastAsia="Cardo"/>
        </w:rPr>
        <w:t xml:space="preserve"> de los</w:t>
      </w:r>
      <w:r w:rsidR="001B357B" w:rsidRPr="00660160">
        <w:rPr>
          <w:rFonts w:eastAsia="Cardo"/>
        </w:rPr>
        <w:t xml:space="preserve"> criterios de protección de las redes </w:t>
      </w:r>
      <w:r w:rsidR="0047475A" w:rsidRPr="00660160">
        <w:rPr>
          <w:rFonts w:eastAsia="Cardo"/>
        </w:rPr>
        <w:t xml:space="preserve">OSG </w:t>
      </w:r>
      <w:r w:rsidR="001B357B" w:rsidRPr="00660160">
        <w:rPr>
          <w:rFonts w:eastAsia="Cardo"/>
        </w:rPr>
        <w:t>del SFS</w:t>
      </w:r>
      <w:r w:rsidR="0047475A" w:rsidRPr="00660160">
        <w:rPr>
          <w:rFonts w:eastAsia="Cardo"/>
        </w:rPr>
        <w:t xml:space="preserve"> y el SRS más</w:t>
      </w:r>
      <w:r w:rsidR="001B357B" w:rsidRPr="00660160">
        <w:rPr>
          <w:rFonts w:eastAsia="Cardo"/>
        </w:rPr>
        <w:t xml:space="preserve"> utilizados, como</w:t>
      </w:r>
      <w:r w:rsidR="0047475A" w:rsidRPr="00660160">
        <w:rPr>
          <w:rFonts w:eastAsia="Cardo"/>
        </w:rPr>
        <w:t xml:space="preserve"> pueden ser los de</w:t>
      </w:r>
      <w:r w:rsidR="001B357B" w:rsidRPr="00660160">
        <w:rPr>
          <w:rFonts w:eastAsia="Cardo"/>
        </w:rPr>
        <w:t xml:space="preserve"> la Recomendación UIT-R S.1432, no sería adecuado. En ese sentido, los límites de dfpe </w:t>
      </w:r>
      <w:r w:rsidR="0047475A" w:rsidRPr="00660160">
        <w:rPr>
          <w:rFonts w:eastAsia="Cardo"/>
        </w:rPr>
        <w:t xml:space="preserve">establecidos actualmente </w:t>
      </w:r>
      <w:r w:rsidR="001B357B" w:rsidRPr="00660160">
        <w:rPr>
          <w:rFonts w:eastAsia="Cardo"/>
        </w:rPr>
        <w:t xml:space="preserve">en la Resolución </w:t>
      </w:r>
      <w:r w:rsidR="001B357B" w:rsidRPr="00660160">
        <w:rPr>
          <w:b/>
        </w:rPr>
        <w:t xml:space="preserve">76 </w:t>
      </w:r>
      <w:r w:rsidR="001B357B" w:rsidRPr="00660160">
        <w:rPr>
          <w:b/>
          <w:bCs/>
        </w:rPr>
        <w:t xml:space="preserve">(Rev.CMR-15) </w:t>
      </w:r>
      <w:r w:rsidR="001B357B" w:rsidRPr="00660160">
        <w:t xml:space="preserve">y en el </w:t>
      </w:r>
      <w:r w:rsidR="0047475A" w:rsidRPr="00660160">
        <w:t xml:space="preserve">Artículo </w:t>
      </w:r>
      <w:r w:rsidR="001B357B" w:rsidRPr="00660160">
        <w:rPr>
          <w:b/>
        </w:rPr>
        <w:t xml:space="preserve">22 </w:t>
      </w:r>
      <w:r w:rsidR="0047475A" w:rsidRPr="00660160">
        <w:rPr>
          <w:bCs/>
        </w:rPr>
        <w:t>del</w:t>
      </w:r>
      <w:r w:rsidR="001B357B" w:rsidRPr="00660160">
        <w:t xml:space="preserve"> RR son suficientes para proteger </w:t>
      </w:r>
      <w:r w:rsidR="00B77A39">
        <w:t xml:space="preserve">de forma </w:t>
      </w:r>
      <w:r w:rsidR="001B357B" w:rsidRPr="00660160">
        <w:t xml:space="preserve">adecuada las redes </w:t>
      </w:r>
      <w:r w:rsidR="0047475A" w:rsidRPr="00660160">
        <w:t xml:space="preserve">OSG </w:t>
      </w:r>
      <w:r w:rsidR="001B357B" w:rsidRPr="00660160">
        <w:t>del SFS</w:t>
      </w:r>
      <w:r w:rsidR="0047475A" w:rsidRPr="00660160">
        <w:t xml:space="preserve"> y el SRS frente a</w:t>
      </w:r>
      <w:r w:rsidR="001B357B" w:rsidRPr="00660160">
        <w:t xml:space="preserve"> todos los sistemas </w:t>
      </w:r>
      <w:r w:rsidR="0047475A" w:rsidRPr="00660160">
        <w:t xml:space="preserve">no OSG </w:t>
      </w:r>
      <w:r w:rsidR="001B357B" w:rsidRPr="00660160">
        <w:t xml:space="preserve">del SFS, </w:t>
      </w:r>
      <w:r w:rsidR="0047475A" w:rsidRPr="00660160">
        <w:t>los cuales</w:t>
      </w:r>
      <w:r w:rsidR="001B357B" w:rsidRPr="00660160">
        <w:t xml:space="preserve"> deben cumplir</w:t>
      </w:r>
      <w:r w:rsidR="0047475A" w:rsidRPr="00660160">
        <w:t xml:space="preserve"> a título individual</w:t>
      </w:r>
      <w:r w:rsidR="001B357B" w:rsidRPr="00660160">
        <w:t xml:space="preserve"> los límites del </w:t>
      </w:r>
      <w:r w:rsidR="0047475A" w:rsidRPr="00660160">
        <w:t xml:space="preserve">Artículo </w:t>
      </w:r>
      <w:r w:rsidR="001B357B" w:rsidRPr="00660160">
        <w:rPr>
          <w:b/>
        </w:rPr>
        <w:t xml:space="preserve">22 </w:t>
      </w:r>
      <w:r w:rsidR="001B357B" w:rsidRPr="00660160">
        <w:t>del RR</w:t>
      </w:r>
      <w:r w:rsidR="0047475A" w:rsidRPr="00660160">
        <w:t xml:space="preserve"> y</w:t>
      </w:r>
      <w:r w:rsidR="001B357B" w:rsidRPr="00660160">
        <w:t>, especialmente</w:t>
      </w:r>
      <w:r w:rsidR="0047475A" w:rsidRPr="00660160">
        <w:t xml:space="preserve">, el número </w:t>
      </w:r>
      <w:r w:rsidR="001B357B" w:rsidRPr="00660160">
        <w:rPr>
          <w:b/>
        </w:rPr>
        <w:t>22.2</w:t>
      </w:r>
      <w:r w:rsidR="0047475A" w:rsidRPr="00660160">
        <w:rPr>
          <w:bCs/>
        </w:rPr>
        <w:t xml:space="preserve"> del RR</w:t>
      </w:r>
      <w:r w:rsidR="001B357B" w:rsidRPr="00660160">
        <w:t>, al tiempo que</w:t>
      </w:r>
      <w:r w:rsidR="0047475A" w:rsidRPr="00660160">
        <w:t xml:space="preserve"> brindan un margen </w:t>
      </w:r>
      <w:r w:rsidR="001B357B" w:rsidRPr="00660160">
        <w:t xml:space="preserve">razonable para </w:t>
      </w:r>
      <w:r w:rsidR="0047475A" w:rsidRPr="00660160">
        <w:t>el</w:t>
      </w:r>
      <w:r w:rsidR="001B357B" w:rsidRPr="00660160">
        <w:t xml:space="preserve"> despliegue</w:t>
      </w:r>
      <w:r w:rsidR="0047475A" w:rsidRPr="00660160">
        <w:t xml:space="preserve"> de</w:t>
      </w:r>
      <w:r w:rsidR="001B357B" w:rsidRPr="00660160">
        <w:t xml:space="preserve"> sistemas </w:t>
      </w:r>
      <w:r w:rsidR="0047475A" w:rsidRPr="00660160">
        <w:t xml:space="preserve">no OSG </w:t>
      </w:r>
      <w:r w:rsidR="001B357B" w:rsidRPr="00660160">
        <w:t>del SFS.</w:t>
      </w:r>
    </w:p>
    <w:p w14:paraId="20E0A183" w14:textId="4980FFBF" w:rsidR="001B357B" w:rsidRPr="00660160" w:rsidRDefault="001B357B" w:rsidP="001B357B">
      <w:r w:rsidRPr="00660160">
        <w:t xml:space="preserve">El marco técnico y reglamentario establecido en el </w:t>
      </w:r>
      <w:r w:rsidR="006829A5" w:rsidRPr="00660160">
        <w:t xml:space="preserve">Artículo </w:t>
      </w:r>
      <w:r w:rsidRPr="00660160">
        <w:rPr>
          <w:b/>
          <w:bCs/>
        </w:rPr>
        <w:t xml:space="preserve">22 </w:t>
      </w:r>
      <w:r w:rsidRPr="00660160">
        <w:t xml:space="preserve">del RR y en la Resolución </w:t>
      </w:r>
      <w:r w:rsidRPr="00660160">
        <w:rPr>
          <w:b/>
          <w:bCs/>
        </w:rPr>
        <w:t xml:space="preserve">76 (Rev.CMR-15) </w:t>
      </w:r>
      <w:r w:rsidR="002C4E94" w:rsidRPr="00660160">
        <w:t>establece</w:t>
      </w:r>
      <w:r w:rsidRPr="00660160">
        <w:t xml:space="preserve"> el nivel de interferencia que los sistemas no OSG pueden </w:t>
      </w:r>
      <w:r w:rsidR="002C4E94" w:rsidRPr="00660160">
        <w:t>causar a</w:t>
      </w:r>
      <w:r w:rsidRPr="00660160">
        <w:t xml:space="preserve"> las redes OSG sin imponer limitaciones a los sistemas o servicios que comparten esas bandas de frecuencias, incluidos los sistemas no OSG.</w:t>
      </w:r>
    </w:p>
    <w:p w14:paraId="64A0E70B" w14:textId="015DFD40" w:rsidR="001B357B" w:rsidRPr="00660160" w:rsidRDefault="001B357B" w:rsidP="001B357B">
      <w:r w:rsidRPr="00660160">
        <w:t xml:space="preserve">El </w:t>
      </w:r>
      <w:r w:rsidR="002C4E94" w:rsidRPr="00660160">
        <w:t xml:space="preserve">Artículo </w:t>
      </w:r>
      <w:r w:rsidRPr="00660160">
        <w:rPr>
          <w:b/>
          <w:bCs/>
        </w:rPr>
        <w:t xml:space="preserve">22 </w:t>
      </w:r>
      <w:r w:rsidRPr="00660160">
        <w:t xml:space="preserve">del RR </w:t>
      </w:r>
      <w:r w:rsidR="002C4E94" w:rsidRPr="00660160">
        <w:t>prevé</w:t>
      </w:r>
      <w:r w:rsidRPr="00660160">
        <w:t xml:space="preserve"> un método </w:t>
      </w:r>
      <w:r w:rsidR="002C4E94" w:rsidRPr="00660160">
        <w:t>consolidado</w:t>
      </w:r>
      <w:r w:rsidRPr="00660160">
        <w:t xml:space="preserve"> y claro para </w:t>
      </w:r>
      <w:r w:rsidR="002C4E94" w:rsidRPr="00660160">
        <w:t>la compartición de</w:t>
      </w:r>
      <w:r w:rsidRPr="00660160">
        <w:t xml:space="preserve"> espectro entre </w:t>
      </w:r>
      <w:r w:rsidR="002C4E94" w:rsidRPr="00660160">
        <w:t xml:space="preserve">redes OSG y sistemas no OSG en </w:t>
      </w:r>
      <w:r w:rsidRPr="00660160">
        <w:t xml:space="preserve">las bandas de frecuencias 14/11 y 30/20 GHz. Un número significativo de redes OSG ha invertido </w:t>
      </w:r>
      <w:r w:rsidR="002C4E94" w:rsidRPr="00660160">
        <w:t xml:space="preserve">a título presente y futuro </w:t>
      </w:r>
      <w:r w:rsidRPr="00660160">
        <w:t>en las bandas de frecuencias 14/11 y 30/20 GHz y sus servicios</w:t>
      </w:r>
      <w:r w:rsidR="002C4E94" w:rsidRPr="00660160">
        <w:t xml:space="preserve"> dependen del marco de dfpe establecido actualmente en </w:t>
      </w:r>
      <w:r w:rsidRPr="00660160">
        <w:t xml:space="preserve">el </w:t>
      </w:r>
      <w:r w:rsidR="002C4E94" w:rsidRPr="00660160">
        <w:t>A</w:t>
      </w:r>
      <w:r w:rsidRPr="00660160">
        <w:t xml:space="preserve">rtículo </w:t>
      </w:r>
      <w:r w:rsidRPr="00660160">
        <w:rPr>
          <w:b/>
          <w:bCs/>
        </w:rPr>
        <w:t xml:space="preserve">22 </w:t>
      </w:r>
      <w:r w:rsidRPr="00660160">
        <w:t>del RR. Recientemente</w:t>
      </w:r>
      <w:r w:rsidR="002C4E94" w:rsidRPr="00660160">
        <w:t>,</w:t>
      </w:r>
      <w:r w:rsidRPr="00660160">
        <w:t xml:space="preserve"> se han lanzado nuev</w:t>
      </w:r>
      <w:r w:rsidR="002C4E94" w:rsidRPr="00660160">
        <w:t>o</w:t>
      </w:r>
      <w:r w:rsidRPr="00660160">
        <w:t xml:space="preserve">s e innovadoras servicios </w:t>
      </w:r>
      <w:r w:rsidR="002C4E94" w:rsidRPr="00660160">
        <w:t xml:space="preserve">y redes </w:t>
      </w:r>
      <w:r w:rsidRPr="00660160">
        <w:t xml:space="preserve">HTS </w:t>
      </w:r>
      <w:r w:rsidR="002C4E94" w:rsidRPr="00660160">
        <w:t xml:space="preserve">OSG </w:t>
      </w:r>
      <w:r w:rsidRPr="00660160">
        <w:t>del SFS en las bandas de frecuencias 14/11 y 30/20 GHz y</w:t>
      </w:r>
      <w:r w:rsidR="002C4E94" w:rsidRPr="00660160">
        <w:t xml:space="preserve"> se ha previsto </w:t>
      </w:r>
      <w:r w:rsidRPr="00660160">
        <w:t>desarrolla</w:t>
      </w:r>
      <w:r w:rsidR="002C4E94" w:rsidRPr="00660160">
        <w:t>r</w:t>
      </w:r>
      <w:r w:rsidRPr="00660160">
        <w:t xml:space="preserve"> much</w:t>
      </w:r>
      <w:r w:rsidR="002C4E94" w:rsidRPr="00660160">
        <w:t>o</w:t>
      </w:r>
      <w:r w:rsidRPr="00660160">
        <w:t xml:space="preserve">s más en los próximos años, </w:t>
      </w:r>
      <w:r w:rsidR="002C4E94" w:rsidRPr="00660160">
        <w:t>basados todos ellos e</w:t>
      </w:r>
      <w:r w:rsidRPr="00660160">
        <w:t xml:space="preserve">n los límites del </w:t>
      </w:r>
      <w:r w:rsidR="002C4E94" w:rsidRPr="00660160">
        <w:t xml:space="preserve">Artículo </w:t>
      </w:r>
      <w:r w:rsidRPr="00660160">
        <w:rPr>
          <w:b/>
          <w:bCs/>
        </w:rPr>
        <w:t xml:space="preserve">22 </w:t>
      </w:r>
      <w:r w:rsidRPr="00660160">
        <w:t>del RR.</w:t>
      </w:r>
    </w:p>
    <w:p w14:paraId="0BCC83A4" w14:textId="74E030E7" w:rsidR="001B357B" w:rsidRPr="00660160" w:rsidRDefault="001B357B" w:rsidP="001B357B">
      <w:r w:rsidRPr="00660160">
        <w:t xml:space="preserve">Además, un futuro punto del orden del día </w:t>
      </w:r>
      <w:r w:rsidR="001069E9" w:rsidRPr="00660160">
        <w:t>encaminado a</w:t>
      </w:r>
      <w:r w:rsidRPr="00660160">
        <w:t xml:space="preserve"> modificar el Artículo </w:t>
      </w:r>
      <w:r w:rsidRPr="00660160">
        <w:rPr>
          <w:b/>
          <w:bCs/>
        </w:rPr>
        <w:t xml:space="preserve">22 </w:t>
      </w:r>
      <w:r w:rsidRPr="00660160">
        <w:t>del RR sería redundante y contraproducente</w:t>
      </w:r>
      <w:r w:rsidR="001069E9" w:rsidRPr="00660160">
        <w:t>,</w:t>
      </w:r>
      <w:r w:rsidRPr="00660160">
        <w:t xml:space="preserve"> </w:t>
      </w:r>
      <w:r w:rsidR="001069E9" w:rsidRPr="00660160">
        <w:t xml:space="preserve">pues de lo que verdaderamente se trata es </w:t>
      </w:r>
      <w:r w:rsidRPr="00660160">
        <w:t xml:space="preserve">de garantizar que la metodología (Recomendación UIT-R S.1503) </w:t>
      </w:r>
      <w:r w:rsidR="001069E9" w:rsidRPr="00660160">
        <w:t>permita</w:t>
      </w:r>
      <w:r w:rsidRPr="00660160">
        <w:t xml:space="preserve"> una evaluación precisa del cumplimiento </w:t>
      </w:r>
      <w:r w:rsidR="001069E9" w:rsidRPr="00660160">
        <w:t xml:space="preserve">de los límites de dfpe del Artículo </w:t>
      </w:r>
      <w:r w:rsidR="001069E9" w:rsidRPr="00660160">
        <w:rPr>
          <w:b/>
          <w:bCs/>
        </w:rPr>
        <w:t xml:space="preserve">22 </w:t>
      </w:r>
      <w:r w:rsidR="001069E9" w:rsidRPr="00660160">
        <w:t xml:space="preserve">del RR </w:t>
      </w:r>
      <w:r w:rsidRPr="00660160">
        <w:t xml:space="preserve">por parte de los sistemas no OSG, </w:t>
      </w:r>
      <w:r w:rsidR="001069E9" w:rsidRPr="00660160">
        <w:t xml:space="preserve">labor de la que se está ocupando </w:t>
      </w:r>
      <w:r w:rsidRPr="00660160">
        <w:t>el GT 4A. Actualmente</w:t>
      </w:r>
      <w:r w:rsidR="001069E9" w:rsidRPr="00660160">
        <w:t>,</w:t>
      </w:r>
      <w:r w:rsidRPr="00660160">
        <w:t xml:space="preserve"> en el seno del GT 4</w:t>
      </w:r>
      <w:r w:rsidR="001069E9" w:rsidRPr="00660160">
        <w:t>A,</w:t>
      </w:r>
      <w:r w:rsidRPr="00660160">
        <w:t xml:space="preserve"> </w:t>
      </w:r>
      <w:r w:rsidR="001069E9" w:rsidRPr="00660160">
        <w:t>se está sopesando la posibilidad de actualizar</w:t>
      </w:r>
      <w:r w:rsidRPr="00660160">
        <w:t xml:space="preserve"> la Recomendación UIT-R S.1503</w:t>
      </w:r>
      <w:r w:rsidR="001069E9" w:rsidRPr="00660160">
        <w:t>,</w:t>
      </w:r>
      <w:r w:rsidRPr="00660160">
        <w:t xml:space="preserve"> que la Oficina de Radiocomunicaciones (BR) </w:t>
      </w:r>
      <w:r w:rsidR="001069E9" w:rsidRPr="00660160">
        <w:t xml:space="preserve">utiliza </w:t>
      </w:r>
      <w:r w:rsidRPr="00660160">
        <w:t xml:space="preserve">para </w:t>
      </w:r>
      <w:r w:rsidR="001069E9" w:rsidRPr="00660160">
        <w:t>todas las notificaciones de</w:t>
      </w:r>
      <w:r w:rsidRPr="00660160">
        <w:t xml:space="preserve"> sistemas no OSG </w:t>
      </w:r>
      <w:r w:rsidR="001069E9" w:rsidRPr="00660160">
        <w:t>a</w:t>
      </w:r>
      <w:r w:rsidRPr="00660160">
        <w:t xml:space="preserve"> fin de garantizar </w:t>
      </w:r>
      <w:r w:rsidR="001069E9" w:rsidRPr="00660160">
        <w:t xml:space="preserve">el cumplimiento de </w:t>
      </w:r>
      <w:r w:rsidRPr="00660160">
        <w:t>los límites de dfpe</w:t>
      </w:r>
      <w:r w:rsidR="001069E9" w:rsidRPr="00660160">
        <w:t xml:space="preserve"> aplicables</w:t>
      </w:r>
      <w:r w:rsidRPr="00660160">
        <w:t xml:space="preserve">. Las revisiones que se están considerando </w:t>
      </w:r>
      <w:r w:rsidR="001069E9" w:rsidRPr="00660160">
        <w:t>en este momento</w:t>
      </w:r>
      <w:r w:rsidR="00B77A39">
        <w:t xml:space="preserve"> giran en torno a</w:t>
      </w:r>
      <w:r w:rsidRPr="00660160">
        <w:t xml:space="preserve"> la precisión de las evaluaciones de</w:t>
      </w:r>
      <w:r w:rsidR="001069E9" w:rsidRPr="00660160">
        <w:t xml:space="preserve"> las</w:t>
      </w:r>
      <w:r w:rsidRPr="00660160">
        <w:t xml:space="preserve"> interferencias no OSG. </w:t>
      </w:r>
      <w:r w:rsidR="001069E9" w:rsidRPr="00660160">
        <w:t>En general, se considera</w:t>
      </w:r>
      <w:r w:rsidRPr="00660160">
        <w:t xml:space="preserve"> que este trabajo es importante</w:t>
      </w:r>
      <w:r w:rsidR="001069E9" w:rsidRPr="00660160">
        <w:t xml:space="preserve"> y</w:t>
      </w:r>
      <w:r w:rsidRPr="00660160">
        <w:t xml:space="preserve"> urgente</w:t>
      </w:r>
      <w:r w:rsidR="001069E9" w:rsidRPr="00660160">
        <w:t>,</w:t>
      </w:r>
      <w:r w:rsidRPr="00660160">
        <w:t xml:space="preserve"> y debe </w:t>
      </w:r>
      <w:r w:rsidR="001069E9" w:rsidRPr="00660160">
        <w:t>llevarse a cabo en base</w:t>
      </w:r>
      <w:r w:rsidRPr="00660160">
        <w:t xml:space="preserve"> a los límites de </w:t>
      </w:r>
      <w:r w:rsidR="001069E9" w:rsidRPr="00660160">
        <w:t>dfpe</w:t>
      </w:r>
      <w:r w:rsidRPr="00660160">
        <w:t xml:space="preserve"> establecidos. Cualquier propuesta de modificación de esos límites </w:t>
      </w:r>
      <w:r w:rsidR="001069E9" w:rsidRPr="00660160">
        <w:t>genera</w:t>
      </w:r>
      <w:r w:rsidRPr="00660160">
        <w:t xml:space="preserve">ría incertidumbre </w:t>
      </w:r>
      <w:r w:rsidR="001069E9" w:rsidRPr="00660160">
        <w:t xml:space="preserve">en </w:t>
      </w:r>
      <w:r w:rsidR="00B77A39">
        <w:t>lo que respecta</w:t>
      </w:r>
      <w:r w:rsidR="001069E9" w:rsidRPr="00660160">
        <w:t xml:space="preserve"> a</w:t>
      </w:r>
      <w:r w:rsidRPr="00660160">
        <w:t xml:space="preserve"> la protección contra interferencias de las redes OSG </w:t>
      </w:r>
      <w:r w:rsidR="001069E9" w:rsidRPr="00660160">
        <w:t>presentes</w:t>
      </w:r>
      <w:r w:rsidRPr="00660160">
        <w:t xml:space="preserve"> y futuras.</w:t>
      </w:r>
    </w:p>
    <w:p w14:paraId="3FE2DA9C" w14:textId="2005A788" w:rsidR="001B357B" w:rsidRPr="00660160" w:rsidRDefault="001B357B" w:rsidP="001B357B">
      <w:r w:rsidRPr="00660160">
        <w:lastRenderedPageBreak/>
        <w:t xml:space="preserve">Dada la necesidad de proporcionar una seguridad </w:t>
      </w:r>
      <w:r w:rsidR="001069E9" w:rsidRPr="00660160">
        <w:t>constante</w:t>
      </w:r>
      <w:r w:rsidRPr="00660160">
        <w:t xml:space="preserve"> a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Pr="00660160">
        <w:t xml:space="preserve"> OSG globales y </w:t>
      </w:r>
      <w:r w:rsidR="0088665D" w:rsidRPr="00660160">
        <w:t>crític</w:t>
      </w:r>
      <w:r w:rsidR="0088665D">
        <w:t>a</w:t>
      </w:r>
      <w:r w:rsidR="0088665D" w:rsidRPr="00660160">
        <w:t>s</w:t>
      </w:r>
      <w:r w:rsidR="001069E9" w:rsidRPr="00660160">
        <w:t xml:space="preserve">, así como </w:t>
      </w:r>
      <w:r w:rsidRPr="00660160">
        <w:t>a los usuarios que dependen de los servicios OSG, por ejemplo</w:t>
      </w:r>
      <w:r w:rsidR="001069E9" w:rsidRPr="00660160">
        <w:t>, de</w:t>
      </w:r>
      <w:r w:rsidRPr="00660160">
        <w:t xml:space="preserve">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="001069E9" w:rsidRPr="00660160">
        <w:t xml:space="preserve"> del</w:t>
      </w:r>
      <w:r w:rsidRPr="00660160">
        <w:t xml:space="preserve"> SFS y</w:t>
      </w:r>
      <w:r w:rsidR="001069E9" w:rsidRPr="00660160">
        <w:t xml:space="preserve"> el</w:t>
      </w:r>
      <w:r w:rsidRPr="00660160">
        <w:t xml:space="preserve"> SRS, es fundamental garantizar que se sigan gestionando las interferencias inaceptables derivadas del despliegue en curso y sin restricciones de sistemas no OSG </w:t>
      </w:r>
      <w:r w:rsidR="00624A6D" w:rsidRPr="00660160">
        <w:t>de gran tamaño</w:t>
      </w:r>
      <w:r w:rsidRPr="00660160">
        <w:t>.</w:t>
      </w:r>
      <w:r w:rsidR="00624A6D" w:rsidRPr="00660160">
        <w:t xml:space="preserve"> Al mismo tiempo, se han de </w:t>
      </w:r>
      <w:r w:rsidRPr="00660160">
        <w:t>comprende</w:t>
      </w:r>
      <w:r w:rsidR="00624A6D" w:rsidRPr="00660160">
        <w:t xml:space="preserve">r </w:t>
      </w:r>
      <w:r w:rsidRPr="00660160">
        <w:t>plenamente tod</w:t>
      </w:r>
      <w:r w:rsidR="00624A6D" w:rsidRPr="00660160">
        <w:t>a</w:t>
      </w:r>
      <w:r w:rsidRPr="00660160">
        <w:t>s l</w:t>
      </w:r>
      <w:r w:rsidR="00624A6D" w:rsidRPr="00660160">
        <w:t>a</w:t>
      </w:r>
      <w:r w:rsidRPr="00660160">
        <w:t>s</w:t>
      </w:r>
      <w:r w:rsidR="00624A6D" w:rsidRPr="00660160">
        <w:t xml:space="preserve"> repercusiones</w:t>
      </w:r>
      <w:r w:rsidRPr="00660160">
        <w:t xml:space="preserve"> y externalidades que</w:t>
      </w:r>
      <w:r w:rsidR="00624A6D" w:rsidRPr="00660160">
        <w:t xml:space="preserve"> pueden </w:t>
      </w:r>
      <w:r w:rsidRPr="00660160">
        <w:t>conlleva</w:t>
      </w:r>
      <w:r w:rsidR="00624A6D" w:rsidRPr="00660160">
        <w:t>r</w:t>
      </w:r>
      <w:r w:rsidRPr="00660160">
        <w:t xml:space="preserve"> los despliegues de megaconstelaciones LEO masivas. La innovación continua en el diseño y </w:t>
      </w:r>
      <w:r w:rsidR="00624A6D" w:rsidRPr="00660160">
        <w:t xml:space="preserve">el </w:t>
      </w:r>
      <w:r w:rsidRPr="00660160">
        <w:t xml:space="preserve">despliegue </w:t>
      </w:r>
      <w:r w:rsidR="00624A6D" w:rsidRPr="00660160">
        <w:t>tanto</w:t>
      </w:r>
      <w:r w:rsidR="0088665D">
        <w:t xml:space="preserve"> de</w:t>
      </w:r>
      <w:r w:rsidR="00624A6D" w:rsidRPr="00660160">
        <w:t xml:space="preserve"> </w:t>
      </w:r>
      <w:r w:rsidR="0088665D" w:rsidRPr="00660160">
        <w:t xml:space="preserve">sistemas </w:t>
      </w:r>
      <w:r w:rsidR="009321EE">
        <w:t xml:space="preserve">no </w:t>
      </w:r>
      <w:r w:rsidR="00624A6D" w:rsidRPr="00660160">
        <w:t xml:space="preserve">OSG como </w:t>
      </w:r>
      <w:r w:rsidR="0088665D">
        <w:t>de redes</w:t>
      </w:r>
      <w:r w:rsidRPr="00660160">
        <w:t xml:space="preserve"> OSG </w:t>
      </w:r>
      <w:r w:rsidR="00624A6D" w:rsidRPr="00660160">
        <w:t>debe</w:t>
      </w:r>
      <w:r w:rsidRPr="00660160">
        <w:t xml:space="preserve"> ser compatible con un entorno de interferencia bien gestionado,</w:t>
      </w:r>
      <w:r w:rsidR="00624A6D" w:rsidRPr="00660160">
        <w:t xml:space="preserve"> puesto que </w:t>
      </w:r>
      <w:r w:rsidRPr="00660160">
        <w:t xml:space="preserve">los recursos orbitales </w:t>
      </w:r>
      <w:r w:rsidR="00624A6D" w:rsidRPr="00660160">
        <w:t>y</w:t>
      </w:r>
      <w:r w:rsidRPr="00660160">
        <w:t xml:space="preserve"> espectr</w:t>
      </w:r>
      <w:r w:rsidR="00624A6D" w:rsidRPr="00660160">
        <w:t>ales</w:t>
      </w:r>
      <w:r w:rsidRPr="00660160">
        <w:t xml:space="preserve"> son un bien común mundial y no pertenecen a</w:t>
      </w:r>
      <w:r w:rsidR="00C73B6A">
        <w:t xml:space="preserve"> un grupo reducido de</w:t>
      </w:r>
      <w:r w:rsidRPr="00660160">
        <w:t xml:space="preserve"> </w:t>
      </w:r>
      <w:r w:rsidR="00C73B6A">
        <w:t>agent</w:t>
      </w:r>
      <w:r w:rsidRPr="00660160">
        <w:t xml:space="preserve">es privados. </w:t>
      </w:r>
      <w:r w:rsidR="00624A6D" w:rsidRPr="00660160">
        <w:t>En el futuro, e</w:t>
      </w:r>
      <w:r w:rsidRPr="00660160">
        <w:t xml:space="preserve">ste ecosistema tiene que seguir siendo útil para todos los Estados </w:t>
      </w:r>
      <w:r w:rsidR="00624A6D" w:rsidRPr="00660160">
        <w:t xml:space="preserve">Miembros </w:t>
      </w:r>
      <w:r w:rsidRPr="00660160">
        <w:t xml:space="preserve">de la UIT, </w:t>
      </w:r>
      <w:r w:rsidR="00624A6D" w:rsidRPr="00660160">
        <w:t xml:space="preserve">ya sean </w:t>
      </w:r>
      <w:r w:rsidRPr="00660160">
        <w:t xml:space="preserve">grandes o pequeños, incluidos aquellos que dependen de redes y servicios OSG críticos en virtud de lo dispuesto en el </w:t>
      </w:r>
      <w:r w:rsidR="00624A6D" w:rsidRPr="00660160">
        <w:t xml:space="preserve">Artículo </w:t>
      </w:r>
      <w:r w:rsidRPr="00660160">
        <w:rPr>
          <w:b/>
          <w:bCs/>
        </w:rPr>
        <w:t xml:space="preserve">22 </w:t>
      </w:r>
      <w:r w:rsidRPr="00660160">
        <w:t xml:space="preserve">del RR. El </w:t>
      </w:r>
      <w:r w:rsidR="00624A6D" w:rsidRPr="00660160">
        <w:t>GT</w:t>
      </w:r>
      <w:r w:rsidRPr="00660160">
        <w:t xml:space="preserve"> 4A ya está abordando los </w:t>
      </w:r>
      <w:r w:rsidR="00624A6D" w:rsidRPr="00660160">
        <w:t>cambios</w:t>
      </w:r>
      <w:r w:rsidRPr="00660160">
        <w:t xml:space="preserve"> necesarios para garantizar que las interferencias de los sistemas no OSG se evalúen adecuadamente.</w:t>
      </w:r>
    </w:p>
    <w:p w14:paraId="7CE956B4" w14:textId="77777777" w:rsidR="001B357B" w:rsidRPr="00660160" w:rsidRDefault="001B357B" w:rsidP="001B357B">
      <w:pPr>
        <w:pStyle w:val="Headingb"/>
      </w:pPr>
      <w:r w:rsidRPr="00660160">
        <w:t>Opiniones y propuestas</w:t>
      </w:r>
    </w:p>
    <w:p w14:paraId="1EB034E6" w14:textId="62C6CA94" w:rsidR="001B357B" w:rsidRPr="00660160" w:rsidRDefault="00336FF0" w:rsidP="00336FF0">
      <w:r w:rsidRPr="00660160">
        <w:t xml:space="preserve">Dadas las escasas probabilidades de que </w:t>
      </w:r>
      <w:r w:rsidR="001B357B" w:rsidRPr="00660160">
        <w:t xml:space="preserve">el despliegue en curso de sistemas no OSG </w:t>
      </w:r>
      <w:r w:rsidRPr="00660160">
        <w:t xml:space="preserve">de gran tamaño </w:t>
      </w:r>
      <w:r w:rsidR="001B357B" w:rsidRPr="00660160">
        <w:t xml:space="preserve">mejore las condiciones de interferencia a las que están </w:t>
      </w:r>
      <w:r w:rsidR="0088665D" w:rsidRPr="00660160">
        <w:t>sometid</w:t>
      </w:r>
      <w:r w:rsidR="0088665D">
        <w:t>a</w:t>
      </w:r>
      <w:r w:rsidR="0088665D" w:rsidRPr="00660160">
        <w:t>s 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="001B357B" w:rsidRPr="00660160">
        <w:t xml:space="preserve"> OSG (</w:t>
      </w:r>
      <w:r w:rsidRPr="00660160">
        <w:t xml:space="preserve">del </w:t>
      </w:r>
      <w:r w:rsidR="001B357B" w:rsidRPr="00660160">
        <w:t>SFS y</w:t>
      </w:r>
      <w:r w:rsidRPr="00660160">
        <w:t xml:space="preserve"> el</w:t>
      </w:r>
      <w:r w:rsidR="001B357B" w:rsidRPr="00660160">
        <w:t xml:space="preserve"> SRS), es de vital importancia mantener los actuales límites de dfpe </w:t>
      </w:r>
      <w:r w:rsidRPr="00660160">
        <w:t>combinada</w:t>
      </w:r>
      <w:r w:rsidR="001B357B" w:rsidRPr="00660160">
        <w:t xml:space="preserve"> y de</w:t>
      </w:r>
      <w:r w:rsidRPr="00660160">
        <w:t xml:space="preserve"> dfpe para interferencias de una sola fuente cuyo objetivo es</w:t>
      </w:r>
      <w:r w:rsidR="001B357B" w:rsidRPr="00660160">
        <w:t xml:space="preserve"> proteger </w:t>
      </w:r>
      <w:r w:rsidR="0088665D" w:rsidRPr="00660160">
        <w:t>l</w:t>
      </w:r>
      <w:r w:rsidR="0088665D">
        <w:t>a</w:t>
      </w:r>
      <w:r w:rsidR="0088665D" w:rsidRPr="00660160">
        <w:t xml:space="preserve">s </w:t>
      </w:r>
      <w:r w:rsidR="0088665D">
        <w:t>redes</w:t>
      </w:r>
      <w:r w:rsidR="001B357B" w:rsidRPr="00660160">
        <w:t xml:space="preserve"> OSG </w:t>
      </w:r>
      <w:r w:rsidRPr="00660160">
        <w:t>contra las</w:t>
      </w:r>
      <w:r w:rsidR="001B357B" w:rsidRPr="00660160">
        <w:t xml:space="preserve"> interferencias inaceptables </w:t>
      </w:r>
      <w:r w:rsidRPr="00660160">
        <w:t>causadas por los</w:t>
      </w:r>
      <w:r w:rsidR="001B357B" w:rsidRPr="00660160">
        <w:t xml:space="preserve"> sistemas no OSG (</w:t>
      </w:r>
      <w:r w:rsidRPr="00660160">
        <w:t>ya sea</w:t>
      </w:r>
      <w:r w:rsidR="0088665D">
        <w:t>n de una sola fuente o combinadas</w:t>
      </w:r>
      <w:r w:rsidR="001B357B" w:rsidRPr="00660160">
        <w:t xml:space="preserve">). Estos límites se han </w:t>
      </w:r>
      <w:r w:rsidRPr="00660160">
        <w:t>integrado</w:t>
      </w:r>
      <w:r w:rsidR="001B357B" w:rsidRPr="00660160">
        <w:t xml:space="preserve"> </w:t>
      </w:r>
      <w:r w:rsidRPr="00660160">
        <w:t>en</w:t>
      </w:r>
      <w:r w:rsidR="001B357B" w:rsidRPr="00660160">
        <w:t xml:space="preserve"> los objetivos de diseño de muchas redes de satélites </w:t>
      </w:r>
      <w:r w:rsidRPr="00660160">
        <w:t xml:space="preserve">OSG del </w:t>
      </w:r>
      <w:r w:rsidR="001B357B" w:rsidRPr="00660160">
        <w:t>SFS</w:t>
      </w:r>
      <w:r w:rsidRPr="00660160">
        <w:t xml:space="preserve"> y el </w:t>
      </w:r>
      <w:r w:rsidR="001B357B" w:rsidRPr="00660160">
        <w:t xml:space="preserve">SRS operativas y planificadas. Por tanto, Indonesia opina que </w:t>
      </w:r>
      <w:r w:rsidR="00C30E81" w:rsidRPr="00660160">
        <w:t>modificar</w:t>
      </w:r>
      <w:r w:rsidR="001B357B" w:rsidRPr="00660160">
        <w:t xml:space="preserve"> el </w:t>
      </w:r>
      <w:r w:rsidR="00C30E81" w:rsidRPr="00660160">
        <w:t>A</w:t>
      </w:r>
      <w:r w:rsidR="001B357B" w:rsidRPr="00660160">
        <w:t xml:space="preserve">rtículo </w:t>
      </w:r>
      <w:r w:rsidR="001B357B" w:rsidRPr="00660160">
        <w:rPr>
          <w:b/>
          <w:bCs/>
        </w:rPr>
        <w:t xml:space="preserve">22 </w:t>
      </w:r>
      <w:r w:rsidR="001B357B" w:rsidRPr="00660160">
        <w:t xml:space="preserve">del RR sería una empresa poco razonable por parte de cualquier CMR futura, dadas las múltiples incertidumbres que </w:t>
      </w:r>
      <w:r w:rsidR="00C30E81" w:rsidRPr="00660160">
        <w:t>rodean a</w:t>
      </w:r>
      <w:r w:rsidR="001B357B" w:rsidRPr="00660160">
        <w:t>l despliegue en curso y sin restricciones de sistemas no OSG</w:t>
      </w:r>
      <w:r w:rsidR="00C30E81" w:rsidRPr="00660160">
        <w:t xml:space="preserve"> de gran tamaño</w:t>
      </w:r>
      <w:r w:rsidR="001B357B" w:rsidRPr="00660160">
        <w:t>. La práctica</w:t>
      </w:r>
      <w:r w:rsidR="00C30E81" w:rsidRPr="00660160">
        <w:t xml:space="preserve"> consistente en </w:t>
      </w:r>
      <w:r w:rsidR="001B357B" w:rsidRPr="00660160">
        <w:t xml:space="preserve">dividir las </w:t>
      </w:r>
      <w:r w:rsidR="00C30E81" w:rsidRPr="00660160">
        <w:t>comunicaciones de</w:t>
      </w:r>
      <w:r w:rsidR="007E2273" w:rsidRPr="00660160">
        <w:t xml:space="preserve"> los</w:t>
      </w:r>
      <w:r w:rsidR="00C30E81" w:rsidRPr="00660160">
        <w:t xml:space="preserve"> sistemas</w:t>
      </w:r>
      <w:r w:rsidR="001B357B" w:rsidRPr="00660160">
        <w:t xml:space="preserve"> no OSG, </w:t>
      </w:r>
      <w:r w:rsidR="007E2273" w:rsidRPr="00660160">
        <w:t>junto con sus repercusiones en la</w:t>
      </w:r>
      <w:r w:rsidR="001B357B" w:rsidRPr="00660160">
        <w:t xml:space="preserve"> evaluación eficaz de los límites de protección de la dfpe, </w:t>
      </w:r>
      <w:r w:rsidR="007E2273" w:rsidRPr="00660160">
        <w:t>figuran entre las numerosas cuestiones que plantean</w:t>
      </w:r>
      <w:r w:rsidR="001B357B" w:rsidRPr="00660160">
        <w:t xml:space="preserve"> </w:t>
      </w:r>
      <w:r w:rsidR="0088665D" w:rsidRPr="00660160">
        <w:t>l</w:t>
      </w:r>
      <w:r w:rsidR="0088665D">
        <w:t>o</w:t>
      </w:r>
      <w:r w:rsidR="0088665D" w:rsidRPr="00660160">
        <w:t xml:space="preserve">s </w:t>
      </w:r>
      <w:r w:rsidR="0088665D">
        <w:t>sistemas</w:t>
      </w:r>
      <w:r w:rsidR="001B357B" w:rsidRPr="00660160">
        <w:t xml:space="preserve"> no OSG. </w:t>
      </w:r>
      <w:r w:rsidR="007E2273" w:rsidRPr="00660160">
        <w:t>A esto se añade la necesidad de completar el trabajo iniciado en el seno del GT 4A con miras a perfeccionar la metodología de evaluación de la Recomendación UIT-R S.1503 por la BR.</w:t>
      </w:r>
    </w:p>
    <w:p w14:paraId="3055C42E" w14:textId="77777777" w:rsidR="00336FF0" w:rsidRPr="00660160" w:rsidRDefault="00336FF0" w:rsidP="00336FF0">
      <w:pPr>
        <w:pStyle w:val="Reasons"/>
      </w:pPr>
    </w:p>
    <w:p w14:paraId="68EA189E" w14:textId="325AFB19" w:rsidR="001B357B" w:rsidRPr="00660160" w:rsidRDefault="00336FF0" w:rsidP="00336FF0">
      <w:pPr>
        <w:jc w:val="center"/>
      </w:pPr>
      <w:r w:rsidRPr="00660160">
        <w:t>______________</w:t>
      </w:r>
    </w:p>
    <w:sectPr w:rsidR="001B357B" w:rsidRPr="00660160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9BF4" w14:textId="77777777" w:rsidR="00666B37" w:rsidRDefault="00666B37">
      <w:r>
        <w:separator/>
      </w:r>
    </w:p>
  </w:endnote>
  <w:endnote w:type="continuationSeparator" w:id="0">
    <w:p w14:paraId="1EA1522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07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37F7C" w14:textId="78306AE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6A81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9739718"/>
  <w:bookmarkStart w:id="7" w:name="_Hlk149739719"/>
  <w:bookmarkStart w:id="8" w:name="_Hlk150240296"/>
  <w:bookmarkStart w:id="9" w:name="_Hlk150240297"/>
  <w:p w14:paraId="4FCA928B" w14:textId="3726CD80" w:rsidR="0077084A" w:rsidRDefault="000867D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322A">
      <w:rPr>
        <w:lang w:val="en-US"/>
      </w:rPr>
      <w:t>P:\ESP\ITU-R\CONF-R\CMR23\100\117ADD25V2S.docx</w:t>
    </w:r>
    <w:r>
      <w:fldChar w:fldCharType="end"/>
    </w:r>
    <w:r w:rsidRPr="000867DD">
      <w:rPr>
        <w:lang w:val="en-US"/>
      </w:rPr>
      <w:t xml:space="preserve"> </w:t>
    </w:r>
    <w:r>
      <w:rPr>
        <w:lang w:val="en-US"/>
      </w:rPr>
      <w:t>(530260)</w:t>
    </w:r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108A" w14:textId="7D7BACED" w:rsidR="0077084A" w:rsidRPr="000867D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21EE">
      <w:rPr>
        <w:lang w:val="en-US"/>
      </w:rPr>
      <w:t>P:\ESP\ITU-R\CONF-R\CMR23\100\117ADD25V2S.docx</w:t>
    </w:r>
    <w:r>
      <w:fldChar w:fldCharType="end"/>
    </w:r>
    <w:r w:rsidR="000867DD" w:rsidRPr="000867DD">
      <w:rPr>
        <w:lang w:val="en-US"/>
      </w:rPr>
      <w:t xml:space="preserve"> </w:t>
    </w:r>
    <w:r w:rsidR="000867DD">
      <w:rPr>
        <w:lang w:val="en-US"/>
      </w:rPr>
      <w:t>(530260)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95D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89916A7" w14:textId="77777777" w:rsidR="00666B37" w:rsidRDefault="00666B37">
      <w:r>
        <w:continuationSeparator/>
      </w:r>
    </w:p>
  </w:footnote>
  <w:footnote w:id="1">
    <w:p w14:paraId="7DE1D893" w14:textId="77777777" w:rsidR="000867DD" w:rsidRPr="00E878C0" w:rsidRDefault="000867DD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A7F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ECAB3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117(Add.25)-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38559931">
    <w:abstractNumId w:val="8"/>
  </w:num>
  <w:num w:numId="2" w16cid:durableId="1978639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61677955">
    <w:abstractNumId w:val="9"/>
  </w:num>
  <w:num w:numId="4" w16cid:durableId="1603606749">
    <w:abstractNumId w:val="7"/>
  </w:num>
  <w:num w:numId="5" w16cid:durableId="486556959">
    <w:abstractNumId w:val="6"/>
  </w:num>
  <w:num w:numId="6" w16cid:durableId="256445258">
    <w:abstractNumId w:val="5"/>
  </w:num>
  <w:num w:numId="7" w16cid:durableId="1546332780">
    <w:abstractNumId w:val="4"/>
  </w:num>
  <w:num w:numId="8" w16cid:durableId="349524541">
    <w:abstractNumId w:val="3"/>
  </w:num>
  <w:num w:numId="9" w16cid:durableId="721639564">
    <w:abstractNumId w:val="2"/>
  </w:num>
  <w:num w:numId="10" w16cid:durableId="1996449078">
    <w:abstractNumId w:val="1"/>
  </w:num>
  <w:num w:numId="11" w16cid:durableId="159739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66A1"/>
    <w:rsid w:val="0002785D"/>
    <w:rsid w:val="000867DD"/>
    <w:rsid w:val="00087AE8"/>
    <w:rsid w:val="00091054"/>
    <w:rsid w:val="00097CB8"/>
    <w:rsid w:val="000A2A7D"/>
    <w:rsid w:val="000A5B9A"/>
    <w:rsid w:val="000C1EAF"/>
    <w:rsid w:val="000D68C7"/>
    <w:rsid w:val="000E5BF9"/>
    <w:rsid w:val="000F0E6D"/>
    <w:rsid w:val="001069E9"/>
    <w:rsid w:val="00121170"/>
    <w:rsid w:val="00123CC5"/>
    <w:rsid w:val="0015142D"/>
    <w:rsid w:val="001616DC"/>
    <w:rsid w:val="00163962"/>
    <w:rsid w:val="00171A70"/>
    <w:rsid w:val="0017322A"/>
    <w:rsid w:val="00191A97"/>
    <w:rsid w:val="0019729C"/>
    <w:rsid w:val="001A083F"/>
    <w:rsid w:val="001A18A5"/>
    <w:rsid w:val="001B357B"/>
    <w:rsid w:val="001C41FA"/>
    <w:rsid w:val="001E2B52"/>
    <w:rsid w:val="001E2D59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4E94"/>
    <w:rsid w:val="002C5D6C"/>
    <w:rsid w:val="002E596B"/>
    <w:rsid w:val="002E701F"/>
    <w:rsid w:val="003248A9"/>
    <w:rsid w:val="00324FFA"/>
    <w:rsid w:val="0032680B"/>
    <w:rsid w:val="00336FF0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73A11"/>
    <w:rsid w:val="0047475A"/>
    <w:rsid w:val="004754A4"/>
    <w:rsid w:val="004A20B0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92C86"/>
    <w:rsid w:val="005B56FA"/>
    <w:rsid w:val="005D46FB"/>
    <w:rsid w:val="005E2D73"/>
    <w:rsid w:val="005F2605"/>
    <w:rsid w:val="005F3B0E"/>
    <w:rsid w:val="005F3DB8"/>
    <w:rsid w:val="005F559C"/>
    <w:rsid w:val="00602857"/>
    <w:rsid w:val="00604C87"/>
    <w:rsid w:val="006124AD"/>
    <w:rsid w:val="00624009"/>
    <w:rsid w:val="00624A6D"/>
    <w:rsid w:val="00660160"/>
    <w:rsid w:val="00662BA0"/>
    <w:rsid w:val="00666B37"/>
    <w:rsid w:val="0067344B"/>
    <w:rsid w:val="006829A5"/>
    <w:rsid w:val="00684A94"/>
    <w:rsid w:val="00692AAE"/>
    <w:rsid w:val="006C0E38"/>
    <w:rsid w:val="006D6E67"/>
    <w:rsid w:val="006E1A13"/>
    <w:rsid w:val="00701C20"/>
    <w:rsid w:val="00702F3D"/>
    <w:rsid w:val="0070518E"/>
    <w:rsid w:val="00716A81"/>
    <w:rsid w:val="00732210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E2273"/>
    <w:rsid w:val="0080079E"/>
    <w:rsid w:val="008311B2"/>
    <w:rsid w:val="008504C2"/>
    <w:rsid w:val="00866AE6"/>
    <w:rsid w:val="008750A8"/>
    <w:rsid w:val="0088665D"/>
    <w:rsid w:val="008C0939"/>
    <w:rsid w:val="008D3316"/>
    <w:rsid w:val="008E40F0"/>
    <w:rsid w:val="008E5AF2"/>
    <w:rsid w:val="0090121B"/>
    <w:rsid w:val="009144C9"/>
    <w:rsid w:val="009321EE"/>
    <w:rsid w:val="0094091F"/>
    <w:rsid w:val="00962171"/>
    <w:rsid w:val="00973754"/>
    <w:rsid w:val="009C0BED"/>
    <w:rsid w:val="009E11EC"/>
    <w:rsid w:val="00A021CC"/>
    <w:rsid w:val="00A118DB"/>
    <w:rsid w:val="00A166FA"/>
    <w:rsid w:val="00A42C84"/>
    <w:rsid w:val="00A4450C"/>
    <w:rsid w:val="00A44B6F"/>
    <w:rsid w:val="00AA5E6C"/>
    <w:rsid w:val="00AC49B1"/>
    <w:rsid w:val="00AE5677"/>
    <w:rsid w:val="00AE658F"/>
    <w:rsid w:val="00AF2F78"/>
    <w:rsid w:val="00B05A83"/>
    <w:rsid w:val="00B12CCB"/>
    <w:rsid w:val="00B239FA"/>
    <w:rsid w:val="00B372AB"/>
    <w:rsid w:val="00B42077"/>
    <w:rsid w:val="00B47331"/>
    <w:rsid w:val="00B52D55"/>
    <w:rsid w:val="00B77A39"/>
    <w:rsid w:val="00B8288C"/>
    <w:rsid w:val="00B86034"/>
    <w:rsid w:val="00BA67C3"/>
    <w:rsid w:val="00BE13A8"/>
    <w:rsid w:val="00BE2E80"/>
    <w:rsid w:val="00BE5EDD"/>
    <w:rsid w:val="00BE6A1F"/>
    <w:rsid w:val="00C126C4"/>
    <w:rsid w:val="00C30E81"/>
    <w:rsid w:val="00C44E9E"/>
    <w:rsid w:val="00C63EB5"/>
    <w:rsid w:val="00C73B6A"/>
    <w:rsid w:val="00C87DA7"/>
    <w:rsid w:val="00CA4945"/>
    <w:rsid w:val="00CC01E0"/>
    <w:rsid w:val="00CD5FEE"/>
    <w:rsid w:val="00CE60D2"/>
    <w:rsid w:val="00CE7431"/>
    <w:rsid w:val="00D00CA8"/>
    <w:rsid w:val="00D0288A"/>
    <w:rsid w:val="00D40134"/>
    <w:rsid w:val="00D43D27"/>
    <w:rsid w:val="00D72A5D"/>
    <w:rsid w:val="00DA71A3"/>
    <w:rsid w:val="00DB23D5"/>
    <w:rsid w:val="00DC1922"/>
    <w:rsid w:val="00DC629B"/>
    <w:rsid w:val="00DE1C31"/>
    <w:rsid w:val="00E05BFF"/>
    <w:rsid w:val="00E216AF"/>
    <w:rsid w:val="00E262F1"/>
    <w:rsid w:val="00E3176A"/>
    <w:rsid w:val="00E36CE4"/>
    <w:rsid w:val="00E54754"/>
    <w:rsid w:val="00E56BD3"/>
    <w:rsid w:val="00E71D14"/>
    <w:rsid w:val="00E90E08"/>
    <w:rsid w:val="00EA77F0"/>
    <w:rsid w:val="00EE26DA"/>
    <w:rsid w:val="00F32316"/>
    <w:rsid w:val="00F66597"/>
    <w:rsid w:val="00F675D0"/>
    <w:rsid w:val="00F8150C"/>
    <w:rsid w:val="00FC7C7D"/>
    <w:rsid w:val="00FD03C4"/>
    <w:rsid w:val="00FD791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A8365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665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apt.int/sites/default/files/2023/08/APG23-6-INP-125_Multicountry_WP5_PACP_WRC-23_Agenda_Item_10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apt.int/sites/default/files/2023/07/APG23-6-INP-12_Kiribati_AI_10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t.int/sites/default/files/2023/02/APG23-5-INP-85_Tonga-WP5-Preliminary_View_on_WRC-23_Agenda_Item_10.docx" TargetMode="External"/><Relationship Id="rId20" Type="http://schemas.openxmlformats.org/officeDocument/2006/relationships/hyperlink" Target="https://safe.menlosecurity.com/https:/www.itu.int/md/R19-CPM23.2-C-0236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dms_ties/itu-r/md/19/sg04/rp/R19-SG04-RP-1001!!MSW-E.docx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19-WP4A-C-097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pub/itu-r/md/23/wrc23/c/R23-WRC23-C-0004!A1!MSW-E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R23-WRC23-C-0117!A25!MSW-S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8231-EF33-4501-8557-AC306D1778A3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2A540F-9578-40DF-A16B-FC48168690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B1B4C5-8182-413B-80F5-BF0472D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04779-CC59-40B2-8D72-4E68EEB16C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C36AE6-82FB-497D-A4CD-7308DD1D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3130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R23-WRC23-C-0117!A25!MSW-S</vt:lpstr>
    </vt:vector>
  </TitlesOfParts>
  <Manager>Secretaría General - Pool</Manager>
  <Company>Unión Internacional de Telecomunicaciones (UIT)</Company>
  <LinksUpToDate>false</LinksUpToDate>
  <CharactersWithSpaces>19757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R23-WRC23-C-0117!A25!MSW-S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2023-11-16T10:39:00Z</dcterms:created>
  <dcterms:modified xsi:type="dcterms:W3CDTF">2023-11-16T11:13:00Z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